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0FA" w:rsidRPr="008512D5" w:rsidRDefault="002720FA" w:rsidP="002720F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512D5">
        <w:rPr>
          <w:sz w:val="21"/>
          <w:szCs w:val="21"/>
          <w:lang w:val="sq-AL"/>
        </w:rPr>
        <w:t>UDHËZIM</w:t>
      </w:r>
    </w:p>
    <w:p w:rsidR="002720FA" w:rsidRPr="008512D5" w:rsidRDefault="002720FA" w:rsidP="002720FA">
      <w:pPr>
        <w:pStyle w:val="NumriData"/>
        <w:keepNext w:val="0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Nr. 13, datë 2.8.2012</w:t>
      </w:r>
    </w:p>
    <w:p w:rsidR="002720FA" w:rsidRPr="002720FA" w:rsidRDefault="002720FA" w:rsidP="002720FA">
      <w:pPr>
        <w:pStyle w:val="Paragrafi"/>
      </w:pPr>
    </w:p>
    <w:p w:rsidR="002720FA" w:rsidRPr="008512D5" w:rsidRDefault="002720FA" w:rsidP="002720FA">
      <w:pPr>
        <w:pStyle w:val="Titulli"/>
        <w:keepNext w:val="0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PËR KRITERET BAZË NË MBIKËQYRJEN E SIGURISË SË MENAXHIMIT </w:t>
      </w:r>
    </w:p>
    <w:p w:rsidR="002720FA" w:rsidRPr="008512D5" w:rsidRDefault="002720FA" w:rsidP="002720FA">
      <w:pPr>
        <w:pStyle w:val="Titulli"/>
        <w:keepNext w:val="0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TË TRAFIKUT AJROR </w:t>
      </w:r>
    </w:p>
    <w:p w:rsidR="002720FA" w:rsidRPr="002720FA" w:rsidRDefault="002720FA" w:rsidP="002720FA">
      <w:pPr>
        <w:pStyle w:val="Paragrafi"/>
      </w:pP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Në mbështetje të nenit 102 pika 4 të Kushtetutës së Republikës së Shqipërisë, si dhe në zbatim të nenit 78 pika 4 të ligjit nr. 10 040, datë 22.12.2008 “Kodi Ajror i Republikës së Shqipërisë”, të</w:t>
      </w:r>
      <w:r>
        <w:rPr>
          <w:sz w:val="21"/>
          <w:szCs w:val="21"/>
          <w:lang w:val="sq-AL"/>
        </w:rPr>
        <w:t xml:space="preserve"> ndryshuar</w:t>
      </w:r>
      <w:r w:rsidRPr="008512D5">
        <w:rPr>
          <w:sz w:val="21"/>
          <w:szCs w:val="21"/>
          <w:lang w:val="sq-AL"/>
        </w:rPr>
        <w:t>,</w:t>
      </w:r>
    </w:p>
    <w:p w:rsidR="002720FA" w:rsidRPr="005F66E0" w:rsidRDefault="002720FA" w:rsidP="002720FA">
      <w:pPr>
        <w:pStyle w:val="Paragrafi"/>
        <w:rPr>
          <w:sz w:val="14"/>
          <w:szCs w:val="21"/>
          <w:lang w:val="sq-AL"/>
        </w:rPr>
      </w:pPr>
    </w:p>
    <w:p w:rsidR="002720FA" w:rsidRPr="008512D5" w:rsidRDefault="002720FA" w:rsidP="002720FA">
      <w:pPr>
        <w:pStyle w:val="VENDOSI"/>
        <w:keepNext w:val="0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UDHËZOJ:</w:t>
      </w:r>
    </w:p>
    <w:p w:rsidR="002720FA" w:rsidRPr="005F66E0" w:rsidRDefault="002720FA" w:rsidP="002720FA">
      <w:pPr>
        <w:pStyle w:val="Paragrafi"/>
        <w:rPr>
          <w:sz w:val="16"/>
          <w:szCs w:val="21"/>
          <w:lang w:val="sq-AL"/>
        </w:rPr>
      </w:pP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1. Qëllimi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Qëllimi i këtij udhëzimi është përcaktimi i kritereve themelore dhe rregullave standarde për mbikëqyrjen e sigurisë së menaxhimit të trafikut nga Autoriteti Kombëtar Mbikëqyrës dhe zbatimin e tyre nga ofruesit e SHNA. 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2. Zbatueshmëria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2.1 Autoriteti përgjegjës për zbatimin e procedurës së mbikëqyrjes së sigurisë në menaxhimin e trafikut ajror është Autoriteti i Aviacionit Civil të Republikës së Shqipërisë, si organi i ngarkuar me funksionet e Autoritetit Kombëtar Mbikëqyrës (AKM).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2.2 AAC mbikëqyr dhe garanton zbatimin me përpikëri të kritereve dhe rregullave të përcaktuara në këtë udhëzim, nga Ofruesit e Shërbimeve të Navigimit Ajror.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2.3 Kriteret bazë të këtij udhëzimi zbatohen nga strukturat e caktuara të aviacionit civil, ofruesit e Shërbimeve të Navigimit Ajror dhe nga i gjithë personeli i Shërbimit të Menaxhimit të Trafikut Ajror (MTA), përgjegjës për detyrat të cilat janë përcaktuar të lidhura ngushtë me sigurinë.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3. Kërkesat e sigurisë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3.1 Autoriteti i Aviacionit Civil garanton, nëpërmjet procedurave teknike dhe inspektimeve përkatëse, që organizmat dhe personeli përgjegjës që mbulon fushën e shërbimeve të trafikut ajror, të lidhur ngushtë me sigurinë e trafikut ajror, ka zbatuar detyrat siç janë të përcaktuara në këtë udhëzim. 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3.2 Përgjegjësitë e AAC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AAC, është përgjegjëse për: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a) mbikëqyrjen e përshtatshme dhe të mjaftueshme të rregullave të përcaktuara në këtë udhëzim, duke monitoruar në mënyrë sistematike dhe duke vlerësuar nivelin e sigurisë të arritur kundrejt niveleve standarde të përcaktuara;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b) kryerjen e veprimeve rregulluese përkatëse në përputhje me përcaktimet e këtij udhëzimi dhe me dispozitat e tjera ligjore për OSHNA; 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c) AAC mbi bazën e rezultateve të monitorimit të sigurisë përcakton fushat ku është i nevojshëm verifikimi i përputhshmërisë me kërkesat e rregullores së sigurisë. 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3.2 Përgjegjësitë e OSHNA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Një OSHNA garanton: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a) zbatimin e detyrave që i lindin në bazë të përcaktimeve të këtij udhëzimi;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b) që në lidhje me procedurat që do të dalin për zbatimin e këtij udhëzimi, të dhënat që ekzistojnë, janë dokumentuar nga OSHNA dhe vihen në dispozicion, me kërkesë të AAC-së;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c) që nga pikëpamja e sigurisë, metodat</w:t>
      </w:r>
      <w:r>
        <w:rPr>
          <w:sz w:val="21"/>
          <w:szCs w:val="21"/>
          <w:lang w:val="sq-AL"/>
        </w:rPr>
        <w:t xml:space="preserve"> </w:t>
      </w:r>
      <w:r w:rsidRPr="008512D5">
        <w:rPr>
          <w:sz w:val="21"/>
          <w:szCs w:val="21"/>
          <w:lang w:val="sq-AL"/>
        </w:rPr>
        <w:t>përkatëse të zgjedhura janë ato që duhen, për të garantuar plotësimin e dispozitave të zbatueshme të këtij udhëzimi.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4. Procedurat e mbikëqyrjes</w:t>
      </w:r>
    </w:p>
    <w:p w:rsidR="002720FA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4.1 Autoriteti i Aviacionit Civil është autoriteti përgjegjës për hartimin dhe nxjerrjen e procedurave përkatëse teknike për zbatimin e këtij udhëzimi.</w:t>
      </w:r>
    </w:p>
    <w:p w:rsidR="002720FA" w:rsidRDefault="002720FA" w:rsidP="002720FA">
      <w:pPr>
        <w:pStyle w:val="Paragrafi"/>
        <w:rPr>
          <w:sz w:val="21"/>
          <w:szCs w:val="21"/>
          <w:lang w:val="sq-AL"/>
        </w:rPr>
      </w:pPr>
      <w:bookmarkStart w:id="1" w:name="Pg6"/>
      <w:bookmarkStart w:id="2" w:name="Pg7"/>
      <w:bookmarkStart w:id="3" w:name="Pg9"/>
      <w:bookmarkStart w:id="4" w:name="Pg10"/>
      <w:bookmarkStart w:id="5" w:name="Pg11"/>
      <w:bookmarkStart w:id="6" w:name="Pg14"/>
      <w:bookmarkStart w:id="7" w:name="Pg15"/>
      <w:bookmarkStart w:id="8" w:name="Pg16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8512D5">
        <w:rPr>
          <w:sz w:val="21"/>
          <w:szCs w:val="21"/>
          <w:lang w:val="sq-AL"/>
        </w:rPr>
        <w:t>4.2 Procedurat teknike duhet të jenë funksionale, ku të jenë përcaktuar qartë aspektet e planifikimit, implementimit dhe standardet e ofrimit të shërbimeve navigacionale ajrore nga OSHNA, si përgjegjësi kryesore për sigurinë në shërbimet e navigimitit ajror.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5. Përjashtime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AAC bën vlerësimin dhe garanton zyrtarisht një nivel ekuivalent sigurie në rastin e ekzistencës së rrethanave që bëjnë të pamundur zbatimin e kërkesave të përcaktuara në këtë udhëzim dhe në procedurat teknike përkatëse.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lastRenderedPageBreak/>
        <w:t>6. Shfuqizime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Udhëzimi nr. 4, datë 27.3.2009 “Mbi procedurat për mbikëqyrjen e sigurisë në ofruesit e shërbimeve të navigimit ajror”, shfuqizohet.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Ky udhëzim hyn në fuqi menjëherë dhe botohet në Fletoren Zyrtare.</w:t>
      </w:r>
    </w:p>
    <w:p w:rsidR="002720FA" w:rsidRPr="008512D5" w:rsidRDefault="002720FA" w:rsidP="002720FA">
      <w:pPr>
        <w:pStyle w:val="Paragrafi"/>
        <w:rPr>
          <w:sz w:val="21"/>
          <w:szCs w:val="21"/>
          <w:lang w:val="sq-AL"/>
        </w:rPr>
      </w:pPr>
    </w:p>
    <w:p w:rsidR="002720FA" w:rsidRPr="008512D5" w:rsidRDefault="002720FA" w:rsidP="002720FA">
      <w:pPr>
        <w:pStyle w:val="Paragrafi"/>
        <w:jc w:val="right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MINISTRI I PUNËVE PUBLIKE DHE TRANSPORTIT </w:t>
      </w:r>
    </w:p>
    <w:p w:rsidR="002720FA" w:rsidRPr="008512D5" w:rsidRDefault="002720FA" w:rsidP="002720FA">
      <w:pPr>
        <w:pStyle w:val="Paragrafi"/>
        <w:jc w:val="right"/>
        <w:rPr>
          <w:b/>
          <w:sz w:val="21"/>
          <w:szCs w:val="21"/>
          <w:lang w:val="sq-AL"/>
        </w:rPr>
      </w:pPr>
      <w:r w:rsidRPr="008512D5">
        <w:rPr>
          <w:b/>
          <w:sz w:val="21"/>
          <w:szCs w:val="21"/>
          <w:lang w:val="sq-AL"/>
        </w:rPr>
        <w:t>Sokol Olldashi</w:t>
      </w:r>
    </w:p>
    <w:sectPr w:rsidR="002720FA" w:rsidRPr="008512D5" w:rsidSect="0030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20FA"/>
    <w:rsid w:val="000D43FE"/>
    <w:rsid w:val="002720FA"/>
    <w:rsid w:val="0030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3C02F5-89C3-4B72-A665-D025F829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B0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720F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720F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720F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720F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720F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720F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720F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720F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2720F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720F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