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563" w:rsidRPr="00647376" w:rsidRDefault="00EB1563" w:rsidP="00EB1563">
      <w:pPr>
        <w:pStyle w:val="NeniNr"/>
        <w:rPr>
          <w:b/>
          <w:lang w:val="sq-AL"/>
        </w:rPr>
      </w:pPr>
      <w:r w:rsidRPr="00647376">
        <w:rPr>
          <w:b/>
          <w:lang w:val="sq-AL"/>
        </w:rPr>
        <w:t>UDHËZIM  I  PËRBASHKËT</w:t>
      </w:r>
    </w:p>
    <w:p w:rsidR="00EB1563" w:rsidRPr="00647376" w:rsidRDefault="00EB1563" w:rsidP="00EB1563">
      <w:pPr>
        <w:pStyle w:val="NeniNr"/>
        <w:rPr>
          <w:b/>
          <w:lang w:val="sq-AL"/>
        </w:rPr>
      </w:pPr>
      <w:r w:rsidRPr="00647376">
        <w:rPr>
          <w:b/>
          <w:lang w:val="sq-AL"/>
        </w:rPr>
        <w:t>Nr. 1, datë 26.5.2015</w:t>
      </w:r>
    </w:p>
    <w:p w:rsidR="00EB1563" w:rsidRPr="00647376" w:rsidRDefault="00EB1563" w:rsidP="00EB1563">
      <w:pPr>
        <w:pStyle w:val="Hapesira7"/>
        <w:rPr>
          <w:lang w:val="sq-AL"/>
        </w:rPr>
      </w:pPr>
    </w:p>
    <w:p w:rsidR="00EB1563" w:rsidRPr="00647376" w:rsidRDefault="00EB1563" w:rsidP="00EB1563">
      <w:pPr>
        <w:pStyle w:val="NeniNr"/>
        <w:rPr>
          <w:b/>
          <w:lang w:val="sq-AL"/>
        </w:rPr>
      </w:pPr>
      <w:r w:rsidRPr="00647376">
        <w:rPr>
          <w:b/>
          <w:lang w:val="sq-AL"/>
        </w:rPr>
        <w:t>MBI RREGULLAT DHE PROCEDURAT E MARRJES, NË PARA, TË VLERËS KORRESPONDUESE TË SASISË SË PRODHIMIT TË GJYKUAR DHE TË PJESËS SË ALBPETROL, SHA</w:t>
      </w:r>
    </w:p>
    <w:p w:rsidR="00EB1563" w:rsidRPr="00647376" w:rsidRDefault="00EB1563" w:rsidP="00EB1563">
      <w:pPr>
        <w:pStyle w:val="Hapesira7"/>
        <w:rPr>
          <w:lang w:val="sq-AL"/>
        </w:rPr>
      </w:pPr>
    </w:p>
    <w:p w:rsidR="00EB1563" w:rsidRPr="00647376" w:rsidRDefault="00EB1563" w:rsidP="00EB1563">
      <w:pPr>
        <w:pStyle w:val="Paragraf02"/>
        <w:rPr>
          <w:lang w:val="sq-AL"/>
        </w:rPr>
      </w:pPr>
      <w:r w:rsidRPr="00647376">
        <w:rPr>
          <w:lang w:val="sq-AL"/>
        </w:rPr>
        <w:t>Në zbatim të vendimit nr. 947, datë 29.12.2014 të Këshillit të Ministrave “Për autorizimin e “Albpetrol” sh.a. për të marrë, në para, vlerën korresponduese të sasisë së prodhimit të gjykuar dhe të pjesës së “Albpetrol”, sh.a., që i takon në bazë të zbatimit të marrëveshjeve hidrokarbure, të lidhura me kontraktorët, për zhvillimin dhe prodhimin e hidrokarbureve nga vendburimet ekzistuese të naftës e të gazit”, ministri i Energjisë dhe Industrisë dhe ministri i Financave</w:t>
      </w:r>
    </w:p>
    <w:p w:rsidR="00EB1563" w:rsidRPr="00647376" w:rsidRDefault="00EB1563" w:rsidP="00EB1563">
      <w:pPr>
        <w:pStyle w:val="Hapesira7"/>
        <w:rPr>
          <w:lang w:val="sq-AL"/>
        </w:rPr>
      </w:pPr>
    </w:p>
    <w:p w:rsidR="00EB1563" w:rsidRPr="00647376" w:rsidRDefault="00EB1563" w:rsidP="00EB1563">
      <w:pPr>
        <w:pStyle w:val="NeniNr"/>
        <w:rPr>
          <w:lang w:val="sq-AL"/>
        </w:rPr>
      </w:pPr>
      <w:r w:rsidRPr="00647376">
        <w:rPr>
          <w:lang w:val="sq-AL"/>
        </w:rPr>
        <w:t>UDHËZOJNË:</w:t>
      </w:r>
    </w:p>
    <w:p w:rsidR="00EB1563" w:rsidRPr="00647376" w:rsidRDefault="00EB1563" w:rsidP="00EB1563">
      <w:pPr>
        <w:pStyle w:val="Hapesira7"/>
        <w:rPr>
          <w:lang w:val="sq-AL"/>
        </w:rPr>
      </w:pPr>
    </w:p>
    <w:p w:rsidR="00EB1563" w:rsidRPr="00647376" w:rsidRDefault="00EB1563" w:rsidP="00EB1563">
      <w:pPr>
        <w:pStyle w:val="NeniNr"/>
        <w:rPr>
          <w:lang w:val="sq-AL"/>
        </w:rPr>
      </w:pPr>
      <w:r w:rsidRPr="00647376">
        <w:rPr>
          <w:lang w:val="sq-AL"/>
        </w:rPr>
        <w:t>KREU I</w:t>
      </w:r>
    </w:p>
    <w:p w:rsidR="00EB1563" w:rsidRPr="00647376" w:rsidRDefault="00EB1563" w:rsidP="00EB1563">
      <w:pPr>
        <w:pStyle w:val="NeniNr"/>
        <w:rPr>
          <w:lang w:val="sq-AL"/>
        </w:rPr>
      </w:pPr>
      <w:r w:rsidRPr="00647376">
        <w:rPr>
          <w:lang w:val="sq-AL"/>
        </w:rPr>
        <w:t>NEGOCIATAT</w:t>
      </w:r>
    </w:p>
    <w:p w:rsidR="00EB1563" w:rsidRPr="00647376" w:rsidRDefault="00EB1563" w:rsidP="00EB1563">
      <w:pPr>
        <w:pStyle w:val="Hapesira7"/>
        <w:rPr>
          <w:lang w:val="sq-AL"/>
        </w:rPr>
      </w:pPr>
    </w:p>
    <w:p w:rsidR="00EB1563" w:rsidRPr="00647376" w:rsidRDefault="00EB1563" w:rsidP="00EB1563">
      <w:pPr>
        <w:pStyle w:val="Paragraf02"/>
        <w:rPr>
          <w:lang w:val="sq-AL"/>
        </w:rPr>
      </w:pPr>
      <w:r w:rsidRPr="00647376">
        <w:rPr>
          <w:lang w:val="sq-AL"/>
        </w:rPr>
        <w:t>1. “Albpetrol”, sh.a., për të marrë në para, vlerën korresponduese të sasisë së prodhimit të gjykuar dhe të pjesës së “Albpetrol”, sh.a.-së, që i takon në bazë të zbatimit të marrëveshjeve hidrokarbure, të lidhura me kontraktorët, për zhvillimin dhe prodhimin e hidrokarbureve nga vendburimet ekzistuese të naftës e të gazit hyjnë në negociata me kontraktorët, me të cilët është palë në marrëveshje hidrokarbure për zhvillimin dhe prodhimin e hidrokarbureve në vendburimet ekzistuese të naftës dhe të gazit.</w:t>
      </w:r>
    </w:p>
    <w:p w:rsidR="00EB1563" w:rsidRPr="00647376" w:rsidRDefault="00EB1563" w:rsidP="00EB1563">
      <w:pPr>
        <w:pStyle w:val="Paragraf02"/>
        <w:rPr>
          <w:lang w:val="sq-AL"/>
        </w:rPr>
      </w:pPr>
      <w:r w:rsidRPr="00647376">
        <w:rPr>
          <w:lang w:val="sq-AL"/>
        </w:rPr>
        <w:t>2. Pasi bien dakord për sa më sipër, palët hartojnë një marrëveshje për rregullat dhe procedurat e marrjes, në para, të vlerës korresponduese të sasisë së prodhimit të gjykuar dhe të pjesës së “Albpetrol”, sh.a. Në këtë rast, palët zbatojnë dispozitat e vendimit nr. 947, datë 29.12.2014 të Këshillit të Ministrave, marrëveshjeve hidrokarbure dhe të këtij udhëzimi.</w:t>
      </w:r>
    </w:p>
    <w:p w:rsidR="00EB1563" w:rsidRPr="00647376" w:rsidRDefault="00EB1563" w:rsidP="00EB1563">
      <w:pPr>
        <w:pStyle w:val="Hapesira7"/>
        <w:rPr>
          <w:lang w:val="sq-AL"/>
        </w:rPr>
      </w:pPr>
    </w:p>
    <w:p w:rsidR="00EB1563" w:rsidRPr="00647376" w:rsidRDefault="00EB1563" w:rsidP="00EB1563">
      <w:pPr>
        <w:pStyle w:val="NeniNr"/>
        <w:rPr>
          <w:lang w:val="sq-AL"/>
        </w:rPr>
      </w:pPr>
      <w:r w:rsidRPr="00647376">
        <w:rPr>
          <w:lang w:val="sq-AL"/>
        </w:rPr>
        <w:t>KREU II</w:t>
      </w:r>
    </w:p>
    <w:p w:rsidR="00EB1563" w:rsidRPr="00647376" w:rsidRDefault="00EB1563" w:rsidP="00EB1563">
      <w:pPr>
        <w:pStyle w:val="NeniNr"/>
        <w:rPr>
          <w:lang w:val="sq-AL"/>
        </w:rPr>
      </w:pPr>
      <w:r w:rsidRPr="00647376">
        <w:rPr>
          <w:lang w:val="sq-AL"/>
        </w:rPr>
        <w:t>LLOGARITJA E ÇMIMIT DHE ZBRITJET E ZBATUESHME</w:t>
      </w:r>
    </w:p>
    <w:p w:rsidR="00EB1563" w:rsidRPr="00647376" w:rsidRDefault="00EB1563" w:rsidP="00EB1563">
      <w:pPr>
        <w:pStyle w:val="Hapesira7"/>
        <w:rPr>
          <w:lang w:val="sq-AL"/>
        </w:rPr>
      </w:pPr>
    </w:p>
    <w:p w:rsidR="00EB1563" w:rsidRPr="00647376" w:rsidRDefault="00EB1563" w:rsidP="00EB1563">
      <w:pPr>
        <w:pStyle w:val="Paragraf02"/>
        <w:rPr>
          <w:lang w:val="sq-AL"/>
        </w:rPr>
      </w:pPr>
      <w:r w:rsidRPr="00647376">
        <w:rPr>
          <w:lang w:val="sq-AL"/>
        </w:rPr>
        <w:t>1. Konvertimi në para i sasisë së prodhimit të gjykuar dhe pjesës së prodhimit të “Albpetrol” sh.a, bëhet mbi bazën e çmimit referues.</w:t>
      </w:r>
    </w:p>
    <w:p w:rsidR="00EB1563" w:rsidRPr="00647376" w:rsidRDefault="00EB1563" w:rsidP="00EB1563">
      <w:pPr>
        <w:pStyle w:val="Paragraf02"/>
        <w:rPr>
          <w:lang w:val="sq-AL"/>
        </w:rPr>
      </w:pPr>
      <w:r w:rsidRPr="00647376">
        <w:rPr>
          <w:lang w:val="sq-AL"/>
        </w:rPr>
        <w:t>2. Çmimi referues do të përllogaritet mbi bazën e çmimit mesatar të ponderuar të naftës bruto, të shitur nga kontraktori, gjatë muajit kalendarik përkatës, gjatë të cilit kontraktorit i lind detyrimi ndaj “Albpetrol” sh.a. për shlyerjen, në para, të prodhimit të gjykuar dhe të pjesës së “Albpetrol”, sh.a. dhe në varësi të vendit të lëvrimit të sasisë së naftës që shitet nga kontraktori, si më poshtë vijon:</w:t>
      </w:r>
    </w:p>
    <w:p w:rsidR="00EB1563" w:rsidRPr="00647376" w:rsidRDefault="00EB1563" w:rsidP="00EB1563">
      <w:pPr>
        <w:pStyle w:val="Paragraf02"/>
        <w:rPr>
          <w:lang w:val="sq-AL"/>
        </w:rPr>
      </w:pPr>
      <w:r w:rsidRPr="00647376">
        <w:rPr>
          <w:lang w:val="sq-AL"/>
        </w:rPr>
        <w:t>a) Në rastin kur shitja e sasisë së naftës bruto realizohet në pikën e lëvrimit brenda zonës së kontratës, çmimi referues do të jetë i njëjtë me çmimin e shitjes së naftës bruto nga vetë kontraktori.</w:t>
      </w:r>
    </w:p>
    <w:p w:rsidR="00EB1563" w:rsidRPr="00647376" w:rsidRDefault="00EB1563" w:rsidP="00EB1563">
      <w:pPr>
        <w:pStyle w:val="Paragraf02"/>
        <w:rPr>
          <w:lang w:val="sq-AL"/>
        </w:rPr>
      </w:pPr>
      <w:r w:rsidRPr="00647376">
        <w:rPr>
          <w:lang w:val="sq-AL"/>
        </w:rPr>
        <w:t>b) Në rastin kur shitja e sasisë së naftës bruto realizohet brenda vendit dhe në një pikë tjetër, të ndryshme nga pika e lëvrimit në zonën e kontratës, çmimit referues i zbriten kostot e transportit, nëse ka të tilla, për transferimin e naftës bruto nga pika e lëvrimit brenda zonës së kontratës deri tek pika tjetër ku realizohet shitja përkatëse.</w:t>
      </w:r>
    </w:p>
    <w:p w:rsidR="00EB1563" w:rsidRPr="00647376" w:rsidRDefault="00EB1563" w:rsidP="00EB1563">
      <w:pPr>
        <w:pStyle w:val="Paragraf02"/>
        <w:rPr>
          <w:lang w:val="sq-AL"/>
        </w:rPr>
      </w:pPr>
      <w:r w:rsidRPr="00647376">
        <w:rPr>
          <w:lang w:val="sq-AL"/>
        </w:rPr>
        <w:t>c) Në rastin kur sasia e naftës bruto shitet në eksport (shitje FOB), çmimi referues do të llogaritet mbi bazën e çmimit të shitjes FOB, të cilit duhet t’i zbriten: i) kostot e transportit nëse ka të tilla, për transferimin e naftës bruto nga pika e lëvrimit brenda zonës së kontratës, deri në pikën e eksportit (FOB); ii) tarifat e depozitimit, duke përfshirë edhe kostot e mundshme të sigurimit.</w:t>
      </w:r>
    </w:p>
    <w:p w:rsidR="00EB1563" w:rsidRPr="00647376" w:rsidRDefault="00EB1563" w:rsidP="00EB1563">
      <w:pPr>
        <w:pStyle w:val="Paragraf02"/>
        <w:rPr>
          <w:lang w:val="sq-AL"/>
        </w:rPr>
      </w:pPr>
      <w:r w:rsidRPr="00647376">
        <w:rPr>
          <w:lang w:val="sq-AL"/>
        </w:rPr>
        <w:t>Palët duhet t’i provojnë, dokumentojnë dhe argumentojnë çdo shpenzim të kryer sipas kësaj pike në përputhje me marrëveshjet hidrokarbure dhe vendimin nr. 947, datë 29.12.2014, si dhe të provojnë në çdo rast shpenzimet e kryera sipas shkronjave “b” dhe “c” të kësaj pike.</w:t>
      </w:r>
    </w:p>
    <w:p w:rsidR="00EB1563" w:rsidRPr="00647376" w:rsidRDefault="00EB1563" w:rsidP="00EB1563">
      <w:pPr>
        <w:pStyle w:val="Paragraf02"/>
        <w:rPr>
          <w:lang w:val="sq-AL"/>
        </w:rPr>
      </w:pPr>
      <w:r w:rsidRPr="00647376">
        <w:rPr>
          <w:lang w:val="sq-AL"/>
        </w:rPr>
        <w:lastRenderedPageBreak/>
        <w:t>Kontraktorët duhet të vendosin në dispozicion të “Albpetrol” sh.a., të gjithë dokumentacionin provues në lidhje me kostot e zbritshme të pretenduara, të zbatueshme sipas rastit.</w:t>
      </w:r>
    </w:p>
    <w:p w:rsidR="00EB1563" w:rsidRPr="00647376" w:rsidRDefault="00EB1563" w:rsidP="00EB1563">
      <w:pPr>
        <w:pStyle w:val="Paragraf02"/>
        <w:rPr>
          <w:lang w:val="sq-AL"/>
        </w:rPr>
      </w:pPr>
      <w:r w:rsidRPr="00647376">
        <w:rPr>
          <w:lang w:val="sq-AL"/>
        </w:rPr>
        <w:t>3. Në çdo rast, renta paguhet nga kontraktori. Për prodhimin e gjykuar renta paguhet nga kontraktori për llogari të “Albpetrol” sh.a. Për pjesën e prodhimit të “Albpetrol” sh.a., renta paguhet nga kontraktori si detyrim i tij.</w:t>
      </w:r>
    </w:p>
    <w:p w:rsidR="00EB1563" w:rsidRPr="00647376" w:rsidRDefault="00EB1563" w:rsidP="00EB1563">
      <w:pPr>
        <w:pStyle w:val="Hapesira7"/>
        <w:rPr>
          <w:lang w:val="sq-AL"/>
        </w:rPr>
      </w:pPr>
    </w:p>
    <w:p w:rsidR="00EB1563" w:rsidRPr="00647376" w:rsidRDefault="00EB1563" w:rsidP="00EB1563">
      <w:pPr>
        <w:pStyle w:val="NeniNr"/>
        <w:rPr>
          <w:lang w:val="sq-AL"/>
        </w:rPr>
      </w:pPr>
      <w:r w:rsidRPr="00647376">
        <w:rPr>
          <w:lang w:val="sq-AL"/>
        </w:rPr>
        <w:t>KREU III</w:t>
      </w:r>
    </w:p>
    <w:p w:rsidR="00EB1563" w:rsidRPr="00647376" w:rsidRDefault="00EB1563" w:rsidP="00EB1563">
      <w:pPr>
        <w:pStyle w:val="NeniNr"/>
        <w:rPr>
          <w:lang w:val="sq-AL"/>
        </w:rPr>
      </w:pPr>
      <w:r w:rsidRPr="00647376">
        <w:rPr>
          <w:lang w:val="sq-AL"/>
        </w:rPr>
        <w:t>FATURIMI DHE KUSHTET E PAGESËS</w:t>
      </w:r>
    </w:p>
    <w:p w:rsidR="00EB1563" w:rsidRPr="00647376" w:rsidRDefault="00EB1563" w:rsidP="00EB1563">
      <w:pPr>
        <w:pStyle w:val="Hapesira7"/>
        <w:rPr>
          <w:lang w:val="sq-AL"/>
        </w:rPr>
      </w:pPr>
    </w:p>
    <w:p w:rsidR="00EB1563" w:rsidRPr="00647376" w:rsidRDefault="00EB1563" w:rsidP="00EB1563">
      <w:pPr>
        <w:pStyle w:val="Paragraf02"/>
        <w:rPr>
          <w:lang w:val="sq-AL"/>
        </w:rPr>
      </w:pPr>
      <w:r w:rsidRPr="00647376">
        <w:rPr>
          <w:lang w:val="sq-AL"/>
        </w:rPr>
        <w:t>1. Vlera korresponduese, në para, e sasisë së prodhimit të gjykuar dhe të pjesës së prodhimit të “Alpetrol” sh.a., për secilin kontraktor, do të faturohet nga “Albpetrol” sh.a., brenda 5 ditëve të para të muajit kalendarik, sipas sasive korres-ponduese të muajit kalendarik paraardhës. Në këto fatura do të aplikohet TVSH-ja sipas legjislacionit fiskal në fuqi.</w:t>
      </w:r>
    </w:p>
    <w:p w:rsidR="00EB1563" w:rsidRPr="00647376" w:rsidRDefault="00EB1563" w:rsidP="00EB1563">
      <w:pPr>
        <w:pStyle w:val="Paragraf02"/>
        <w:rPr>
          <w:lang w:val="sq-AL"/>
        </w:rPr>
      </w:pPr>
      <w:r w:rsidRPr="00647376">
        <w:rPr>
          <w:lang w:val="sq-AL"/>
        </w:rPr>
        <w:t>2. Në përputhje dhe sipas  marrëveshjes hidrokarbure, vlera korresponduese, në para, e sasisë së pjesës së “Albpetrol” sh.a.-së, e faturuar çdo muaj sipas pikës 1 të këtij kreu, korrektohet për secilin tremujor kalendarik dhe do të rifaturohet nga “Albpetrol” sh.a., brenda 60 ditëve nga mbyllja e tremujorit kalendarik përkatës.</w:t>
      </w:r>
    </w:p>
    <w:p w:rsidR="00EB1563" w:rsidRPr="00647376" w:rsidRDefault="00EB1563" w:rsidP="00EB1563">
      <w:pPr>
        <w:pStyle w:val="Paragraf02"/>
        <w:rPr>
          <w:lang w:val="sq-AL"/>
        </w:rPr>
      </w:pPr>
      <w:r w:rsidRPr="00647376">
        <w:rPr>
          <w:lang w:val="sq-AL"/>
        </w:rPr>
        <w:t>3. Llogaritja e faturave dhe pagesat do të kryhen në dollarë amerikanë ose në kundërvlerën përkatëse në lekë, sipas kursit të këmbimit të Bankës së Shqipërisë në datën e lëshimit të faturës së shitjes nga “Albpetrol” sh.a.</w:t>
      </w:r>
    </w:p>
    <w:p w:rsidR="00EB1563" w:rsidRPr="00647376" w:rsidRDefault="00EB1563" w:rsidP="00EB1563">
      <w:pPr>
        <w:pStyle w:val="Paragraf02"/>
        <w:rPr>
          <w:spacing w:val="-6"/>
          <w:lang w:val="sq-AL"/>
        </w:rPr>
      </w:pPr>
      <w:r w:rsidRPr="00647376">
        <w:rPr>
          <w:spacing w:val="-6"/>
          <w:lang w:val="sq-AL"/>
        </w:rPr>
        <w:t>4. Pagesat nga kontraktorët duhet të kryhen sipas faturave të shitjes së “Albpetrol” sh.a., në llogaritë bankare të përcaktuara nga “Albpetrol” sh.a.</w:t>
      </w:r>
    </w:p>
    <w:p w:rsidR="00EB1563" w:rsidRPr="00647376" w:rsidRDefault="00EB1563" w:rsidP="00EB1563">
      <w:pPr>
        <w:pStyle w:val="Paragraf02"/>
        <w:rPr>
          <w:lang w:val="sq-AL"/>
        </w:rPr>
      </w:pPr>
      <w:r w:rsidRPr="00647376">
        <w:rPr>
          <w:lang w:val="sq-AL"/>
        </w:rPr>
        <w:t>5. Pagesa e vlerës korresponduese, në para, të sasisë së pjesës së “Albpetrol” sh.a.-së dhe prodhimit të gjykuar, kryhet brenda 10 ditëve nga data e lëshimit të faturës nga “Albpetrol” sh.a. Procedurat përcaktohen në marrëveshjen që do të lidhet midis palëve sipas pikës 2, të kreut I, të këtij udhëzimi.</w:t>
      </w:r>
    </w:p>
    <w:p w:rsidR="00EB1563" w:rsidRPr="00647376" w:rsidRDefault="00EB1563" w:rsidP="00EB1563">
      <w:pPr>
        <w:pStyle w:val="Paragraf02"/>
        <w:rPr>
          <w:lang w:val="sq-AL"/>
        </w:rPr>
      </w:pPr>
      <w:r w:rsidRPr="00647376">
        <w:rPr>
          <w:lang w:val="sq-AL"/>
        </w:rPr>
        <w:t>6. Kontraktorët do t’i faturojnë “Albpetrol” sh.a., nëse ka, vlerën e kostove të transportit apo kostove të tjera sipas germës “b” dhe/ose “c” të pikës 2 të kreut II të këtij udhëzimi. Në këto fatura do të përfshihet TVSH-ja.</w:t>
      </w:r>
    </w:p>
    <w:p w:rsidR="00EB1563" w:rsidRPr="00647376" w:rsidRDefault="00EB1563" w:rsidP="00EB1563">
      <w:pPr>
        <w:pStyle w:val="Paragraf02"/>
        <w:rPr>
          <w:lang w:val="sq-AL"/>
        </w:rPr>
      </w:pPr>
      <w:r w:rsidRPr="00647376">
        <w:rPr>
          <w:lang w:val="sq-AL"/>
        </w:rPr>
        <w:t xml:space="preserve">7. Për sasitë e prodhimit të gjykuar dhe pjesës së “Albpetrol”, sh.a., që do të merren në kundërvlerën e tyre në para, taksa e rentës minerare që zbatohet ndaj shitjes së sasive të prodhimit të gjykuar dhe pjesës së “Albpetrol”, sh.a.-së, do të paguhet nga kontraktorët në përputhje me ligjin për taksat kombëtare. </w:t>
      </w:r>
    </w:p>
    <w:p w:rsidR="00EB1563" w:rsidRPr="00647376" w:rsidRDefault="00EB1563" w:rsidP="00EB1563">
      <w:pPr>
        <w:pStyle w:val="Paragraf02"/>
        <w:rPr>
          <w:spacing w:val="-6"/>
          <w:lang w:val="sq-AL"/>
        </w:rPr>
      </w:pPr>
      <w:r w:rsidRPr="00647376">
        <w:rPr>
          <w:spacing w:val="-6"/>
          <w:lang w:val="sq-AL"/>
        </w:rPr>
        <w:t>7.1 Në faturën e lëshuar nga “Albpetrol” sh.a. sipas pikës 1 të këtij kreu, nga vlera totale me TVSh e faturës zbritet vetëm vlera e rentës minerare korresponduese e paguar nga kontraktori për sasinë e prodhimit të gjykuar, si detyrim i “Albpetrol” sh.a.</w:t>
      </w:r>
    </w:p>
    <w:p w:rsidR="00EB1563" w:rsidRPr="00647376" w:rsidRDefault="00EB1563" w:rsidP="00EB1563">
      <w:pPr>
        <w:pStyle w:val="Paragraf02"/>
        <w:rPr>
          <w:lang w:val="sq-AL"/>
        </w:rPr>
      </w:pPr>
      <w:r w:rsidRPr="00647376">
        <w:rPr>
          <w:lang w:val="sq-AL"/>
        </w:rPr>
        <w:t>7.2 Kontraktori ka detyrimin të dokumentojë vlerën e rentës së paguar për sasinë e prodhimit të gjykuar, vlerë e cila do të zbritet në faturë.</w:t>
      </w:r>
    </w:p>
    <w:p w:rsidR="00EB1563" w:rsidRPr="00647376" w:rsidRDefault="00EB1563" w:rsidP="00EB1563">
      <w:pPr>
        <w:pStyle w:val="Paragraf02"/>
        <w:rPr>
          <w:lang w:val="sq-AL"/>
        </w:rPr>
      </w:pPr>
      <w:r w:rsidRPr="00647376">
        <w:rPr>
          <w:lang w:val="sq-AL"/>
        </w:rPr>
        <w:t>8. Procedurat e marrjes në para të vlerës korresponduese të sasisë së prodhimit të gjykuar dhe të pjesës së “Albpetrol”, sh.a.-së, do të realizohen sipas shembullit  të paraqitur ne aneksin 1 të këtij udhëzimi.</w:t>
      </w:r>
    </w:p>
    <w:p w:rsidR="00EB1563" w:rsidRPr="00647376" w:rsidRDefault="00EB1563" w:rsidP="00EB1563">
      <w:pPr>
        <w:pStyle w:val="NeniNr"/>
        <w:rPr>
          <w:lang w:val="sq-AL"/>
        </w:rPr>
      </w:pPr>
      <w:r w:rsidRPr="00647376">
        <w:rPr>
          <w:lang w:val="sq-AL"/>
        </w:rPr>
        <w:t>KREU IV</w:t>
      </w:r>
    </w:p>
    <w:p w:rsidR="00EB1563" w:rsidRPr="00647376" w:rsidRDefault="00EB1563" w:rsidP="00EB1563">
      <w:pPr>
        <w:pStyle w:val="NeniNr"/>
        <w:rPr>
          <w:lang w:val="sq-AL"/>
        </w:rPr>
      </w:pPr>
      <w:r w:rsidRPr="00647376">
        <w:rPr>
          <w:lang w:val="sq-AL"/>
        </w:rPr>
        <w:t>RASTET E PEZULLIMIT</w:t>
      </w:r>
    </w:p>
    <w:p w:rsidR="00EB1563" w:rsidRPr="00647376" w:rsidRDefault="00EB1563" w:rsidP="00EB1563">
      <w:pPr>
        <w:pStyle w:val="Hapesira7"/>
        <w:rPr>
          <w:sz w:val="8"/>
          <w:lang w:val="sq-AL"/>
        </w:rPr>
      </w:pPr>
    </w:p>
    <w:p w:rsidR="00EB1563" w:rsidRPr="00647376" w:rsidRDefault="00EB1563" w:rsidP="00EB1563">
      <w:pPr>
        <w:pStyle w:val="Paragraf02"/>
        <w:rPr>
          <w:lang w:val="sq-AL"/>
        </w:rPr>
      </w:pPr>
      <w:r w:rsidRPr="00647376">
        <w:rPr>
          <w:lang w:val="sq-AL"/>
        </w:rPr>
        <w:t>1. Kur çmimi referues i muajit kalendarik përkatës rezulton më i vogël se çmimi i shitjes sipas kontratës së fundit të ankandit të zhvilluar nga “Albpetrol” sh.a., atëherë procedura e marrjes, në para, të vlerës korresponduese të sasisë së prodhimit të gjykuar dhe pjesës së “Albpetrol” sh.a.-së, do të pezullohet dhe detyrimi do të merret në naftë bruto në natyrë.</w:t>
      </w:r>
    </w:p>
    <w:p w:rsidR="00EB1563" w:rsidRPr="00647376" w:rsidRDefault="00EB1563" w:rsidP="00EB1563">
      <w:pPr>
        <w:pStyle w:val="Paragraf02"/>
        <w:rPr>
          <w:lang w:val="sq-AL"/>
        </w:rPr>
      </w:pPr>
      <w:r w:rsidRPr="00647376">
        <w:rPr>
          <w:lang w:val="sq-AL"/>
        </w:rPr>
        <w:t>2. Procedura e marrjes, në para, të vlerës korresponduese të sasisë së prodhimit të gjykuar dhe pjesës së “Albpetrol” sh.a., do të rifillojë në momentin që çmimi referues për muajin kalendarik do të rezultojë i barabartë ose më i madh se çmimi i shitjes sipas kontratës së ankandit të fundit.</w:t>
      </w:r>
    </w:p>
    <w:p w:rsidR="00EB1563" w:rsidRPr="00647376" w:rsidRDefault="00EB1563" w:rsidP="00EB1563">
      <w:pPr>
        <w:pStyle w:val="Paragraf02"/>
        <w:rPr>
          <w:lang w:val="sq-AL"/>
        </w:rPr>
      </w:pPr>
      <w:r w:rsidRPr="00647376">
        <w:rPr>
          <w:lang w:val="sq-AL"/>
        </w:rPr>
        <w:lastRenderedPageBreak/>
        <w:t>Ky udhëzim hyn në fuqi pas botimit në Fletoren Zyrtare.</w:t>
      </w:r>
    </w:p>
    <w:p w:rsidR="00EB1563" w:rsidRPr="00647376" w:rsidRDefault="00EB1563" w:rsidP="00EB1563">
      <w:pPr>
        <w:pStyle w:val="Hapesira7"/>
        <w:rPr>
          <w:lang w:val="sq-AL"/>
        </w:rPr>
      </w:pPr>
    </w:p>
    <w:p w:rsidR="00EB1563" w:rsidRPr="00647376" w:rsidRDefault="00EB1563" w:rsidP="00EB1563">
      <w:pPr>
        <w:pStyle w:val="Paragraf02"/>
        <w:jc w:val="right"/>
        <w:rPr>
          <w:lang w:val="sq-AL"/>
        </w:rPr>
      </w:pPr>
      <w:r w:rsidRPr="00647376">
        <w:rPr>
          <w:lang w:val="sq-AL"/>
        </w:rPr>
        <w:t>MINISTRI I ENERGJISË DHE INDUSTRISË</w:t>
      </w:r>
    </w:p>
    <w:p w:rsidR="00EB1563" w:rsidRPr="00647376" w:rsidRDefault="00EB1563" w:rsidP="00EB1563">
      <w:pPr>
        <w:pStyle w:val="Paragraf02"/>
        <w:jc w:val="right"/>
        <w:rPr>
          <w:b/>
          <w:lang w:val="sq-AL"/>
        </w:rPr>
      </w:pPr>
      <w:r w:rsidRPr="00647376">
        <w:rPr>
          <w:b/>
          <w:lang w:val="sq-AL"/>
        </w:rPr>
        <w:t>Damian Gjiknuri</w:t>
      </w:r>
    </w:p>
    <w:p w:rsidR="00EB1563" w:rsidRPr="00647376" w:rsidRDefault="00EB1563" w:rsidP="00EB1563">
      <w:pPr>
        <w:pStyle w:val="Hapesira7"/>
        <w:rPr>
          <w:lang w:val="sq-AL"/>
        </w:rPr>
      </w:pPr>
    </w:p>
    <w:p w:rsidR="00EB1563" w:rsidRPr="00647376" w:rsidRDefault="00EB1563" w:rsidP="00EB1563">
      <w:pPr>
        <w:pStyle w:val="Paragraf02"/>
        <w:jc w:val="right"/>
        <w:rPr>
          <w:lang w:val="sq-AL"/>
        </w:rPr>
      </w:pPr>
      <w:r w:rsidRPr="00647376">
        <w:rPr>
          <w:lang w:val="sq-AL"/>
        </w:rPr>
        <w:t>MINISTRI I FINANCAVE</w:t>
      </w:r>
    </w:p>
    <w:p w:rsidR="00EB1563" w:rsidRPr="00647376" w:rsidRDefault="00EB1563" w:rsidP="00EB1563">
      <w:pPr>
        <w:pStyle w:val="Paragraf02"/>
        <w:jc w:val="right"/>
        <w:rPr>
          <w:b/>
          <w:lang w:val="sq-AL"/>
        </w:rPr>
      </w:pPr>
      <w:r w:rsidRPr="00647376">
        <w:rPr>
          <w:b/>
          <w:lang w:val="sq-AL"/>
        </w:rPr>
        <w:t>Shkëlqim Cani</w:t>
      </w:r>
    </w:p>
    <w:p w:rsidR="00EB1563" w:rsidRPr="00647376" w:rsidRDefault="00EB1563" w:rsidP="00EB1563">
      <w:pPr>
        <w:pStyle w:val="NeniTitull"/>
        <w:keepNext w:val="0"/>
        <w:rPr>
          <w:sz w:val="14"/>
          <w:lang w:val="sq-AL"/>
        </w:rPr>
      </w:pPr>
    </w:p>
    <w:p w:rsidR="00EB1563" w:rsidRPr="00647376" w:rsidRDefault="00EB1563" w:rsidP="00EB1563">
      <w:pPr>
        <w:pStyle w:val="Paragrafi"/>
        <w:rPr>
          <w:lang w:val="sq-AL"/>
        </w:rPr>
      </w:pPr>
      <w:r w:rsidRPr="00647376">
        <w:rPr>
          <w:lang w:val="sq-AL"/>
        </w:rPr>
        <w:t>Aneksi 1: Shembull:</w:t>
      </w:r>
    </w:p>
    <w:p w:rsidR="00EB1563" w:rsidRPr="00647376" w:rsidRDefault="00EB1563" w:rsidP="00EB1563">
      <w:pPr>
        <w:pStyle w:val="Paragrafi"/>
        <w:rPr>
          <w:lang w:val="sq-AL"/>
        </w:rPr>
      </w:pPr>
      <w:r w:rsidRPr="00647376">
        <w:rPr>
          <w:lang w:val="sq-AL"/>
        </w:rPr>
        <w:t>Supozojmë se subjekti Y në muajin X ka realizuar shitjet e mëposhtme:</w:t>
      </w:r>
    </w:p>
    <w:tbl>
      <w:tblPr>
        <w:tblW w:w="4928" w:type="dxa"/>
        <w:tblLayout w:type="fixed"/>
        <w:tblLook w:val="04A0"/>
      </w:tblPr>
      <w:tblGrid>
        <w:gridCol w:w="371"/>
        <w:gridCol w:w="826"/>
        <w:gridCol w:w="861"/>
        <w:gridCol w:w="575"/>
        <w:gridCol w:w="594"/>
        <w:gridCol w:w="850"/>
        <w:gridCol w:w="851"/>
      </w:tblGrid>
      <w:tr w:rsidR="00EB1563" w:rsidRPr="00647376" w:rsidTr="00525CC8">
        <w:trPr>
          <w:trHeight w:val="184"/>
        </w:trPr>
        <w:tc>
          <w:tcPr>
            <w:tcW w:w="371"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b/>
                <w:bCs/>
                <w:color w:val="000000"/>
                <w:sz w:val="12"/>
                <w:szCs w:val="12"/>
                <w:lang w:val="sq-AL"/>
              </w:rPr>
            </w:pPr>
            <w:r w:rsidRPr="00647376">
              <w:rPr>
                <w:b/>
                <w:bCs/>
                <w:color w:val="000000"/>
                <w:sz w:val="12"/>
                <w:szCs w:val="12"/>
                <w:lang w:val="sq-AL"/>
              </w:rPr>
              <w:t>Nr</w:t>
            </w:r>
          </w:p>
        </w:tc>
        <w:tc>
          <w:tcPr>
            <w:tcW w:w="826" w:type="dxa"/>
            <w:tcBorders>
              <w:top w:val="single" w:sz="8" w:space="0" w:color="auto"/>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jc w:val="center"/>
              <w:rPr>
                <w:b/>
                <w:bCs/>
                <w:color w:val="000000"/>
                <w:sz w:val="12"/>
                <w:szCs w:val="12"/>
                <w:lang w:val="sq-AL"/>
              </w:rPr>
            </w:pPr>
            <w:r w:rsidRPr="00647376">
              <w:rPr>
                <w:b/>
                <w:bCs/>
                <w:color w:val="000000"/>
                <w:sz w:val="12"/>
                <w:szCs w:val="12"/>
                <w:lang w:val="sq-AL"/>
              </w:rPr>
              <w:t>Emërtimi</w:t>
            </w:r>
          </w:p>
        </w:tc>
        <w:tc>
          <w:tcPr>
            <w:tcW w:w="861" w:type="dxa"/>
            <w:tcBorders>
              <w:top w:val="single" w:sz="8" w:space="0" w:color="auto"/>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jc w:val="center"/>
              <w:rPr>
                <w:b/>
                <w:bCs/>
                <w:color w:val="000000"/>
                <w:sz w:val="12"/>
                <w:szCs w:val="12"/>
                <w:lang w:val="sq-AL"/>
              </w:rPr>
            </w:pPr>
            <w:r w:rsidRPr="00647376">
              <w:rPr>
                <w:b/>
                <w:bCs/>
                <w:color w:val="000000"/>
                <w:sz w:val="12"/>
                <w:szCs w:val="12"/>
                <w:lang w:val="sq-AL"/>
              </w:rPr>
              <w:t>Shitur në</w:t>
            </w:r>
          </w:p>
        </w:tc>
        <w:tc>
          <w:tcPr>
            <w:tcW w:w="575" w:type="dxa"/>
            <w:tcBorders>
              <w:top w:val="single" w:sz="8" w:space="0" w:color="auto"/>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jc w:val="center"/>
              <w:rPr>
                <w:b/>
                <w:bCs/>
                <w:color w:val="000000"/>
                <w:sz w:val="12"/>
                <w:szCs w:val="12"/>
                <w:lang w:val="sq-AL"/>
              </w:rPr>
            </w:pPr>
            <w:r w:rsidRPr="00647376">
              <w:rPr>
                <w:b/>
                <w:bCs/>
                <w:color w:val="000000"/>
                <w:sz w:val="12"/>
                <w:szCs w:val="12"/>
                <w:lang w:val="sq-AL"/>
              </w:rPr>
              <w:t>Sasia</w:t>
            </w:r>
          </w:p>
        </w:tc>
        <w:tc>
          <w:tcPr>
            <w:tcW w:w="594" w:type="dxa"/>
            <w:tcBorders>
              <w:top w:val="single" w:sz="8" w:space="0" w:color="auto"/>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jc w:val="center"/>
              <w:rPr>
                <w:b/>
                <w:bCs/>
                <w:color w:val="000000"/>
                <w:sz w:val="12"/>
                <w:szCs w:val="12"/>
                <w:lang w:val="sq-AL"/>
              </w:rPr>
            </w:pPr>
            <w:r w:rsidRPr="00647376">
              <w:rPr>
                <w:b/>
                <w:bCs/>
                <w:caps/>
                <w:color w:val="000000"/>
                <w:sz w:val="12"/>
                <w:szCs w:val="12"/>
                <w:lang w:val="sq-AL"/>
              </w:rPr>
              <w:t>ç</w:t>
            </w:r>
            <w:r w:rsidRPr="00647376">
              <w:rPr>
                <w:b/>
                <w:bCs/>
                <w:color w:val="000000"/>
                <w:sz w:val="12"/>
                <w:szCs w:val="12"/>
                <w:lang w:val="sq-AL"/>
              </w:rPr>
              <w:t>mimi</w:t>
            </w:r>
          </w:p>
        </w:tc>
        <w:tc>
          <w:tcPr>
            <w:tcW w:w="850" w:type="dxa"/>
            <w:tcBorders>
              <w:top w:val="single" w:sz="8" w:space="0" w:color="auto"/>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jc w:val="center"/>
              <w:rPr>
                <w:b/>
                <w:bCs/>
                <w:color w:val="000000"/>
                <w:sz w:val="12"/>
                <w:szCs w:val="12"/>
                <w:lang w:val="sq-AL"/>
              </w:rPr>
            </w:pPr>
            <w:r w:rsidRPr="00647376">
              <w:rPr>
                <w:b/>
                <w:bCs/>
                <w:color w:val="000000"/>
                <w:sz w:val="12"/>
                <w:szCs w:val="12"/>
                <w:lang w:val="sq-AL"/>
              </w:rPr>
              <w:t>Vlera pa TVSH</w:t>
            </w:r>
          </w:p>
        </w:tc>
        <w:tc>
          <w:tcPr>
            <w:tcW w:w="851" w:type="dxa"/>
            <w:tcBorders>
              <w:top w:val="single" w:sz="8" w:space="0" w:color="auto"/>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jc w:val="center"/>
              <w:rPr>
                <w:b/>
                <w:bCs/>
                <w:color w:val="000000"/>
                <w:sz w:val="12"/>
                <w:szCs w:val="12"/>
                <w:lang w:val="sq-AL"/>
              </w:rPr>
            </w:pPr>
            <w:r w:rsidRPr="00647376">
              <w:rPr>
                <w:b/>
                <w:bCs/>
                <w:color w:val="000000"/>
                <w:sz w:val="12"/>
                <w:szCs w:val="12"/>
                <w:lang w:val="sq-AL"/>
              </w:rPr>
              <w:t>Vlera me TVSH</w:t>
            </w:r>
          </w:p>
        </w:tc>
      </w:tr>
      <w:tr w:rsidR="00EB1563" w:rsidRPr="00647376" w:rsidTr="00525CC8">
        <w:trPr>
          <w:trHeight w:val="300"/>
        </w:trPr>
        <w:tc>
          <w:tcPr>
            <w:tcW w:w="371" w:type="dxa"/>
            <w:tcBorders>
              <w:top w:val="nil"/>
              <w:left w:val="single" w:sz="8"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1</w:t>
            </w:r>
          </w:p>
        </w:tc>
        <w:tc>
          <w:tcPr>
            <w:tcW w:w="82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Shitje nafte</w:t>
            </w:r>
          </w:p>
        </w:tc>
        <w:tc>
          <w:tcPr>
            <w:tcW w:w="861"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Pikë lëvrimi</w:t>
            </w:r>
          </w:p>
        </w:tc>
        <w:tc>
          <w:tcPr>
            <w:tcW w:w="575"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1,500 </w:t>
            </w:r>
          </w:p>
        </w:tc>
        <w:tc>
          <w:tcPr>
            <w:tcW w:w="594"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30,200 </w:t>
            </w:r>
          </w:p>
        </w:tc>
        <w:tc>
          <w:tcPr>
            <w:tcW w:w="850"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45,300,000 </w:t>
            </w:r>
          </w:p>
        </w:tc>
        <w:tc>
          <w:tcPr>
            <w:tcW w:w="851" w:type="dxa"/>
            <w:tcBorders>
              <w:top w:val="nil"/>
              <w:left w:val="nil"/>
              <w:bottom w:val="single" w:sz="4" w:space="0" w:color="auto"/>
              <w:right w:val="single" w:sz="8"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54,360,000 </w:t>
            </w:r>
          </w:p>
        </w:tc>
      </w:tr>
      <w:tr w:rsidR="00EB1563" w:rsidRPr="00647376" w:rsidTr="00525CC8">
        <w:trPr>
          <w:trHeight w:val="197"/>
        </w:trPr>
        <w:tc>
          <w:tcPr>
            <w:tcW w:w="371" w:type="dxa"/>
            <w:tcBorders>
              <w:top w:val="nil"/>
              <w:left w:val="single" w:sz="8"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2</w:t>
            </w:r>
          </w:p>
        </w:tc>
        <w:tc>
          <w:tcPr>
            <w:tcW w:w="82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Shitje nafte</w:t>
            </w:r>
          </w:p>
        </w:tc>
        <w:tc>
          <w:tcPr>
            <w:tcW w:w="861"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Pikë lëvrimi</w:t>
            </w:r>
          </w:p>
        </w:tc>
        <w:tc>
          <w:tcPr>
            <w:tcW w:w="575"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1,200 </w:t>
            </w:r>
          </w:p>
        </w:tc>
        <w:tc>
          <w:tcPr>
            <w:tcW w:w="594"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30,150 </w:t>
            </w:r>
          </w:p>
        </w:tc>
        <w:tc>
          <w:tcPr>
            <w:tcW w:w="850"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36,180,000 </w:t>
            </w:r>
          </w:p>
        </w:tc>
        <w:tc>
          <w:tcPr>
            <w:tcW w:w="851" w:type="dxa"/>
            <w:tcBorders>
              <w:top w:val="nil"/>
              <w:left w:val="nil"/>
              <w:bottom w:val="single" w:sz="4" w:space="0" w:color="auto"/>
              <w:right w:val="single" w:sz="8"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43,416,000 </w:t>
            </w:r>
          </w:p>
        </w:tc>
      </w:tr>
      <w:tr w:rsidR="00EB1563" w:rsidRPr="00647376" w:rsidTr="00525CC8">
        <w:trPr>
          <w:trHeight w:val="128"/>
        </w:trPr>
        <w:tc>
          <w:tcPr>
            <w:tcW w:w="371" w:type="dxa"/>
            <w:tcBorders>
              <w:top w:val="nil"/>
              <w:left w:val="single" w:sz="8"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3</w:t>
            </w:r>
          </w:p>
        </w:tc>
        <w:tc>
          <w:tcPr>
            <w:tcW w:w="82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Shitje nafte</w:t>
            </w:r>
          </w:p>
        </w:tc>
        <w:tc>
          <w:tcPr>
            <w:tcW w:w="861"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Pika X</w:t>
            </w:r>
          </w:p>
        </w:tc>
        <w:tc>
          <w:tcPr>
            <w:tcW w:w="575"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2,500 </w:t>
            </w:r>
          </w:p>
        </w:tc>
        <w:tc>
          <w:tcPr>
            <w:tcW w:w="594"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32,000 </w:t>
            </w:r>
          </w:p>
        </w:tc>
        <w:tc>
          <w:tcPr>
            <w:tcW w:w="850"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80,000,000 </w:t>
            </w:r>
          </w:p>
        </w:tc>
        <w:tc>
          <w:tcPr>
            <w:tcW w:w="851" w:type="dxa"/>
            <w:tcBorders>
              <w:top w:val="nil"/>
              <w:left w:val="nil"/>
              <w:bottom w:val="single" w:sz="4" w:space="0" w:color="auto"/>
              <w:right w:val="single" w:sz="8"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96,000,000 </w:t>
            </w:r>
          </w:p>
        </w:tc>
      </w:tr>
      <w:tr w:rsidR="00EB1563" w:rsidRPr="00647376" w:rsidTr="00525CC8">
        <w:trPr>
          <w:trHeight w:val="102"/>
        </w:trPr>
        <w:tc>
          <w:tcPr>
            <w:tcW w:w="371" w:type="dxa"/>
            <w:tcBorders>
              <w:top w:val="nil"/>
              <w:left w:val="single" w:sz="8"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4</w:t>
            </w:r>
          </w:p>
        </w:tc>
        <w:tc>
          <w:tcPr>
            <w:tcW w:w="82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Shitje nafte</w:t>
            </w:r>
          </w:p>
        </w:tc>
        <w:tc>
          <w:tcPr>
            <w:tcW w:w="861"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Pika X</w:t>
            </w:r>
          </w:p>
        </w:tc>
        <w:tc>
          <w:tcPr>
            <w:tcW w:w="575"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2,200 </w:t>
            </w:r>
          </w:p>
        </w:tc>
        <w:tc>
          <w:tcPr>
            <w:tcW w:w="594"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32,500 </w:t>
            </w:r>
          </w:p>
        </w:tc>
        <w:tc>
          <w:tcPr>
            <w:tcW w:w="850"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71,500,000 </w:t>
            </w:r>
          </w:p>
        </w:tc>
        <w:tc>
          <w:tcPr>
            <w:tcW w:w="851" w:type="dxa"/>
            <w:tcBorders>
              <w:top w:val="nil"/>
              <w:left w:val="nil"/>
              <w:bottom w:val="single" w:sz="4" w:space="0" w:color="auto"/>
              <w:right w:val="single" w:sz="8"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85,800,000 </w:t>
            </w:r>
          </w:p>
        </w:tc>
      </w:tr>
      <w:tr w:rsidR="00EB1563" w:rsidRPr="00647376" w:rsidTr="00525CC8">
        <w:trPr>
          <w:trHeight w:val="77"/>
        </w:trPr>
        <w:tc>
          <w:tcPr>
            <w:tcW w:w="371" w:type="dxa"/>
            <w:tcBorders>
              <w:top w:val="nil"/>
              <w:left w:val="single" w:sz="8"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5</w:t>
            </w:r>
          </w:p>
        </w:tc>
        <w:tc>
          <w:tcPr>
            <w:tcW w:w="82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Shitje nafte</w:t>
            </w:r>
          </w:p>
        </w:tc>
        <w:tc>
          <w:tcPr>
            <w:tcW w:w="861"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Eksport</w:t>
            </w:r>
          </w:p>
        </w:tc>
        <w:tc>
          <w:tcPr>
            <w:tcW w:w="575"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8,500 </w:t>
            </w:r>
          </w:p>
        </w:tc>
        <w:tc>
          <w:tcPr>
            <w:tcW w:w="594"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34,560 </w:t>
            </w:r>
          </w:p>
        </w:tc>
        <w:tc>
          <w:tcPr>
            <w:tcW w:w="850"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293,760,000 </w:t>
            </w:r>
          </w:p>
        </w:tc>
        <w:tc>
          <w:tcPr>
            <w:tcW w:w="851" w:type="dxa"/>
            <w:tcBorders>
              <w:top w:val="nil"/>
              <w:left w:val="nil"/>
              <w:bottom w:val="single" w:sz="4" w:space="0" w:color="auto"/>
              <w:right w:val="single" w:sz="8" w:space="0" w:color="auto"/>
            </w:tcBorders>
            <w:shd w:val="clear" w:color="auto" w:fill="auto"/>
            <w:noWrap/>
            <w:vAlign w:val="bottom"/>
            <w:hideMark/>
          </w:tcPr>
          <w:p w:rsidR="00EB1563" w:rsidRPr="00647376" w:rsidRDefault="00EB1563" w:rsidP="00525CC8">
            <w:pPr>
              <w:pStyle w:val="Paragrafi"/>
              <w:ind w:firstLine="0"/>
              <w:rPr>
                <w:color w:val="000000"/>
                <w:sz w:val="12"/>
                <w:szCs w:val="12"/>
                <w:lang w:val="sq-AL"/>
              </w:rPr>
            </w:pPr>
            <w:r w:rsidRPr="00647376">
              <w:rPr>
                <w:color w:val="000000"/>
                <w:sz w:val="12"/>
                <w:szCs w:val="12"/>
                <w:lang w:val="sq-AL"/>
              </w:rPr>
              <w:t xml:space="preserve">352,512,000 </w:t>
            </w:r>
          </w:p>
        </w:tc>
      </w:tr>
      <w:tr w:rsidR="00EB1563" w:rsidRPr="00647376" w:rsidTr="00525CC8">
        <w:trPr>
          <w:trHeight w:val="147"/>
        </w:trPr>
        <w:tc>
          <w:tcPr>
            <w:tcW w:w="371" w:type="dxa"/>
            <w:tcBorders>
              <w:top w:val="nil"/>
              <w:left w:val="single" w:sz="8" w:space="0" w:color="auto"/>
              <w:bottom w:val="single" w:sz="8" w:space="0" w:color="auto"/>
              <w:right w:val="single" w:sz="4" w:space="0" w:color="auto"/>
            </w:tcBorders>
            <w:shd w:val="clear" w:color="auto" w:fill="auto"/>
            <w:noWrap/>
            <w:vAlign w:val="bottom"/>
            <w:hideMark/>
          </w:tcPr>
          <w:p w:rsidR="00EB1563" w:rsidRPr="00647376" w:rsidRDefault="00EB1563" w:rsidP="00525CC8">
            <w:pPr>
              <w:pStyle w:val="Paragrafi"/>
              <w:ind w:firstLine="0"/>
              <w:rPr>
                <w:bCs/>
                <w:color w:val="000000"/>
                <w:sz w:val="12"/>
                <w:szCs w:val="12"/>
                <w:lang w:val="sq-AL"/>
              </w:rPr>
            </w:pPr>
            <w:r w:rsidRPr="00647376">
              <w:rPr>
                <w:bCs/>
                <w:color w:val="000000"/>
                <w:sz w:val="12"/>
                <w:szCs w:val="12"/>
                <w:lang w:val="sq-AL"/>
              </w:rPr>
              <w:t> </w:t>
            </w:r>
          </w:p>
        </w:tc>
        <w:tc>
          <w:tcPr>
            <w:tcW w:w="826" w:type="dxa"/>
            <w:tcBorders>
              <w:top w:val="nil"/>
              <w:left w:val="nil"/>
              <w:bottom w:val="single" w:sz="8" w:space="0" w:color="auto"/>
              <w:right w:val="single" w:sz="4" w:space="0" w:color="auto"/>
            </w:tcBorders>
            <w:shd w:val="clear" w:color="auto" w:fill="auto"/>
            <w:noWrap/>
            <w:vAlign w:val="bottom"/>
            <w:hideMark/>
          </w:tcPr>
          <w:p w:rsidR="00EB1563" w:rsidRPr="00647376" w:rsidRDefault="00EB1563" w:rsidP="00525CC8">
            <w:pPr>
              <w:pStyle w:val="Paragrafi"/>
              <w:ind w:firstLine="0"/>
              <w:rPr>
                <w:bCs/>
                <w:color w:val="000000"/>
                <w:sz w:val="12"/>
                <w:szCs w:val="12"/>
                <w:lang w:val="sq-AL"/>
              </w:rPr>
            </w:pPr>
            <w:r w:rsidRPr="00647376">
              <w:rPr>
                <w:bCs/>
                <w:color w:val="000000"/>
                <w:sz w:val="12"/>
                <w:szCs w:val="12"/>
                <w:lang w:val="sq-AL"/>
              </w:rPr>
              <w:t> </w:t>
            </w:r>
          </w:p>
        </w:tc>
        <w:tc>
          <w:tcPr>
            <w:tcW w:w="861" w:type="dxa"/>
            <w:tcBorders>
              <w:top w:val="nil"/>
              <w:left w:val="nil"/>
              <w:bottom w:val="single" w:sz="8" w:space="0" w:color="auto"/>
              <w:right w:val="single" w:sz="4" w:space="0" w:color="auto"/>
            </w:tcBorders>
            <w:shd w:val="clear" w:color="auto" w:fill="auto"/>
            <w:noWrap/>
            <w:vAlign w:val="bottom"/>
            <w:hideMark/>
          </w:tcPr>
          <w:p w:rsidR="00EB1563" w:rsidRPr="00647376" w:rsidRDefault="00EB1563" w:rsidP="00525CC8">
            <w:pPr>
              <w:pStyle w:val="Paragrafi"/>
              <w:ind w:firstLine="0"/>
              <w:rPr>
                <w:bCs/>
                <w:color w:val="000000"/>
                <w:sz w:val="12"/>
                <w:szCs w:val="12"/>
                <w:lang w:val="sq-AL"/>
              </w:rPr>
            </w:pPr>
            <w:r w:rsidRPr="00647376">
              <w:rPr>
                <w:bCs/>
                <w:color w:val="000000"/>
                <w:sz w:val="12"/>
                <w:szCs w:val="12"/>
                <w:lang w:val="sq-AL"/>
              </w:rPr>
              <w:t> </w:t>
            </w:r>
          </w:p>
        </w:tc>
        <w:tc>
          <w:tcPr>
            <w:tcW w:w="575" w:type="dxa"/>
            <w:tcBorders>
              <w:top w:val="nil"/>
              <w:left w:val="nil"/>
              <w:bottom w:val="single" w:sz="8" w:space="0" w:color="auto"/>
              <w:right w:val="single" w:sz="4" w:space="0" w:color="auto"/>
            </w:tcBorders>
            <w:shd w:val="clear" w:color="auto" w:fill="auto"/>
            <w:noWrap/>
            <w:vAlign w:val="bottom"/>
            <w:hideMark/>
          </w:tcPr>
          <w:p w:rsidR="00EB1563" w:rsidRPr="00647376" w:rsidRDefault="00EB1563" w:rsidP="00525CC8">
            <w:pPr>
              <w:pStyle w:val="Paragrafi"/>
              <w:ind w:firstLine="0"/>
              <w:rPr>
                <w:b/>
                <w:bCs/>
                <w:color w:val="000000"/>
                <w:sz w:val="12"/>
                <w:szCs w:val="12"/>
                <w:lang w:val="sq-AL"/>
              </w:rPr>
            </w:pPr>
            <w:r w:rsidRPr="00647376">
              <w:rPr>
                <w:b/>
                <w:bCs/>
                <w:color w:val="000000"/>
                <w:sz w:val="12"/>
                <w:szCs w:val="12"/>
                <w:lang w:val="sq-AL"/>
              </w:rPr>
              <w:t xml:space="preserve">15,900 </w:t>
            </w:r>
          </w:p>
        </w:tc>
        <w:tc>
          <w:tcPr>
            <w:tcW w:w="594" w:type="dxa"/>
            <w:tcBorders>
              <w:top w:val="nil"/>
              <w:left w:val="nil"/>
              <w:bottom w:val="single" w:sz="8" w:space="0" w:color="auto"/>
              <w:right w:val="single" w:sz="4" w:space="0" w:color="auto"/>
            </w:tcBorders>
            <w:shd w:val="clear" w:color="auto" w:fill="auto"/>
            <w:noWrap/>
            <w:vAlign w:val="bottom"/>
            <w:hideMark/>
          </w:tcPr>
          <w:p w:rsidR="00EB1563" w:rsidRPr="00647376" w:rsidRDefault="00EB1563" w:rsidP="00525CC8">
            <w:pPr>
              <w:pStyle w:val="Paragrafi"/>
              <w:ind w:firstLine="0"/>
              <w:rPr>
                <w:b/>
                <w:bCs/>
                <w:color w:val="000000"/>
                <w:sz w:val="12"/>
                <w:szCs w:val="12"/>
                <w:lang w:val="sq-AL"/>
              </w:rPr>
            </w:pPr>
            <w:r w:rsidRPr="00647376">
              <w:rPr>
                <w:b/>
                <w:bCs/>
                <w:color w:val="000000"/>
                <w:sz w:val="12"/>
                <w:szCs w:val="12"/>
                <w:lang w:val="sq-AL"/>
              </w:rPr>
              <w:t> </w:t>
            </w:r>
          </w:p>
        </w:tc>
        <w:tc>
          <w:tcPr>
            <w:tcW w:w="850" w:type="dxa"/>
            <w:tcBorders>
              <w:top w:val="nil"/>
              <w:left w:val="nil"/>
              <w:bottom w:val="single" w:sz="8" w:space="0" w:color="auto"/>
              <w:right w:val="single" w:sz="4" w:space="0" w:color="auto"/>
            </w:tcBorders>
            <w:shd w:val="clear" w:color="auto" w:fill="auto"/>
            <w:noWrap/>
            <w:vAlign w:val="bottom"/>
            <w:hideMark/>
          </w:tcPr>
          <w:p w:rsidR="00EB1563" w:rsidRPr="00647376" w:rsidRDefault="00EB1563" w:rsidP="00525CC8">
            <w:pPr>
              <w:pStyle w:val="Paragrafi"/>
              <w:ind w:firstLine="0"/>
              <w:rPr>
                <w:b/>
                <w:bCs/>
                <w:color w:val="000000"/>
                <w:sz w:val="12"/>
                <w:szCs w:val="12"/>
                <w:lang w:val="sq-AL"/>
              </w:rPr>
            </w:pPr>
            <w:r w:rsidRPr="00647376">
              <w:rPr>
                <w:b/>
                <w:bCs/>
                <w:color w:val="000000"/>
                <w:sz w:val="12"/>
                <w:szCs w:val="12"/>
                <w:lang w:val="sq-AL"/>
              </w:rPr>
              <w:t xml:space="preserve">526,740,000 </w:t>
            </w:r>
          </w:p>
        </w:tc>
        <w:tc>
          <w:tcPr>
            <w:tcW w:w="851" w:type="dxa"/>
            <w:tcBorders>
              <w:top w:val="nil"/>
              <w:left w:val="nil"/>
              <w:bottom w:val="single" w:sz="8" w:space="0" w:color="auto"/>
              <w:right w:val="single" w:sz="4" w:space="0" w:color="auto"/>
            </w:tcBorders>
            <w:shd w:val="clear" w:color="auto" w:fill="auto"/>
            <w:noWrap/>
            <w:vAlign w:val="bottom"/>
            <w:hideMark/>
          </w:tcPr>
          <w:p w:rsidR="00EB1563" w:rsidRPr="00647376" w:rsidRDefault="00EB1563" w:rsidP="00525CC8">
            <w:pPr>
              <w:pStyle w:val="Paragrafi"/>
              <w:ind w:firstLine="0"/>
              <w:rPr>
                <w:b/>
                <w:bCs/>
                <w:color w:val="000000"/>
                <w:sz w:val="12"/>
                <w:szCs w:val="12"/>
                <w:lang w:val="sq-AL"/>
              </w:rPr>
            </w:pPr>
            <w:r w:rsidRPr="00647376">
              <w:rPr>
                <w:b/>
                <w:bCs/>
                <w:color w:val="000000"/>
                <w:sz w:val="12"/>
                <w:szCs w:val="12"/>
                <w:lang w:val="sq-AL"/>
              </w:rPr>
              <w:t xml:space="preserve">632,088,000 </w:t>
            </w:r>
          </w:p>
        </w:tc>
      </w:tr>
    </w:tbl>
    <w:p w:rsidR="00EB1563" w:rsidRPr="00647376" w:rsidRDefault="00EB1563" w:rsidP="00EB1563">
      <w:pPr>
        <w:pStyle w:val="Paragrafi"/>
        <w:rPr>
          <w:spacing w:val="-4"/>
          <w:lang w:val="sq-AL"/>
        </w:rPr>
      </w:pPr>
      <w:r w:rsidRPr="00647376">
        <w:rPr>
          <w:spacing w:val="-4"/>
          <w:lang w:val="sq-AL"/>
        </w:rPr>
        <w:t>A. Llogaritja e çmimit referues:</w:t>
      </w:r>
    </w:p>
    <w:p w:rsidR="00EB1563" w:rsidRPr="00647376" w:rsidRDefault="00EB1563" w:rsidP="00EB1563">
      <w:pPr>
        <w:pStyle w:val="Paragrafi"/>
        <w:rPr>
          <w:spacing w:val="-4"/>
          <w:lang w:val="sq-AL"/>
        </w:rPr>
      </w:pPr>
      <w:r w:rsidRPr="00647376">
        <w:rPr>
          <w:spacing w:val="-4"/>
          <w:lang w:val="sq-AL"/>
        </w:rPr>
        <w:t>Supozojmë se subjekti Y i detyrohet “Albpetrol” sh.a. për muajin X sasinë e naftës të prodhimit të gjykuar prej 560 tonë. Në përputhje me VKM nr. 947, faturimi nga ana e “Albpetrol” sh.a. do të bëhet me çmimin mesatar të ponderuar të naftës bruto të shitur nga kontraktori.  Mbështetur në të dhënat e shitjeve, të cilat do të raportohen “Albpetrol” sh.a.  nga subjekti Y, duke marrë si shembull të shitjeve tabelën e mësipërme, atëherë çmimi mesatar i ponderuar do të rezultojë 526,740,000 lekë/15,900 ton, pra 33,128 lekë/ton.</w:t>
      </w:r>
    </w:p>
    <w:p w:rsidR="00EB1563" w:rsidRPr="00647376" w:rsidRDefault="00EB1563" w:rsidP="00EB1563">
      <w:pPr>
        <w:pStyle w:val="Paragrafi"/>
        <w:rPr>
          <w:spacing w:val="-4"/>
          <w:lang w:val="sq-AL"/>
        </w:rPr>
      </w:pPr>
      <w:r w:rsidRPr="00647376">
        <w:rPr>
          <w:spacing w:val="-4"/>
          <w:lang w:val="sq-AL"/>
        </w:rPr>
        <w:t>Pra “Albpetrol” sh.a</w:t>
      </w:r>
      <w:r>
        <w:rPr>
          <w:spacing w:val="-4"/>
          <w:lang w:val="sq-AL"/>
        </w:rPr>
        <w:t>.</w:t>
      </w:r>
      <w:r w:rsidRPr="00647376">
        <w:rPr>
          <w:spacing w:val="-4"/>
          <w:lang w:val="sq-AL"/>
        </w:rPr>
        <w:t xml:space="preserve"> do të faturojë 560 tonë x 33,128 lekë/ton,  pra 18,551,680 lekë pa T</w:t>
      </w:r>
      <w:r w:rsidRPr="00647376">
        <w:rPr>
          <w:caps/>
          <w:spacing w:val="-4"/>
          <w:lang w:val="sq-AL"/>
        </w:rPr>
        <w:t>vs</w:t>
      </w:r>
      <w:r w:rsidRPr="00647376">
        <w:rPr>
          <w:spacing w:val="-4"/>
          <w:lang w:val="sq-AL"/>
        </w:rPr>
        <w:t xml:space="preserve">H ose 22,262,016 lekë me TVSH. </w:t>
      </w:r>
    </w:p>
    <w:p w:rsidR="00EB1563" w:rsidRPr="00647376" w:rsidRDefault="00EB1563" w:rsidP="00EB1563">
      <w:pPr>
        <w:pStyle w:val="Paragrafi"/>
        <w:rPr>
          <w:spacing w:val="-4"/>
          <w:lang w:val="sq-AL"/>
        </w:rPr>
      </w:pPr>
    </w:p>
    <w:p w:rsidR="00EB1563" w:rsidRPr="00647376" w:rsidRDefault="00EB1563" w:rsidP="00EB1563">
      <w:pPr>
        <w:pStyle w:val="Paragrafi"/>
        <w:rPr>
          <w:spacing w:val="-4"/>
          <w:lang w:val="sq-AL"/>
        </w:rPr>
      </w:pPr>
    </w:p>
    <w:tbl>
      <w:tblPr>
        <w:tblW w:w="0" w:type="auto"/>
        <w:tblLook w:val="04A0"/>
      </w:tblPr>
      <w:tblGrid>
        <w:gridCol w:w="938"/>
        <w:gridCol w:w="811"/>
        <w:gridCol w:w="926"/>
        <w:gridCol w:w="811"/>
        <w:gridCol w:w="1158"/>
      </w:tblGrid>
      <w:tr w:rsidR="00EB1563" w:rsidRPr="00647376" w:rsidTr="00525CC8">
        <w:trPr>
          <w:trHeight w:val="198"/>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Sasia (ton)</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color w:val="000000"/>
                <w:sz w:val="16"/>
                <w:szCs w:val="16"/>
                <w:lang w:val="sq-AL"/>
              </w:rPr>
            </w:pPr>
            <w:r w:rsidRPr="00647376">
              <w:rPr>
                <w:b/>
                <w:caps/>
                <w:color w:val="000000"/>
                <w:sz w:val="16"/>
                <w:szCs w:val="16"/>
                <w:lang w:val="sq-AL"/>
              </w:rPr>
              <w:t>ç</w:t>
            </w:r>
            <w:r w:rsidRPr="00647376">
              <w:rPr>
                <w:b/>
                <w:color w:val="000000"/>
                <w:sz w:val="16"/>
                <w:szCs w:val="16"/>
                <w:lang w:val="sq-AL"/>
              </w:rPr>
              <w:t>mimi</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Vlera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TVSh</w:t>
            </w:r>
          </w:p>
        </w:tc>
        <w:tc>
          <w:tcPr>
            <w:tcW w:w="1158" w:type="dxa"/>
            <w:tcBorders>
              <w:top w:val="single" w:sz="4" w:space="0" w:color="auto"/>
              <w:left w:val="nil"/>
              <w:bottom w:val="single" w:sz="4" w:space="0" w:color="auto"/>
              <w:right w:val="single" w:sz="4" w:space="0" w:color="auto"/>
            </w:tcBorders>
            <w:shd w:val="clear" w:color="auto" w:fill="auto"/>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Vlera me TVSH</w:t>
            </w:r>
          </w:p>
        </w:tc>
      </w:tr>
      <w:tr w:rsidR="00EB1563" w:rsidRPr="00647376" w:rsidTr="00525CC8">
        <w:trPr>
          <w:trHeight w:val="8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560</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33,128.00 </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 18,551,680 </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3,710,336 </w:t>
            </w:r>
          </w:p>
        </w:tc>
        <w:tc>
          <w:tcPr>
            <w:tcW w:w="1158"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22,262,016 </w:t>
            </w:r>
          </w:p>
        </w:tc>
      </w:tr>
    </w:tbl>
    <w:p w:rsidR="00EB1563" w:rsidRPr="00647376" w:rsidRDefault="00EB1563" w:rsidP="00EB1563">
      <w:pPr>
        <w:pStyle w:val="Paragrafi"/>
        <w:rPr>
          <w:lang w:val="sq-AL"/>
        </w:rPr>
      </w:pPr>
      <w:r w:rsidRPr="00647376">
        <w:rPr>
          <w:lang w:val="sq-AL"/>
        </w:rPr>
        <w:t>Në këtë faturë, në mbështetje me pikën 6 të kreut III të udhëzimit, do të zbritet vlera e rentës së prodhimit të gjykuar.</w:t>
      </w:r>
    </w:p>
    <w:p w:rsidR="00EB1563" w:rsidRPr="00647376" w:rsidRDefault="00EB1563" w:rsidP="00EB1563">
      <w:pPr>
        <w:pStyle w:val="Paragrafi"/>
        <w:rPr>
          <w:lang w:val="sq-AL"/>
        </w:rPr>
      </w:pPr>
      <w:r w:rsidRPr="00647376">
        <w:rPr>
          <w:lang w:val="sq-AL"/>
        </w:rPr>
        <w:t>B. Në përputhje me shitjet e realizuara nga subjekti Y, rezulton se % e shitjeve në pika të ndryshme ndaj totalit janë si më poshtë:</w:t>
      </w:r>
    </w:p>
    <w:tbl>
      <w:tblPr>
        <w:tblW w:w="0" w:type="auto"/>
        <w:jc w:val="center"/>
        <w:tblLayout w:type="fixed"/>
        <w:tblLook w:val="04A0"/>
      </w:tblPr>
      <w:tblGrid>
        <w:gridCol w:w="1101"/>
        <w:gridCol w:w="708"/>
        <w:gridCol w:w="1276"/>
        <w:gridCol w:w="1276"/>
      </w:tblGrid>
      <w:tr w:rsidR="00EB1563" w:rsidRPr="00647376" w:rsidTr="00525CC8">
        <w:trPr>
          <w:trHeight w:val="252"/>
          <w:jc w:val="center"/>
        </w:trPr>
        <w:tc>
          <w:tcPr>
            <w:tcW w:w="1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bCs/>
                <w:color w:val="000000"/>
                <w:sz w:val="16"/>
                <w:szCs w:val="16"/>
                <w:lang w:val="sq-AL"/>
              </w:rPr>
            </w:pPr>
            <w:r w:rsidRPr="00647376">
              <w:rPr>
                <w:b/>
                <w:bCs/>
                <w:color w:val="000000"/>
                <w:sz w:val="16"/>
                <w:szCs w:val="16"/>
                <w:lang w:val="sq-AL"/>
              </w:rPr>
              <w:t>Shitur në</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bCs/>
                <w:color w:val="000000"/>
                <w:sz w:val="16"/>
                <w:szCs w:val="16"/>
                <w:lang w:val="sq-AL"/>
              </w:rPr>
            </w:pPr>
            <w:r w:rsidRPr="00647376">
              <w:rPr>
                <w:b/>
                <w:bCs/>
                <w:color w:val="000000"/>
                <w:sz w:val="16"/>
                <w:szCs w:val="16"/>
                <w:lang w:val="sq-AL"/>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Pjesa e Alb e ndarë sipas shitjeve (ton)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B1563" w:rsidRPr="00647376" w:rsidRDefault="00EB1563" w:rsidP="00525CC8">
            <w:pPr>
              <w:pStyle w:val="Paragrafi"/>
              <w:ind w:firstLine="0"/>
              <w:jc w:val="center"/>
              <w:rPr>
                <w:b/>
                <w:bCs/>
                <w:color w:val="000000"/>
                <w:sz w:val="16"/>
                <w:szCs w:val="16"/>
                <w:lang w:val="sq-AL"/>
              </w:rPr>
            </w:pPr>
            <w:r w:rsidRPr="00647376">
              <w:rPr>
                <w:b/>
                <w:bCs/>
                <w:color w:val="000000"/>
                <w:sz w:val="16"/>
                <w:szCs w:val="16"/>
                <w:lang w:val="sq-AL"/>
              </w:rPr>
              <w:t>Kostot lekë/ton</w:t>
            </w:r>
          </w:p>
        </w:tc>
      </w:tr>
      <w:tr w:rsidR="00EB1563" w:rsidRPr="00647376" w:rsidTr="00525CC8">
        <w:trPr>
          <w:trHeight w:val="113"/>
          <w:jc w:val="center"/>
        </w:trPr>
        <w:tc>
          <w:tcPr>
            <w:tcW w:w="1101" w:type="dxa"/>
            <w:tcBorders>
              <w:top w:val="nil"/>
              <w:left w:val="single" w:sz="4"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Pikë lëvrimi</w:t>
            </w:r>
          </w:p>
        </w:tc>
        <w:tc>
          <w:tcPr>
            <w:tcW w:w="708"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16.98 </w:t>
            </w:r>
          </w:p>
        </w:tc>
        <w:tc>
          <w:tcPr>
            <w:tcW w:w="127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95.09 </w:t>
            </w:r>
          </w:p>
        </w:tc>
        <w:tc>
          <w:tcPr>
            <w:tcW w:w="127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0</w:t>
            </w:r>
          </w:p>
        </w:tc>
      </w:tr>
      <w:tr w:rsidR="00EB1563" w:rsidRPr="00647376" w:rsidTr="00525CC8">
        <w:trPr>
          <w:trHeight w:val="173"/>
          <w:jc w:val="center"/>
        </w:trPr>
        <w:tc>
          <w:tcPr>
            <w:tcW w:w="1101" w:type="dxa"/>
            <w:tcBorders>
              <w:top w:val="nil"/>
              <w:left w:val="single" w:sz="4"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Pika X</w:t>
            </w:r>
          </w:p>
        </w:tc>
        <w:tc>
          <w:tcPr>
            <w:tcW w:w="708"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29.56 </w:t>
            </w:r>
          </w:p>
        </w:tc>
        <w:tc>
          <w:tcPr>
            <w:tcW w:w="127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165.53 </w:t>
            </w:r>
          </w:p>
        </w:tc>
        <w:tc>
          <w:tcPr>
            <w:tcW w:w="127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3,100 </w:t>
            </w:r>
          </w:p>
        </w:tc>
      </w:tr>
      <w:tr w:rsidR="00EB1563" w:rsidRPr="00647376" w:rsidTr="00525CC8">
        <w:trPr>
          <w:trHeight w:val="132"/>
          <w:jc w:val="center"/>
        </w:trPr>
        <w:tc>
          <w:tcPr>
            <w:tcW w:w="1101" w:type="dxa"/>
            <w:tcBorders>
              <w:top w:val="nil"/>
              <w:left w:val="single" w:sz="4"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Eksport</w:t>
            </w:r>
          </w:p>
        </w:tc>
        <w:tc>
          <w:tcPr>
            <w:tcW w:w="708"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53.46 </w:t>
            </w:r>
          </w:p>
        </w:tc>
        <w:tc>
          <w:tcPr>
            <w:tcW w:w="127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299.37 </w:t>
            </w:r>
          </w:p>
        </w:tc>
        <w:tc>
          <w:tcPr>
            <w:tcW w:w="127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6,500 </w:t>
            </w:r>
          </w:p>
        </w:tc>
      </w:tr>
      <w:tr w:rsidR="00EB1563" w:rsidRPr="00647376" w:rsidTr="00525CC8">
        <w:trPr>
          <w:trHeight w:val="78"/>
          <w:jc w:val="center"/>
        </w:trPr>
        <w:tc>
          <w:tcPr>
            <w:tcW w:w="1101" w:type="dxa"/>
            <w:tcBorders>
              <w:top w:val="nil"/>
              <w:left w:val="single" w:sz="4"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w:t>
            </w:r>
          </w:p>
        </w:tc>
        <w:tc>
          <w:tcPr>
            <w:tcW w:w="708"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100.00 </w:t>
            </w:r>
          </w:p>
        </w:tc>
        <w:tc>
          <w:tcPr>
            <w:tcW w:w="127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560.00 </w:t>
            </w:r>
          </w:p>
        </w:tc>
        <w:tc>
          <w:tcPr>
            <w:tcW w:w="1276" w:type="dxa"/>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w:t>
            </w:r>
          </w:p>
        </w:tc>
      </w:tr>
    </w:tbl>
    <w:p w:rsidR="00EB1563" w:rsidRPr="00647376" w:rsidRDefault="00EB1563" w:rsidP="00EB1563">
      <w:pPr>
        <w:pStyle w:val="Paragrafi"/>
        <w:rPr>
          <w:lang w:val="sq-AL"/>
        </w:rPr>
      </w:pPr>
      <w:r w:rsidRPr="00647376">
        <w:rPr>
          <w:lang w:val="sq-AL"/>
        </w:rPr>
        <w:t>Pra Subjekti Y do i faturojë “Albpetrol” sh.a. sipas përllogaritjeve të mëposhtme:</w:t>
      </w:r>
    </w:p>
    <w:tbl>
      <w:tblPr>
        <w:tblW w:w="0" w:type="auto"/>
        <w:jc w:val="center"/>
        <w:tblInd w:w="96" w:type="dxa"/>
        <w:tblLook w:val="04A0"/>
      </w:tblPr>
      <w:tblGrid>
        <w:gridCol w:w="626"/>
        <w:gridCol w:w="608"/>
        <w:gridCol w:w="851"/>
        <w:gridCol w:w="886"/>
        <w:gridCol w:w="1298"/>
      </w:tblGrid>
      <w:tr w:rsidR="00EB1563" w:rsidRPr="00647376" w:rsidTr="00525CC8">
        <w:trPr>
          <w:trHeight w:val="346"/>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Sasia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Kosto</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Vlera</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TVSH</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B1563" w:rsidRPr="00647376" w:rsidRDefault="00EB1563" w:rsidP="00525CC8">
            <w:pPr>
              <w:pStyle w:val="Paragrafi"/>
              <w:ind w:firstLine="0"/>
              <w:jc w:val="center"/>
              <w:rPr>
                <w:b/>
                <w:color w:val="000000"/>
                <w:sz w:val="16"/>
                <w:szCs w:val="16"/>
                <w:lang w:val="sq-AL"/>
              </w:rPr>
            </w:pPr>
            <w:r w:rsidRPr="00647376">
              <w:rPr>
                <w:b/>
                <w:color w:val="000000"/>
                <w:sz w:val="16"/>
                <w:szCs w:val="16"/>
                <w:lang w:val="sq-AL"/>
              </w:rPr>
              <w:t>Vlera me TVSH</w:t>
            </w:r>
          </w:p>
        </w:tc>
      </w:tr>
      <w:tr w:rsidR="00EB1563" w:rsidRPr="00647376" w:rsidTr="00525CC8">
        <w:trPr>
          <w:trHeight w:val="195"/>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163.53</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3,100 </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 506,943 </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101,388.60 </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 608,332 </w:t>
            </w:r>
          </w:p>
        </w:tc>
      </w:tr>
      <w:tr w:rsidR="00EB1563" w:rsidRPr="00647376" w:rsidTr="00525CC8">
        <w:trPr>
          <w:trHeight w:val="126"/>
          <w:jc w:val="center"/>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299.37</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 6,500 </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 1,945,905 </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389,181.00 </w:t>
            </w:r>
          </w:p>
        </w:tc>
        <w:tc>
          <w:tcPr>
            <w:tcW w:w="0" w:type="auto"/>
            <w:tcBorders>
              <w:top w:val="nil"/>
              <w:left w:val="nil"/>
              <w:bottom w:val="single" w:sz="4" w:space="0" w:color="auto"/>
              <w:right w:val="single" w:sz="4" w:space="0" w:color="auto"/>
            </w:tcBorders>
            <w:shd w:val="clear" w:color="auto" w:fill="auto"/>
            <w:noWrap/>
            <w:vAlign w:val="bottom"/>
            <w:hideMark/>
          </w:tcPr>
          <w:p w:rsidR="00EB1563" w:rsidRPr="00647376" w:rsidRDefault="00EB1563" w:rsidP="00525CC8">
            <w:pPr>
              <w:pStyle w:val="Paragrafi"/>
              <w:ind w:firstLine="0"/>
              <w:rPr>
                <w:color w:val="000000"/>
                <w:sz w:val="16"/>
                <w:szCs w:val="16"/>
                <w:lang w:val="sq-AL"/>
              </w:rPr>
            </w:pPr>
            <w:r w:rsidRPr="00647376">
              <w:rPr>
                <w:color w:val="000000"/>
                <w:sz w:val="16"/>
                <w:szCs w:val="16"/>
                <w:lang w:val="sq-AL"/>
              </w:rPr>
              <w:t xml:space="preserve">2,335,086 </w:t>
            </w:r>
          </w:p>
        </w:tc>
      </w:tr>
    </w:tbl>
    <w:p w:rsidR="00EB1563" w:rsidRPr="00647376" w:rsidRDefault="00EB1563" w:rsidP="00EB1563">
      <w:pPr>
        <w:pStyle w:val="Paragrafi"/>
        <w:rPr>
          <w:spacing w:val="-4"/>
          <w:lang w:val="sq-AL"/>
        </w:rPr>
      </w:pPr>
      <w:r w:rsidRPr="00647376">
        <w:rPr>
          <w:spacing w:val="-4"/>
          <w:lang w:val="sq-AL"/>
        </w:rPr>
        <w:t>Për përllogaritjen dhe zbritjen e kostove të transportit, subjektet kontraktore të marrëveshjeve hidrokarbure detyrohen të paraqesin pranë “Albpetrol” sh.a. kopje të kontratave dhe faturave përkatëse të transportit të kryer nga nënkontraktorët e tyre, të kontraktuar sipas përcaktimeve të marrëveshjeve hidrokarbure.</w:t>
      </w:r>
    </w:p>
    <w:p w:rsidR="00EB1563" w:rsidRPr="00647376" w:rsidRDefault="00EB1563" w:rsidP="00EB1563">
      <w:pPr>
        <w:pStyle w:val="Paragrafi"/>
        <w:rPr>
          <w:spacing w:val="-4"/>
          <w:lang w:val="sq-AL"/>
        </w:rPr>
      </w:pPr>
      <w:r w:rsidRPr="00647376">
        <w:rPr>
          <w:spacing w:val="-4"/>
          <w:lang w:val="sq-AL"/>
        </w:rPr>
        <w:t>Pra,  vlera që do t’i likuidohet “Albpetrol” sh.a. rezulton:</w:t>
      </w:r>
    </w:p>
    <w:p w:rsidR="00EB1563" w:rsidRPr="00647376" w:rsidRDefault="00EB1563" w:rsidP="00EB1563">
      <w:pPr>
        <w:pStyle w:val="Paragrafi"/>
        <w:rPr>
          <w:i/>
          <w:spacing w:val="-4"/>
          <w:lang w:val="sq-AL"/>
        </w:rPr>
      </w:pPr>
      <w:r w:rsidRPr="00647376">
        <w:rPr>
          <w:i/>
          <w:spacing w:val="-4"/>
          <w:lang w:val="sq-AL"/>
        </w:rPr>
        <w:t>Vlera e detyrimit të faturuar sipas pikës 6 të kreut  III të udhëzimit duke zbritur vlerën e shpenzimeve të transport, magazinimit (nëse ka), të faturuar sipas pikës 5 të kreut III të udhëzimit.</w:t>
      </w:r>
    </w:p>
    <w:p w:rsidR="00EB1563" w:rsidRPr="00647376" w:rsidRDefault="00EB1563" w:rsidP="00EB1563">
      <w:pPr>
        <w:pStyle w:val="Paragrafi"/>
        <w:rPr>
          <w:spacing w:val="-4"/>
          <w:lang w:val="sq-AL"/>
        </w:rPr>
      </w:pPr>
      <w:r w:rsidRPr="00647376">
        <w:rPr>
          <w:spacing w:val="-4"/>
          <w:lang w:val="sq-AL"/>
        </w:rPr>
        <w:t>C. Për pjesën e prodhimit të “Albpetrol” sh.a.</w:t>
      </w:r>
    </w:p>
    <w:p w:rsidR="00EB1563" w:rsidRPr="00647376" w:rsidRDefault="00EB1563" w:rsidP="00EB1563">
      <w:pPr>
        <w:pStyle w:val="Paragrafi"/>
        <w:rPr>
          <w:spacing w:val="-4"/>
          <w:lang w:val="sq-AL"/>
        </w:rPr>
      </w:pPr>
      <w:r w:rsidRPr="00647376">
        <w:rPr>
          <w:spacing w:val="-4"/>
          <w:lang w:val="sq-AL"/>
        </w:rPr>
        <w:lastRenderedPageBreak/>
        <w:t>Pjesa e prodhimit të “Albpetrol” sh.a.(PPA) do të faturohet çdo muaj sipas pikës 1 të kreut III të udhëzimit  dhe  në përputhje me marrëveshjen hidrokarbure, një herë në tre muaj, do të bëhet rifaturimi sipas shifrave të korrektuara të pjesës korresponduese për “Alpetrol” sh.a. Rifaturimi nga “Albpetrol” sh.a. bëhet në përputhje me pikën 2 të kreut 3 të udhëzimit, brenda 60 ditëve nga mbyllja e tremujorit.</w:t>
      </w:r>
    </w:p>
    <w:p w:rsidR="00EB1563" w:rsidRPr="00647376" w:rsidRDefault="00EB1563" w:rsidP="00EB1563">
      <w:pPr>
        <w:pStyle w:val="Paragrafi"/>
        <w:rPr>
          <w:lang w:val="sq-AL"/>
        </w:rPr>
      </w:pPr>
      <w:r w:rsidRPr="00647376">
        <w:rPr>
          <w:spacing w:val="-4"/>
          <w:lang w:val="sq-AL"/>
        </w:rPr>
        <w:t>Faturimi do të kryhet mbështetur në çmimin mesatar të ponderuar sipas muajve korrespondues dhe sasive përkatëse të muajve. Kështu në rast se do të faturohet PPA të tre</w:t>
      </w:r>
      <w:r w:rsidRPr="00647376">
        <w:rPr>
          <w:lang w:val="sq-AL"/>
        </w:rPr>
        <w:t>mujorit të parë, atëherë “Albpetrol” sh.a. do të faturojë sasitë përkatëse të prodhimit me çmimet përkatëse të muajit.</w:t>
      </w:r>
    </w:p>
    <w:p w:rsidR="00EB1563" w:rsidRPr="00647376" w:rsidRDefault="00EB1563" w:rsidP="00EB1563">
      <w:pPr>
        <w:pStyle w:val="Paragrafi"/>
        <w:rPr>
          <w:lang w:val="sq-AL"/>
        </w:rPr>
      </w:pPr>
      <w:r w:rsidRPr="00647376">
        <w:rPr>
          <w:lang w:val="sq-AL"/>
        </w:rPr>
        <w:t xml:space="preserve">Në këto fatura nuk do të zbritet renta minerare. Në përputhje me Marrëveshjen ajo është detyrim i </w:t>
      </w:r>
      <w:r>
        <w:rPr>
          <w:lang w:val="sq-AL"/>
        </w:rPr>
        <w:t>k</w:t>
      </w:r>
      <w:r w:rsidRPr="00647376">
        <w:rPr>
          <w:lang w:val="sq-AL"/>
        </w:rPr>
        <w:t>ontraktorit.</w:t>
      </w:r>
    </w:p>
    <w:p w:rsidR="00FD57DC" w:rsidRDefault="00EB156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EB1563"/>
    <w:rsid w:val="00013606"/>
    <w:rsid w:val="00032E53"/>
    <w:rsid w:val="001D125B"/>
    <w:rsid w:val="002C0AA4"/>
    <w:rsid w:val="002E7553"/>
    <w:rsid w:val="00332E0F"/>
    <w:rsid w:val="00455FC5"/>
    <w:rsid w:val="004A4709"/>
    <w:rsid w:val="00627136"/>
    <w:rsid w:val="006815F0"/>
    <w:rsid w:val="007A33AA"/>
    <w:rsid w:val="00912120"/>
    <w:rsid w:val="00A3508F"/>
    <w:rsid w:val="00A5300C"/>
    <w:rsid w:val="00B441A3"/>
    <w:rsid w:val="00D27DAF"/>
    <w:rsid w:val="00E12DC7"/>
    <w:rsid w:val="00EB1563"/>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563"/>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B1563"/>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B1563"/>
    <w:rPr>
      <w:rFonts w:ascii="Garamond" w:eastAsia="MS Mincho" w:hAnsi="Garamond" w:cs="CG Times"/>
      <w:sz w:val="24"/>
    </w:rPr>
  </w:style>
  <w:style w:type="paragraph" w:customStyle="1" w:styleId="NeniNr">
    <w:name w:val="Neni_Nr"/>
    <w:next w:val="Normal"/>
    <w:link w:val="NeniNrChar"/>
    <w:rsid w:val="00EB1563"/>
    <w:pPr>
      <w:keepNext/>
      <w:widowControl w:val="0"/>
      <w:jc w:val="center"/>
    </w:pPr>
    <w:rPr>
      <w:rFonts w:ascii="Garamond" w:eastAsia="MS Mincho" w:hAnsi="Garamond" w:cs="CG Times"/>
      <w:sz w:val="24"/>
      <w:lang w:val="en-GB"/>
    </w:rPr>
  </w:style>
  <w:style w:type="paragraph" w:customStyle="1" w:styleId="NeniTitull">
    <w:name w:val="Neni_Titull"/>
    <w:next w:val="Normal"/>
    <w:rsid w:val="00EB1563"/>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B1563"/>
    <w:rPr>
      <w:rFonts w:ascii="Garamond" w:eastAsia="MS Mincho" w:hAnsi="Garamond" w:cs="CG Times"/>
      <w:sz w:val="24"/>
      <w:lang w:val="en-GB"/>
    </w:rPr>
  </w:style>
  <w:style w:type="paragraph" w:customStyle="1" w:styleId="Hapesira7">
    <w:name w:val="Hapesira 7"/>
    <w:basedOn w:val="Paragrafi"/>
    <w:qFormat/>
    <w:rsid w:val="00EB1563"/>
    <w:rPr>
      <w:sz w:val="14"/>
      <w:szCs w:val="24"/>
    </w:rPr>
  </w:style>
  <w:style w:type="paragraph" w:customStyle="1" w:styleId="Paragraf02">
    <w:name w:val="Paragraf 0.2"/>
    <w:basedOn w:val="Paragrafi"/>
    <w:qFormat/>
    <w:rsid w:val="00EB1563"/>
    <w:pPr>
      <w:tabs>
        <w:tab w:val="left" w:pos="6575"/>
      </w:tabs>
    </w:pPr>
    <w:rPr>
      <w:spacing w:val="-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1578</Words>
  <Characters>8999</Characters>
  <Application>Microsoft Office Word</Application>
  <DocSecurity>0</DocSecurity>
  <Lines>74</Lines>
  <Paragraphs>21</Paragraphs>
  <ScaleCrop>false</ScaleCrop>
  <Company>Grizli777</Company>
  <LinksUpToDate>false</LinksUpToDate>
  <CharactersWithSpaces>10556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2015-06-10T10:56:00Z</dcterms:created>
  <dcterms:modified xsi:type="dcterms:W3CDTF">2015-06-10T10:57:00Z</dcterms:modified>
</cp:coreProperties>
</file>