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C5B" w:rsidRPr="00065132" w:rsidRDefault="00033C5B" w:rsidP="00033C5B">
      <w:pPr>
        <w:pStyle w:val="Akti"/>
        <w:keepNext w:val="0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UDHËZIM</w:t>
      </w:r>
    </w:p>
    <w:p w:rsidR="00033C5B" w:rsidRPr="00065132" w:rsidRDefault="00033C5B" w:rsidP="00033C5B">
      <w:pPr>
        <w:pStyle w:val="NumriData"/>
        <w:keepNext w:val="0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Nr. 3453, datë 4</w:t>
      </w:r>
      <w:r>
        <w:rPr>
          <w:spacing w:val="-4"/>
          <w:szCs w:val="24"/>
          <w:lang w:val="sq-AL"/>
        </w:rPr>
        <w:t>.</w:t>
      </w:r>
      <w:r w:rsidRPr="00065132">
        <w:rPr>
          <w:spacing w:val="-4"/>
          <w:szCs w:val="24"/>
          <w:lang w:val="sq-AL"/>
        </w:rPr>
        <w:t>7.2016</w:t>
      </w:r>
    </w:p>
    <w:p w:rsidR="00033C5B" w:rsidRPr="00065132" w:rsidRDefault="00033C5B" w:rsidP="00033C5B">
      <w:pPr>
        <w:pStyle w:val="Hapesira7"/>
        <w:rPr>
          <w:lang w:val="sq-AL"/>
        </w:rPr>
      </w:pPr>
    </w:p>
    <w:p w:rsidR="00033C5B" w:rsidRPr="00065132" w:rsidRDefault="00033C5B" w:rsidP="00033C5B">
      <w:pPr>
        <w:pStyle w:val="Paragrafi"/>
        <w:tabs>
          <w:tab w:val="left" w:pos="540"/>
        </w:tabs>
        <w:jc w:val="center"/>
        <w:rPr>
          <w:b/>
          <w:spacing w:val="-4"/>
          <w:szCs w:val="24"/>
          <w:lang w:val="sq-AL"/>
        </w:rPr>
      </w:pPr>
      <w:r w:rsidRPr="00065132">
        <w:rPr>
          <w:b/>
          <w:spacing w:val="-4"/>
          <w:szCs w:val="24"/>
          <w:lang w:val="sq-AL"/>
        </w:rPr>
        <w:t>PËR DISA NDRYSHIME E SHTESA NË UDHËZIMIN NR. 1649, DATË 16.8.1999, “MBI PLOTËSIMIN E DISA KUSHTEVE TË VEÇANTA NË TRANSPORTIN RRUGOR TË UDHËTARËVE”, TË NDRYSHUAR</w:t>
      </w:r>
    </w:p>
    <w:p w:rsidR="00033C5B" w:rsidRPr="00065132" w:rsidRDefault="00033C5B" w:rsidP="00033C5B">
      <w:pPr>
        <w:pStyle w:val="Hapesira7"/>
        <w:rPr>
          <w:lang w:val="sq-AL"/>
        </w:rPr>
      </w:pP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Në mbështetje të pikës 4, të nenit 102, të Kushtetutës, nenit 9, të ligjit nr. 8308, datë 18.3.1998, “Për transportet rrugore”, të ndryshuar, ministri i Transportit dhe Infrastrukturës,</w:t>
      </w:r>
    </w:p>
    <w:p w:rsidR="00033C5B" w:rsidRPr="00065132" w:rsidRDefault="00033C5B" w:rsidP="00033C5B">
      <w:pPr>
        <w:pStyle w:val="Hapesira7"/>
        <w:rPr>
          <w:lang w:val="sq-AL"/>
        </w:rPr>
      </w:pPr>
    </w:p>
    <w:p w:rsidR="00033C5B" w:rsidRPr="00065132" w:rsidRDefault="00033C5B" w:rsidP="00033C5B">
      <w:pPr>
        <w:pStyle w:val="Paragrafi"/>
        <w:tabs>
          <w:tab w:val="left" w:pos="540"/>
        </w:tabs>
        <w:jc w:val="center"/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UDHËZON:</w:t>
      </w:r>
    </w:p>
    <w:p w:rsidR="00033C5B" w:rsidRPr="00065132" w:rsidRDefault="00033C5B" w:rsidP="00033C5B">
      <w:pPr>
        <w:pStyle w:val="Hapesira7"/>
        <w:rPr>
          <w:lang w:val="sq-AL"/>
        </w:rPr>
      </w:pP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Në udhëzimin nr. 1649, datë 16.8.1999, “Mbi plotësimin e disa kushteve të veçanta në transportin rrugor të udhëtarëve”, të ndryshuar, bëhen këto shtesa dhe ndryshime: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1. Paragrafi “Hyrje”, ndryshon si më poshtë: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“Mjetet motorike të transportit rrugor të udhëtarëve, janë të detyruar të kryejnë në kohë dhe me rezultat pozitiv kontrollin teknik të detyrue</w:t>
      </w:r>
      <w:r>
        <w:rPr>
          <w:spacing w:val="-4"/>
          <w:szCs w:val="24"/>
          <w:lang w:val="sq-AL"/>
        </w:rPr>
        <w:t>-</w:t>
      </w:r>
      <w:r w:rsidRPr="00065132">
        <w:rPr>
          <w:spacing w:val="-4"/>
          <w:szCs w:val="24"/>
          <w:lang w:val="sq-AL"/>
        </w:rPr>
        <w:t>shëm, periodik dhe vjetor, në përputhje me udhë</w:t>
      </w:r>
      <w:r>
        <w:rPr>
          <w:spacing w:val="-4"/>
          <w:szCs w:val="24"/>
          <w:lang w:val="sq-AL"/>
        </w:rPr>
        <w:t>-</w:t>
      </w:r>
      <w:r w:rsidRPr="00065132">
        <w:rPr>
          <w:spacing w:val="-4"/>
          <w:szCs w:val="24"/>
          <w:lang w:val="sq-AL"/>
        </w:rPr>
        <w:t xml:space="preserve">zimin nr. 2, datë 11.3.2010, “Mbi kontrollin teknik të mjeteve rrugore”, të ndryshuar”. 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Gjithashtu, këto mjete rrugore, gjatë ushtrimit të veprimtarisë së tyre, duhet të plotësojnë dhe kushtet e tjera</w:t>
      </w:r>
      <w:r>
        <w:rPr>
          <w:spacing w:val="-4"/>
          <w:szCs w:val="24"/>
          <w:lang w:val="sq-AL"/>
        </w:rPr>
        <w:t>,</w:t>
      </w:r>
      <w:r w:rsidRPr="00065132">
        <w:rPr>
          <w:spacing w:val="-4"/>
          <w:szCs w:val="24"/>
          <w:lang w:val="sq-AL"/>
        </w:rPr>
        <w:t xml:space="preserve"> që lidhen me sigurinë e udhëtarëve dhe komoditetin e udhëtimit të tyre, si më poshtë:”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2. Në kapitullin IA “Sigurimi i udhëtimit”, shtohen pikat 11 dhe 12, me përmbajtje si më poshtë: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“11. Të kenë të instaluara kompletin e pajisjeve për situata emergjente (fikse zjarri, çekiç për thyerje xhamash etj.) sipas manualit të prodhuesit.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“12. Autobusët, të cilët kryejnë transportin e udhëtarëve në linjat qytetëse, rrethqytetëse, ndërqytetëse, linjat e transportit ndërkombëtar dhe shërbimet e transportit të rastit/turistik të udhëtarëve, (ndërkombëtar dhe brenda vendit), duhet përveç derës së drejtuesit të autobusit të kenë minimalisht dy dyer</w:t>
      </w:r>
      <w:r>
        <w:rPr>
          <w:spacing w:val="-4"/>
          <w:szCs w:val="24"/>
          <w:lang w:val="sq-AL"/>
        </w:rPr>
        <w:t>,</w:t>
      </w:r>
      <w:r w:rsidRPr="00065132">
        <w:rPr>
          <w:spacing w:val="-4"/>
          <w:szCs w:val="24"/>
          <w:lang w:val="sq-AL"/>
        </w:rPr>
        <w:t xml:space="preserve"> përfshirë daljen e emergjencës.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 xml:space="preserve">3. Në kapitullin IB, pika 1 riformulohet si vijon: 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 xml:space="preserve">“1. Pamja e jashtme e autobusëve duhet të jetë e pastër, pa njolla e deformime apo shtypje të mbulesës së tyre dhe me ngjyrën sipas lejes së qarkullimit. </w:t>
      </w:r>
    </w:p>
    <w:p w:rsidR="00033C5B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</w:p>
    <w:p w:rsidR="00033C5B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 xml:space="preserve">Mbi autobus nuk lejohet të vendosen shkrime të tjera, qofshin me karakter tregtar apo për çdo qëllim tjetër, përveç emrit të subjektit transportues (neni 23, i ligjit nr. 8378, datë 22.7.1998, “Kodi Rrugor i Republikës së Shqipërisë”, i ndryshuar, dhe neni 56, i VKM-së nr. 153, datë 7.4.2000, “Rregullore e zbatimit të Kodit Rrugor”, i ndryshuar). 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Pamja e jashtme dhe e brendshme e autobusit është subjekt për përftimin e aktvlerësimit për plotësimin e kushteve në komoditetin e autobusëve në transportin e udhëtarëve.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Hapësira e brendshme e autobusit të jetë e pastër nga ana higjienike dhe me komoditetin e prodhimit.”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4. Paragrafi i dytë i pikës 8</w:t>
      </w:r>
      <w:r>
        <w:rPr>
          <w:spacing w:val="-4"/>
          <w:szCs w:val="24"/>
          <w:lang w:val="sq-AL"/>
        </w:rPr>
        <w:t>.</w:t>
      </w:r>
      <w:r w:rsidRPr="00065132">
        <w:rPr>
          <w:spacing w:val="-4"/>
          <w:szCs w:val="24"/>
          <w:lang w:val="sq-AL"/>
        </w:rPr>
        <w:t xml:space="preserve">a, kapitulli IB “Komoditeti i udhëtimit”, ndryshon si më poshtë: 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“Akti i vlerësimit në plotësimin e kushteve të komoditetit të autobusëve në transportin e udhëtarëve brenda vendit lëshohet çdo vit, pasi autobusi ka kryer me rezultat pozitiv kontrollin teknik</w:t>
      </w:r>
      <w:r>
        <w:rPr>
          <w:spacing w:val="-4"/>
          <w:szCs w:val="24"/>
          <w:lang w:val="sq-AL"/>
        </w:rPr>
        <w:t>,</w:t>
      </w:r>
      <w:r w:rsidRPr="00065132">
        <w:rPr>
          <w:spacing w:val="-4"/>
          <w:szCs w:val="24"/>
          <w:lang w:val="sq-AL"/>
        </w:rPr>
        <w:t xml:space="preserve"> të detyrueshëm, në qendrën e kontrollit teknik</w:t>
      </w:r>
      <w:r>
        <w:rPr>
          <w:spacing w:val="-4"/>
          <w:szCs w:val="24"/>
          <w:lang w:val="sq-AL"/>
        </w:rPr>
        <w:t>,</w:t>
      </w:r>
      <w:r w:rsidRPr="00065132">
        <w:rPr>
          <w:spacing w:val="-4"/>
          <w:szCs w:val="24"/>
          <w:lang w:val="sq-AL"/>
        </w:rPr>
        <w:t xml:space="preserve"> të miratuar nga ministri përgjegjës për transportin dhe është pajisur me certifikatën e kontrollit teknik, në përputhje me udhëzimin nr. 2, datë 11.3.2010, “Mbi kontrollin teknik të mjeteve rrugore”, të ndryshuar.”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 xml:space="preserve">5. Paragrafi i parë dhe i tretë i pikës 9, kapitulli IB, ndryshojnë si më poshtë: 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 xml:space="preserve">“Autobusët e transportit ndërkombëtar dhe brenda vendit të udhëtarëve, në linja të rregullta, si dhe në shërbimet e transportit të rastit/turistik të udhëtarëve, duhet të jenë të pajisur me sistem kondicionimi dhe qendër zëri, në përputhje me tipin e miratuar. Çdo ndenjëse e autobusit duhet të jetë e pajisur me rripin e sigurimit. Autobusët e transportit ndërkombëtar të udhëtarëve në linja të rregullta, duhet të kenë dhe tualet (WC, lavaman të vogël dhe solucion pastrimi), në përputhje me tipin e miratuar, si dhe të jenë në gjendje funksionale. 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 xml:space="preserve">Aktvlerësimi për plotësimin e kushteve në komoditetin e autobusëve në transportin ndërkombëtar të udhëtarëve, lëshohet çdo vit, pasi autobusi ka kryer me rezultat pozitiv kontrollin teknik të detyrueshëm, në qendrën e kontrollit teknik të miratuar nga ministri përgjegjës për transportin dhe është pajisur me </w:t>
      </w:r>
      <w:r w:rsidRPr="00065132">
        <w:rPr>
          <w:spacing w:val="-4"/>
          <w:szCs w:val="24"/>
          <w:lang w:val="sq-AL"/>
        </w:rPr>
        <w:lastRenderedPageBreak/>
        <w:t>certifikatën e kontrollit teknik, në përputhje me udhëzimin nr. 2, datë 11.3.2010, “Mbi kontrollin teknik të mjeteve rrugore”, të ndryshuar.”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6. Në kapitullin II “Kriteret bazë për hartimin e rregullores së udhëtimit”</w:t>
      </w:r>
      <w:r>
        <w:rPr>
          <w:spacing w:val="-4"/>
          <w:szCs w:val="24"/>
          <w:lang w:val="sq-AL"/>
        </w:rPr>
        <w:t>, pika 16</w:t>
      </w:r>
      <w:r w:rsidRPr="00065132">
        <w:rPr>
          <w:spacing w:val="-4"/>
          <w:szCs w:val="24"/>
          <w:lang w:val="sq-AL"/>
        </w:rPr>
        <w:t xml:space="preserve"> ndryshon si më poshtë: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“16. Personat e caktuar për kryerjen e trans</w:t>
      </w:r>
      <w:r>
        <w:rPr>
          <w:spacing w:val="-4"/>
          <w:szCs w:val="24"/>
          <w:lang w:val="sq-AL"/>
        </w:rPr>
        <w:t>-</w:t>
      </w:r>
      <w:r w:rsidRPr="00065132">
        <w:rPr>
          <w:spacing w:val="-4"/>
          <w:szCs w:val="24"/>
          <w:lang w:val="sq-AL"/>
        </w:rPr>
        <w:t>portit, që janë në kontakt me udhëtarët, duhet: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 xml:space="preserve">- </w:t>
      </w:r>
      <w:r w:rsidRPr="00065132">
        <w:rPr>
          <w:spacing w:val="-4"/>
          <w:szCs w:val="24"/>
          <w:lang w:val="sq-AL"/>
        </w:rPr>
        <w:tab/>
        <w:t>të jenë të pajisur me një dokument identifikues të dallueshëm qartë gjatë ushtrimit të shërbimit;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 xml:space="preserve">- </w:t>
      </w:r>
      <w:r w:rsidRPr="00065132">
        <w:rPr>
          <w:spacing w:val="-4"/>
          <w:szCs w:val="24"/>
          <w:lang w:val="sq-AL"/>
        </w:rPr>
        <w:tab/>
        <w:t xml:space="preserve">të jenë të aftë për të menaxhuar një situatë emergjente, vlerësimin e situatës për shmangien e ndërlikimeve të një aksidenti, thirrjen për ndihmë dhe dhënien e ndihmës së parë, reagimi në rast zjarri, evakuimi i udhëtarëve të autobusit, duke siguruar mbrojtjen e të gjithë udhëtarëve; 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 xml:space="preserve">- </w:t>
      </w:r>
      <w:r w:rsidRPr="00065132">
        <w:rPr>
          <w:spacing w:val="-4"/>
          <w:szCs w:val="24"/>
          <w:lang w:val="sq-AL"/>
        </w:rPr>
        <w:tab/>
        <w:t>të informojnë udhëtarët lidhur me detajet e shërbimit të transportit të ofruar, përpara dhe gjatë udhëtimit (për çmimet dhe tarifat, kushtet e transportit, veprimet në rast të një situate emer</w:t>
      </w:r>
      <w:r>
        <w:rPr>
          <w:spacing w:val="-4"/>
          <w:szCs w:val="24"/>
          <w:lang w:val="sq-AL"/>
        </w:rPr>
        <w:t>-</w:t>
      </w:r>
      <w:r w:rsidRPr="00065132">
        <w:rPr>
          <w:spacing w:val="-4"/>
          <w:szCs w:val="24"/>
          <w:lang w:val="sq-AL"/>
        </w:rPr>
        <w:t xml:space="preserve">gjence etj.); 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 xml:space="preserve">- </w:t>
      </w:r>
      <w:r w:rsidRPr="00065132">
        <w:rPr>
          <w:spacing w:val="-4"/>
          <w:szCs w:val="24"/>
          <w:lang w:val="sq-AL"/>
        </w:rPr>
        <w:tab/>
        <w:t xml:space="preserve">të kenë njohuri mbi dispozitat ligjore për të drejtat e personave me aftësi të kufizuar, të sanksionuara me ligjet specifike, me qëllim që kësaj kategorie personash t’u ofrohet shërbimi përkatës i nevojshëm; 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 xml:space="preserve">- </w:t>
      </w:r>
      <w:r w:rsidRPr="00065132">
        <w:rPr>
          <w:spacing w:val="-4"/>
          <w:szCs w:val="24"/>
          <w:lang w:val="sq-AL"/>
        </w:rPr>
        <w:tab/>
        <w:t>drejtuesit e autobusëve duhet të jenë të pajisur me dokumentin e kualifikimit (certifikatën e aftësisë profesionale) dhe vazhdimisht duhet të kenë me vete dhe të afishuar në një vend të dukshëm të autobusit, numrat e telefonave të emergjencave civile (Policia e Shtetit, urgjenca mjekësore, shërbimi zjarrfikës etj.)”;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- të evitojnë diskutimet me udhëtarët, duke mbajtur gjithmonë një qëndrim korrekt.”.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 xml:space="preserve">7. </w:t>
      </w:r>
      <w:r>
        <w:rPr>
          <w:spacing w:val="-4"/>
          <w:szCs w:val="24"/>
          <w:lang w:val="sq-AL"/>
        </w:rPr>
        <w:t>Mbas pikës 19</w:t>
      </w:r>
      <w:r w:rsidRPr="00065132">
        <w:rPr>
          <w:spacing w:val="-4"/>
          <w:szCs w:val="24"/>
          <w:lang w:val="sq-AL"/>
        </w:rPr>
        <w:t xml:space="preserve"> shtohet pika 19/1, me përmbajtje si më poshtë: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 xml:space="preserve">“19/1. Autobusët që kryejnë shërbimet e transportit të rastit/turistik, ndërkombëtar dhe brenda vendit, duhet të kenë një tabelë në pjesën </w:t>
      </w:r>
      <w:r>
        <w:rPr>
          <w:spacing w:val="-4"/>
          <w:szCs w:val="24"/>
          <w:lang w:val="sq-AL"/>
        </w:rPr>
        <w:t>e sipërme të xhamit të përparmë</w:t>
      </w:r>
      <w:r w:rsidRPr="00065132">
        <w:rPr>
          <w:spacing w:val="-4"/>
          <w:szCs w:val="24"/>
          <w:lang w:val="sq-AL"/>
        </w:rPr>
        <w:t xml:space="preserve"> (në krahun e djathtë të drejtuesit të mjetit), në të cilën, me shkronja kapitale të shkruhet “SHËRBIME TË RASTIT”, ku lloji i germës </w:t>
      </w:r>
      <w:r w:rsidRPr="00065132">
        <w:rPr>
          <w:i/>
          <w:spacing w:val="-4"/>
          <w:szCs w:val="24"/>
          <w:lang w:val="sq-AL"/>
        </w:rPr>
        <w:t>Impact</w:t>
      </w:r>
      <w:r w:rsidRPr="00065132">
        <w:rPr>
          <w:spacing w:val="-4"/>
          <w:szCs w:val="24"/>
          <w:lang w:val="sq-AL"/>
        </w:rPr>
        <w:t xml:space="preserve">, lartësi shkrimi 9 cm. Tabela do të jenë me sfond të verdhë, shkrim të zi dhe dimensione 50 x 25 cm. 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8. Pikat 1 dhe 2, kapitulli VI, “Të tjera”, ndryshojnë si më poshtë vijon: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1. Tarifat për kontrollin teknik të mjeteve të transportit publik të udhëtarëve</w:t>
      </w:r>
      <w:r>
        <w:rPr>
          <w:spacing w:val="-4"/>
          <w:szCs w:val="24"/>
          <w:lang w:val="sq-AL"/>
        </w:rPr>
        <w:t>,</w:t>
      </w:r>
      <w:r w:rsidRPr="00065132">
        <w:rPr>
          <w:spacing w:val="-4"/>
          <w:szCs w:val="24"/>
          <w:lang w:val="sq-AL"/>
        </w:rPr>
        <w:t xml:space="preserve"> në zbatim të këtij udhëzimi, janë të përcaktuara në udhëzimin nr. 4, datë 2.8.2013, “Për miratimin e tarifave të kontrollit teknik të detyrueshëm të mjeteve rrugore me motor dhe rimorkiove të tyre.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2. Tarifat e transportit ndërqytetës dhe rreth</w:t>
      </w:r>
      <w:r>
        <w:rPr>
          <w:spacing w:val="-4"/>
          <w:szCs w:val="24"/>
          <w:lang w:val="sq-AL"/>
        </w:rPr>
        <w:t>-</w:t>
      </w:r>
      <w:r w:rsidRPr="00065132">
        <w:rPr>
          <w:spacing w:val="-4"/>
          <w:szCs w:val="24"/>
          <w:lang w:val="sq-AL"/>
        </w:rPr>
        <w:t xml:space="preserve">qytetës të udhëtarëve me autobus janë ato të miratuara me VKM-në nr. 66, datë 7.2.2007, “Për ndryshimin e tarifave të udhëtarëve”, të ndryshuar, ndërsa tarifa e llojit të biletës në transportin qytetas të udhëtarëve me autobus miratohet nga këshilli i njësisë së qeverisjes vendore, në përputhje me nivelin e standardit të kërkuar për këtë shërbim.”. 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9. Togfjalëshi “ministri i Punëve Publike dhe Transportit” zëvendësohet me togfjalëshin “ministri përgjegjës për transportin”, si dhe fjala “shofer” zëvendësohet me fjalën “drejtues mjeti”, kudo ku është përdorur në këtë udhëzim.</w:t>
      </w:r>
    </w:p>
    <w:p w:rsidR="00033C5B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</w:p>
    <w:p w:rsidR="00033C5B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</w:p>
    <w:p w:rsidR="00033C5B" w:rsidRDefault="00033C5B" w:rsidP="00033C5B">
      <w:pPr>
        <w:pStyle w:val="Paragrafi"/>
        <w:tabs>
          <w:tab w:val="left" w:pos="540"/>
        </w:tabs>
        <w:rPr>
          <w:spacing w:val="-6"/>
          <w:szCs w:val="24"/>
          <w:lang w:val="sq-AL"/>
        </w:rPr>
      </w:pP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6"/>
          <w:szCs w:val="24"/>
          <w:lang w:val="sq-AL"/>
        </w:rPr>
      </w:pPr>
      <w:r w:rsidRPr="00065132">
        <w:rPr>
          <w:spacing w:val="-6"/>
          <w:szCs w:val="24"/>
          <w:lang w:val="sq-AL"/>
        </w:rPr>
        <w:t xml:space="preserve">10. </w:t>
      </w:r>
      <w:r>
        <w:rPr>
          <w:spacing w:val="-6"/>
          <w:szCs w:val="24"/>
          <w:lang w:val="sq-AL"/>
        </w:rPr>
        <w:t>Në anekset</w:t>
      </w:r>
      <w:r w:rsidRPr="00065132">
        <w:rPr>
          <w:spacing w:val="-6"/>
          <w:szCs w:val="24"/>
          <w:lang w:val="sq-AL"/>
        </w:rPr>
        <w:t xml:space="preserve"> 1 dhe 2 “Aktvlerësimi në plotësimin e kushteve të komoditetit, të autobusëve në transportin ndërkombëtar të udhëtarëve dhe atij brenda vendit”, shtohet lista e elementeve që kontrollohen në autobusë për efekt të komoditetit dhe sigurisë së udhëtimit, si pjesë përbërëse e aktvlerësimit. Kjo listë i bashkëngjitet këtij udhëzimi. </w:t>
      </w:r>
    </w:p>
    <w:p w:rsidR="00033C5B" w:rsidRPr="00065132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11. Efektet për plotësimin e kushteve higjieno-sanitare sipas fjalisë së tretë në paragrafin e parë të pikës 5, fillojnë 12 muaj pas hyrjes në fuqi të këtij udhëzimi</w:t>
      </w:r>
      <w:r>
        <w:rPr>
          <w:spacing w:val="-4"/>
          <w:szCs w:val="24"/>
          <w:lang w:val="sq-AL"/>
        </w:rPr>
        <w:t>.</w:t>
      </w:r>
      <w:r w:rsidRPr="00065132">
        <w:rPr>
          <w:spacing w:val="-4"/>
          <w:szCs w:val="24"/>
          <w:lang w:val="sq-AL"/>
        </w:rPr>
        <w:t xml:space="preserve"> </w:t>
      </w:r>
    </w:p>
    <w:p w:rsidR="00033C5B" w:rsidRDefault="00033C5B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Ky udhëzim hyn në fuqi pas botimit në Fletoren Zyrtare.</w:t>
      </w:r>
    </w:p>
    <w:p w:rsidR="00D3647C" w:rsidRPr="00065132" w:rsidRDefault="00D3647C" w:rsidP="00033C5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bookmarkStart w:id="0" w:name="_GoBack"/>
      <w:bookmarkEnd w:id="0"/>
    </w:p>
    <w:p w:rsidR="00033C5B" w:rsidRPr="00065132" w:rsidRDefault="00033C5B" w:rsidP="00033C5B">
      <w:pPr>
        <w:pStyle w:val="Hapesira7"/>
        <w:rPr>
          <w:sz w:val="2"/>
          <w:lang w:val="sq-AL"/>
        </w:rPr>
      </w:pPr>
    </w:p>
    <w:p w:rsidR="00033C5B" w:rsidRPr="00065132" w:rsidRDefault="00033C5B" w:rsidP="00033C5B">
      <w:pPr>
        <w:pStyle w:val="Autoriteti"/>
        <w:keepNext w:val="0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Ministri i Transportit dhe Infrastrukturës</w:t>
      </w:r>
    </w:p>
    <w:p w:rsidR="00033C5B" w:rsidRPr="00065132" w:rsidRDefault="00033C5B" w:rsidP="00033C5B">
      <w:pPr>
        <w:pStyle w:val="AutoritetiEmer"/>
        <w:tabs>
          <w:tab w:val="left" w:pos="540"/>
        </w:tabs>
        <w:rPr>
          <w:spacing w:val="-4"/>
          <w:szCs w:val="24"/>
          <w:lang w:val="sq-AL"/>
        </w:rPr>
      </w:pPr>
      <w:r w:rsidRPr="00065132">
        <w:rPr>
          <w:spacing w:val="-4"/>
          <w:szCs w:val="24"/>
          <w:lang w:val="sq-AL"/>
        </w:rPr>
        <w:t>Edmond Haxhinasto</w:t>
      </w:r>
    </w:p>
    <w:p w:rsidR="00033C5B" w:rsidRDefault="00033C5B" w:rsidP="00033C5B">
      <w:pPr>
        <w:pStyle w:val="Paragrafi"/>
        <w:tabs>
          <w:tab w:val="left" w:pos="540"/>
        </w:tabs>
        <w:jc w:val="center"/>
        <w:rPr>
          <w:szCs w:val="24"/>
          <w:lang w:val="sq-AL"/>
        </w:rPr>
        <w:sectPr w:rsidR="00033C5B" w:rsidSect="00D3647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10471"/>
          <w:cols w:space="454"/>
          <w:docGrid w:linePitch="360"/>
        </w:sectPr>
      </w:pPr>
    </w:p>
    <w:p w:rsidR="00033C5B" w:rsidRDefault="00033C5B" w:rsidP="00033C5B">
      <w:pPr>
        <w:pStyle w:val="Paragrafi"/>
        <w:tabs>
          <w:tab w:val="left" w:pos="540"/>
        </w:tabs>
        <w:jc w:val="center"/>
        <w:rPr>
          <w:szCs w:val="24"/>
          <w:lang w:val="sq-AL"/>
        </w:rPr>
      </w:pPr>
    </w:p>
    <w:p w:rsidR="00033C5B" w:rsidRDefault="00033C5B" w:rsidP="00033C5B">
      <w:pPr>
        <w:pStyle w:val="Paragrafi"/>
        <w:tabs>
          <w:tab w:val="left" w:pos="540"/>
        </w:tabs>
        <w:jc w:val="center"/>
        <w:rPr>
          <w:szCs w:val="24"/>
          <w:lang w:val="sq-AL"/>
        </w:rPr>
      </w:pPr>
    </w:p>
    <w:p w:rsidR="00033C5B" w:rsidRDefault="00033C5B" w:rsidP="00033C5B">
      <w:pPr>
        <w:pStyle w:val="Paragrafi"/>
        <w:tabs>
          <w:tab w:val="left" w:pos="540"/>
        </w:tabs>
        <w:rPr>
          <w:szCs w:val="24"/>
          <w:lang w:val="sq-AL"/>
        </w:rPr>
      </w:pPr>
      <w:r w:rsidRPr="005750C0">
        <w:rPr>
          <w:noProof/>
          <w:szCs w:val="24"/>
        </w:rPr>
        <w:drawing>
          <wp:inline distT="0" distB="0" distL="0" distR="0" wp14:anchorId="605E3DDB" wp14:editId="1A77EBDA">
            <wp:extent cx="5637947" cy="8420669"/>
            <wp:effectExtent l="19050" t="0" r="853" b="0"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690" cy="8424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3C5B" w:rsidRDefault="00033C5B" w:rsidP="00033C5B">
      <w:pPr>
        <w:pStyle w:val="Akti"/>
        <w:keepNext w:val="0"/>
        <w:tabs>
          <w:tab w:val="left" w:pos="540"/>
        </w:tabs>
        <w:jc w:val="both"/>
        <w:rPr>
          <w:spacing w:val="-4"/>
          <w:szCs w:val="24"/>
          <w:lang w:val="sq-AL"/>
        </w:rPr>
      </w:pPr>
    </w:p>
    <w:p w:rsidR="00033C5B" w:rsidRDefault="00033C5B" w:rsidP="00033C5B">
      <w:pPr>
        <w:pStyle w:val="Akti"/>
        <w:keepNext w:val="0"/>
        <w:tabs>
          <w:tab w:val="left" w:pos="540"/>
        </w:tabs>
        <w:jc w:val="both"/>
        <w:rPr>
          <w:spacing w:val="-4"/>
          <w:szCs w:val="24"/>
          <w:lang w:val="sq-AL"/>
        </w:rPr>
      </w:pPr>
      <w:r w:rsidRPr="005750C0">
        <w:rPr>
          <w:noProof/>
          <w:szCs w:val="24"/>
          <w:lang w:val="en-US"/>
        </w:rPr>
        <w:drawing>
          <wp:inline distT="0" distB="0" distL="0" distR="0" wp14:anchorId="059FD640" wp14:editId="5FEB16BC">
            <wp:extent cx="5951846" cy="8007918"/>
            <wp:effectExtent l="19050" t="0" r="0" b="0"/>
            <wp:docPr id="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233" cy="8007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3C5B" w:rsidRDefault="00033C5B" w:rsidP="00033C5B">
      <w:pPr>
        <w:pStyle w:val="Akti"/>
        <w:keepNext w:val="0"/>
        <w:tabs>
          <w:tab w:val="left" w:pos="540"/>
        </w:tabs>
        <w:jc w:val="both"/>
        <w:rPr>
          <w:spacing w:val="-4"/>
          <w:szCs w:val="24"/>
          <w:lang w:val="sq-AL"/>
        </w:rPr>
      </w:pPr>
    </w:p>
    <w:p w:rsidR="0075059E" w:rsidRDefault="0075059E"/>
    <w:sectPr w:rsidR="0075059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3647C">
      <w:pPr>
        <w:spacing w:after="0" w:line="240" w:lineRule="auto"/>
      </w:pPr>
      <w:r>
        <w:separator/>
      </w:r>
    </w:p>
  </w:endnote>
  <w:endnote w:type="continuationSeparator" w:id="0">
    <w:p w:rsidR="00000000" w:rsidRDefault="00D36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A233F5" w:rsidRPr="00B4283E" w:rsidRDefault="00033C5B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10476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3F5" w:rsidRPr="005B4361" w:rsidRDefault="00D3647C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A233F5" w:rsidRPr="00833610" w:rsidRDefault="00033C5B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A233F5" w:rsidRDefault="00D364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3647C">
      <w:pPr>
        <w:spacing w:after="0" w:line="240" w:lineRule="auto"/>
      </w:pPr>
      <w:r>
        <w:separator/>
      </w:r>
    </w:p>
  </w:footnote>
  <w:footnote w:type="continuationSeparator" w:id="0">
    <w:p w:rsidR="00000000" w:rsidRDefault="00D364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A233F5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A233F5" w:rsidRPr="00EB260B" w:rsidRDefault="00033C5B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A233F5" w:rsidRPr="00EB260B" w:rsidRDefault="00033C5B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47B5AAC" wp14:editId="2B523CF8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A233F5" w:rsidRPr="00EB260B" w:rsidRDefault="00033C5B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132</w:t>
          </w:r>
        </w:p>
      </w:tc>
    </w:tr>
  </w:tbl>
  <w:p w:rsidR="00A233F5" w:rsidRPr="00385E2C" w:rsidRDefault="00D3647C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3F5" w:rsidRDefault="00D3647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3F5" w:rsidRDefault="00D3647C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C5B"/>
    <w:rsid w:val="00033C5B"/>
    <w:rsid w:val="0075059E"/>
    <w:rsid w:val="00D3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C5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33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33C5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33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C5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033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33C5B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033C5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33C5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33C5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33C5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33C5B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033C5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33C5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33C5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33C5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33C5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33C5B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C5B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C5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33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33C5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33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C5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033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33C5B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033C5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33C5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33C5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33C5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33C5B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033C5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33C5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33C5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33C5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33C5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33C5B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C5B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3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2016-08-15T12:17:00Z</dcterms:created>
  <dcterms:modified xsi:type="dcterms:W3CDTF">2018-01-22T09:36:00Z</dcterms:modified>
</cp:coreProperties>
</file>