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C2F" w:rsidRDefault="00AE2C2F" w:rsidP="00AE2C2F">
      <w:pPr>
        <w:pStyle w:val="NeniTitull"/>
        <w:rPr>
          <w:lang w:val="sq-AL"/>
        </w:rPr>
      </w:pPr>
      <w:r>
        <w:rPr>
          <w:lang w:val="sq-AL"/>
        </w:rPr>
        <w:t>UDHËZIM</w:t>
      </w:r>
    </w:p>
    <w:p w:rsidR="00AE2C2F" w:rsidRDefault="00AE2C2F" w:rsidP="00AE2C2F">
      <w:pPr>
        <w:pStyle w:val="NeniTitull"/>
        <w:rPr>
          <w:lang w:val="sq-AL"/>
        </w:rPr>
      </w:pPr>
      <w:r>
        <w:rPr>
          <w:lang w:val="sq-AL"/>
        </w:rPr>
        <w:t xml:space="preserve">Nr. </w:t>
      </w:r>
      <w:bookmarkStart w:id="0" w:name="_GoBack"/>
      <w:r>
        <w:rPr>
          <w:lang w:val="sq-AL"/>
        </w:rPr>
        <w:t>15267, datë 21.12.2018</w:t>
      </w:r>
      <w:bookmarkEnd w:id="0"/>
    </w:p>
    <w:p w:rsidR="00AE2C2F" w:rsidRDefault="00AE2C2F" w:rsidP="00AE2C2F">
      <w:pPr>
        <w:pStyle w:val="NeniTitull"/>
        <w:rPr>
          <w:sz w:val="14"/>
          <w:lang w:val="sq-AL"/>
        </w:rPr>
      </w:pPr>
    </w:p>
    <w:p w:rsidR="00AE2C2F" w:rsidRDefault="00AE2C2F" w:rsidP="00AE2C2F">
      <w:pPr>
        <w:pStyle w:val="NeniTitull"/>
        <w:rPr>
          <w:lang w:val="sq-AL"/>
        </w:rPr>
      </w:pPr>
      <w:r>
        <w:rPr>
          <w:lang w:val="sq-AL"/>
        </w:rPr>
        <w:t xml:space="preserve">PËR PËRCAKTIMIN E KUSHTEVE TEKNIKE LIDHUR ME KARAKTERISTIKAT FUNKSIONALE TË SISTEMEVE DHE TË PAJISJEVE DHE GJENDJES TEKNIKO-FIZIKE TË AUTOMJETEVE QË DO TË IMPORTOHEN NË REPUBLIKËN </w:t>
      </w:r>
    </w:p>
    <w:p w:rsidR="00AE2C2F" w:rsidRDefault="00AE2C2F" w:rsidP="00AE2C2F">
      <w:pPr>
        <w:pStyle w:val="NeniTitull"/>
        <w:rPr>
          <w:lang w:val="sq-AL"/>
        </w:rPr>
      </w:pPr>
      <w:r>
        <w:rPr>
          <w:lang w:val="sq-AL"/>
        </w:rPr>
        <w:t>E SHQIPËRISË</w:t>
      </w:r>
    </w:p>
    <w:p w:rsidR="00AE2C2F" w:rsidRDefault="00AE2C2F" w:rsidP="00AE2C2F">
      <w:pPr>
        <w:pStyle w:val="Paragrafi"/>
        <w:rPr>
          <w:sz w:val="14"/>
          <w:lang w:val="sq-AL"/>
        </w:rPr>
      </w:pPr>
    </w:p>
    <w:p w:rsidR="00AE2C2F" w:rsidRDefault="00AE2C2F" w:rsidP="00AE2C2F">
      <w:pPr>
        <w:pStyle w:val="Paragrafi"/>
        <w:rPr>
          <w:spacing w:val="-4"/>
          <w:lang w:val="sq-AL"/>
        </w:rPr>
      </w:pPr>
      <w:r>
        <w:rPr>
          <w:spacing w:val="-4"/>
          <w:lang w:val="sq-AL"/>
        </w:rPr>
        <w:t>Në mbështetje të pikës 4, të</w:t>
      </w:r>
      <w:r>
        <w:rPr>
          <w:rFonts w:ascii="Times New Roman" w:hAnsi="Times New Roman" w:cs="Times New Roman"/>
          <w:spacing w:val="-4"/>
          <w:lang w:val="sq-AL"/>
        </w:rPr>
        <w:t xml:space="preserve"> </w:t>
      </w:r>
      <w:r>
        <w:rPr>
          <w:spacing w:val="-4"/>
          <w:lang w:val="sq-AL"/>
        </w:rPr>
        <w:t>nenit 102 të Kushtetutës, të nenit 79, të ligjit nr. 8378, datë 22.7.1998, “Kodi Rrugor i Republikës së Shqipërisë”, të ndryshuar, dhe pikës 10, të vendimit të Këshillit të Ministrave nr. 633, datë 26.10.2018, “Për masat kundër ndotjes së ajrit nga shkarkimet e mjeteve motorike dhe reduktimin e shkarkimeve në ajër të ndotësve të gaztë dhe të lëndës së ngurtë pezull nga motorët me ndezje pozitive dhe ata me ndezje me kompresion që djegin gaz natyror apo të lëngshëm për përdorim në automjete”, ministri i Infrastrukturës dhe Energjisë</w:t>
      </w:r>
    </w:p>
    <w:p w:rsidR="00AE2C2F" w:rsidRDefault="00AE2C2F" w:rsidP="00AE2C2F">
      <w:pPr>
        <w:pStyle w:val="NeniNr"/>
        <w:rPr>
          <w:sz w:val="14"/>
          <w:lang w:val="sq-AL"/>
        </w:rPr>
      </w:pPr>
    </w:p>
    <w:p w:rsidR="00AE2C2F" w:rsidRDefault="00AE2C2F" w:rsidP="00AE2C2F">
      <w:pPr>
        <w:pStyle w:val="NeniNr"/>
        <w:rPr>
          <w:lang w:val="sq-AL"/>
        </w:rPr>
      </w:pPr>
      <w:r>
        <w:rPr>
          <w:lang w:val="sq-AL"/>
        </w:rPr>
        <w:t>UDHËZON:</w:t>
      </w:r>
    </w:p>
    <w:p w:rsidR="00AE2C2F" w:rsidRDefault="00AE2C2F" w:rsidP="00AE2C2F">
      <w:pPr>
        <w:pStyle w:val="Paragrafi"/>
        <w:rPr>
          <w:sz w:val="14"/>
          <w:lang w:val="sq-AL"/>
        </w:rPr>
      </w:pPr>
    </w:p>
    <w:p w:rsidR="00AE2C2F" w:rsidRDefault="00AE2C2F" w:rsidP="00AE2C2F">
      <w:pPr>
        <w:pStyle w:val="Paragrafi"/>
        <w:rPr>
          <w:lang w:val="sq-AL"/>
        </w:rPr>
      </w:pPr>
      <w:r>
        <w:rPr>
          <w:lang w:val="sq-AL"/>
        </w:rPr>
        <w:t>I.</w:t>
      </w:r>
      <w:r>
        <w:rPr>
          <w:lang w:val="sq-AL"/>
        </w:rPr>
        <w:tab/>
        <w:t xml:space="preserve"> QËLLIMI</w:t>
      </w:r>
    </w:p>
    <w:p w:rsidR="00AE2C2F" w:rsidRDefault="00AE2C2F" w:rsidP="00AE2C2F">
      <w:pPr>
        <w:pStyle w:val="Paragrafi"/>
        <w:rPr>
          <w:lang w:val="sq-AL"/>
        </w:rPr>
      </w:pPr>
      <w:r>
        <w:rPr>
          <w:lang w:val="sq-AL"/>
        </w:rPr>
        <w:t>Qëllimi i këtij udhëzimi është përcaktimi i kushteve teknike lidhur me karakteristikat funksionale të sistemeve dhe të pajisjeve dhe gjendjes tekniko-fizike të automjeteve që importohen në Republikën e Shqipërisë, sipas kërkesave të VKM-së nr. 633, datë 26.10.2018.</w:t>
      </w:r>
    </w:p>
    <w:p w:rsidR="00AE2C2F" w:rsidRDefault="00AE2C2F" w:rsidP="00AE2C2F">
      <w:pPr>
        <w:pStyle w:val="Paragrafi"/>
        <w:rPr>
          <w:lang w:val="sq-AL"/>
        </w:rPr>
      </w:pPr>
      <w:r>
        <w:rPr>
          <w:lang w:val="sq-AL"/>
        </w:rPr>
        <w:t>II.</w:t>
      </w:r>
      <w:r>
        <w:rPr>
          <w:lang w:val="sq-AL"/>
        </w:rPr>
        <w:t xml:space="preserve"> PËRKUFIZIME</w:t>
      </w:r>
    </w:p>
    <w:p w:rsidR="00AE2C2F" w:rsidRDefault="00AE2C2F" w:rsidP="00AE2C2F">
      <w:pPr>
        <w:pStyle w:val="Paragrafi"/>
        <w:rPr>
          <w:lang w:val="sq-AL"/>
        </w:rPr>
      </w:pPr>
      <w:r>
        <w:rPr>
          <w:lang w:val="sq-AL"/>
        </w:rPr>
        <w:t>1. Për efekt të këtij udhëzimi, termat e mëposhtëm kanë këto kuptime:</w:t>
      </w:r>
    </w:p>
    <w:p w:rsidR="00AE2C2F" w:rsidRDefault="00AE2C2F" w:rsidP="00AE2C2F">
      <w:pPr>
        <w:pStyle w:val="Paragrafi"/>
        <w:rPr>
          <w:lang w:val="sq-AL"/>
        </w:rPr>
      </w:pPr>
      <w:r>
        <w:rPr>
          <w:lang w:val="sq-AL"/>
        </w:rPr>
        <w:t>a) Kategoritë e mjeteve motorike, sipas nenit 47, të ligjit nr. 8378, datë 22.7.1998, “Kodi Rrugor i Republikës së Shqipërisë”, të ndryshuar, janë si më poshtë:</w:t>
      </w:r>
    </w:p>
    <w:p w:rsidR="00AE2C2F" w:rsidRDefault="00AE2C2F" w:rsidP="00AE2C2F">
      <w:pPr>
        <w:pStyle w:val="Paragrafi"/>
        <w:rPr>
          <w:lang w:val="sq-AL"/>
        </w:rPr>
      </w:pPr>
      <w:r>
        <w:rPr>
          <w:lang w:val="sq-AL"/>
        </w:rPr>
        <w:t xml:space="preserve">- </w:t>
      </w:r>
      <w:r>
        <w:rPr>
          <w:lang w:val="sq-AL"/>
        </w:rPr>
        <w:t>“Kategoria M1”, janë mjete të destinuara për transport njerëzish dhe që kanë të paktën katër rrota, që nuk kanë më shumë se tetë ndenjëse, përveç ndenjëses së drejtuesit të mjetit;</w:t>
      </w:r>
    </w:p>
    <w:p w:rsidR="00AE2C2F" w:rsidRDefault="00AE2C2F" w:rsidP="00AE2C2F">
      <w:pPr>
        <w:pStyle w:val="Paragrafi"/>
        <w:rPr>
          <w:lang w:val="sq-AL"/>
        </w:rPr>
      </w:pPr>
      <w:r>
        <w:rPr>
          <w:lang w:val="sq-AL"/>
        </w:rPr>
        <w:t>-</w:t>
      </w:r>
      <w:r>
        <w:rPr>
          <w:lang w:val="sq-AL"/>
        </w:rPr>
        <w:t xml:space="preserve"> “Kategoria M2”, janë mjete të destinuara për transport njerëzish dhe që kanë të paktën katër rrota, që kanë më shumë se tetë ndenjëse, përveç ndenjëses së drejtuesit të mjetit dhe peshë maksimale me ngarkesë deri 5 tonë;</w:t>
      </w:r>
    </w:p>
    <w:p w:rsidR="00AE2C2F" w:rsidRDefault="00AE2C2F" w:rsidP="00AE2C2F">
      <w:pPr>
        <w:pStyle w:val="Paragrafi"/>
        <w:rPr>
          <w:lang w:val="sq-AL"/>
        </w:rPr>
      </w:pPr>
      <w:r>
        <w:rPr>
          <w:lang w:val="sq-AL"/>
        </w:rPr>
        <w:t xml:space="preserve">- </w:t>
      </w:r>
      <w:r>
        <w:rPr>
          <w:lang w:val="sq-AL"/>
        </w:rPr>
        <w:t>“Kategoria N1”, janë mjete të destinuara për transport mallrash dhe që kanë të paktën katër rrota, që kanë peshë maksimale me ngarkesë jo më të madhe se 3,5 tonë;</w:t>
      </w:r>
    </w:p>
    <w:p w:rsidR="00AE2C2F" w:rsidRDefault="00AE2C2F" w:rsidP="00AE2C2F">
      <w:pPr>
        <w:pStyle w:val="Paragrafi"/>
        <w:rPr>
          <w:lang w:val="sq-AL"/>
        </w:rPr>
      </w:pPr>
      <w:r>
        <w:rPr>
          <w:lang w:val="sq-AL"/>
        </w:rPr>
        <w:t xml:space="preserve">b) </w:t>
      </w:r>
      <w:r>
        <w:rPr>
          <w:lang w:val="sq-AL"/>
        </w:rPr>
        <w:t>Normat e shkarkimeve në ajër për mjetet motorike të kategorive M dhe N, sipas listës së standardeve të Bashkimit Evropian, përkatësisht, të shtojës 1, janë si më poshtë:</w:t>
      </w:r>
    </w:p>
    <w:p w:rsidR="00AE2C2F" w:rsidRDefault="00AE2C2F" w:rsidP="00AE2C2F">
      <w:pPr>
        <w:pStyle w:val="Paragrafi"/>
        <w:rPr>
          <w:lang w:val="sq-AL"/>
        </w:rPr>
      </w:pPr>
      <w:r>
        <w:rPr>
          <w:lang w:val="sq-AL"/>
        </w:rPr>
        <w:t>-</w:t>
      </w:r>
      <w:r>
        <w:rPr>
          <w:lang w:val="sq-AL"/>
        </w:rPr>
        <w:t xml:space="preserve"> “Euro 3”, janë për mjetet motorike, të cilat përmbushin normën euro 3, sipas listës së standardeve të vitit 2000, hyrë në fuqi me direktivën 98/69/EC;</w:t>
      </w:r>
    </w:p>
    <w:p w:rsidR="00AE2C2F" w:rsidRDefault="00AE2C2F" w:rsidP="00AE2C2F">
      <w:pPr>
        <w:pStyle w:val="Paragrafi"/>
        <w:rPr>
          <w:lang w:val="sq-AL"/>
        </w:rPr>
      </w:pPr>
      <w:r>
        <w:rPr>
          <w:lang w:val="sq-AL"/>
        </w:rPr>
        <w:t xml:space="preserve">- </w:t>
      </w:r>
      <w:r>
        <w:rPr>
          <w:lang w:val="sq-AL"/>
        </w:rPr>
        <w:t>“Euro 4”, janë për mjetet motorike, të cilat përmbushin normën euro 4, sipas listës së standardeve të vitit 2005, hyrë në fuqi me direktivën 98/69/EC dhe 2002/80/EC;</w:t>
      </w:r>
    </w:p>
    <w:p w:rsidR="00AE2C2F" w:rsidRDefault="00AE2C2F" w:rsidP="00AE2C2F">
      <w:pPr>
        <w:pStyle w:val="Paragrafi"/>
        <w:rPr>
          <w:lang w:val="sq-AL"/>
        </w:rPr>
      </w:pPr>
      <w:r>
        <w:rPr>
          <w:lang w:val="sq-AL"/>
        </w:rPr>
        <w:t>-</w:t>
      </w:r>
      <w:r>
        <w:rPr>
          <w:lang w:val="sq-AL"/>
        </w:rPr>
        <w:t xml:space="preserve"> “Euro 5”, janë për mjetet motorike, të cilat përmbushin normën euro 5, sipas listës së standardeve të vitit 2009, hyrë në fuqi me direktivën 715/2007/EC;</w:t>
      </w:r>
    </w:p>
    <w:p w:rsidR="00AE2C2F" w:rsidRDefault="00AE2C2F" w:rsidP="00AE2C2F">
      <w:pPr>
        <w:pStyle w:val="Paragrafi"/>
        <w:rPr>
          <w:lang w:val="sq-AL"/>
        </w:rPr>
      </w:pPr>
      <w:r>
        <w:rPr>
          <w:lang w:val="sq-AL"/>
        </w:rPr>
        <w:t xml:space="preserve">c) </w:t>
      </w:r>
      <w:r>
        <w:rPr>
          <w:lang w:val="sq-AL"/>
        </w:rPr>
        <w:t xml:space="preserve">“Autoriteti Verifikues”, në përputhje me kompetencat e tyre ligjore, është Drejtoria e Përgjithshme e Doganave (DPD) dhe Drejtoria e Përgjithshme e Shërbimeve të Transportit Rrugor (DPSHTRR), që do të verifikojë përputhjen e kushteve teknike lidhur me karakteristikat funksionale të sistemeve dhe të pajisjeve dhe gjendjes tekniko-fizike të tyre, për mjetet motorike të kategorive M1, M2 dhe N1, që do të importohen në Republikën e Shqipërisë. </w:t>
      </w:r>
    </w:p>
    <w:p w:rsidR="00AE2C2F" w:rsidRDefault="00AE2C2F" w:rsidP="00AE2C2F">
      <w:pPr>
        <w:pStyle w:val="Paragrafi"/>
        <w:rPr>
          <w:lang w:val="sq-AL"/>
        </w:rPr>
      </w:pPr>
      <w:r>
        <w:rPr>
          <w:lang w:val="sq-AL"/>
        </w:rPr>
        <w:t>III.</w:t>
      </w:r>
      <w:r>
        <w:rPr>
          <w:lang w:val="sq-AL"/>
        </w:rPr>
        <w:t xml:space="preserve"> PROCEDURA E VERIFIKIMIT </w:t>
      </w:r>
    </w:p>
    <w:p w:rsidR="00AE2C2F" w:rsidRDefault="00AE2C2F" w:rsidP="00AE2C2F">
      <w:pPr>
        <w:pStyle w:val="Paragrafi"/>
        <w:rPr>
          <w:lang w:val="sq-AL"/>
        </w:rPr>
      </w:pPr>
      <w:r>
        <w:rPr>
          <w:lang w:val="sq-AL"/>
        </w:rPr>
        <w:t>1. Mjetet motorike të kategorive M1, M2 dhe N1, që do të importohen në Republikën e Shqipërisë, verifikohen sipas përcaktimeve të këtij kreu dhe sipas vlerave të shkarkimeve për mjetet motorike, të përcaktuara në shtojcën 1 të këtij udhëzimi.</w:t>
      </w:r>
    </w:p>
    <w:p w:rsidR="00AE2C2F" w:rsidRDefault="00AE2C2F" w:rsidP="00AE2C2F">
      <w:pPr>
        <w:pStyle w:val="Paragrafi"/>
        <w:rPr>
          <w:lang w:val="sq-AL"/>
        </w:rPr>
      </w:pPr>
      <w:r>
        <w:rPr>
          <w:lang w:val="sq-AL"/>
        </w:rPr>
        <w:t xml:space="preserve">2. Verifikimi, pas këqyrjes së kujdesshme të mjetit dhe kontrollit të dhënave me dokumentacionin teknik shoqërues të tij nga specialistët përkatës, konsiston në: </w:t>
      </w:r>
    </w:p>
    <w:p w:rsidR="00AE2C2F" w:rsidRDefault="00AE2C2F" w:rsidP="00AE2C2F">
      <w:pPr>
        <w:pStyle w:val="Paragrafi"/>
        <w:rPr>
          <w:lang w:val="sq-AL"/>
        </w:rPr>
      </w:pPr>
      <w:r>
        <w:rPr>
          <w:lang w:val="sq-AL"/>
        </w:rPr>
        <w:t>a) Leximin dhe përcaktimin e saktë të dhënave mbi identifikimin e mjetit, bazë e të cilit është numri i identifikimit i stampuar në shasi dhe/ose pllaka identifikuese;</w:t>
      </w:r>
    </w:p>
    <w:p w:rsidR="00AE2C2F" w:rsidRDefault="00AE2C2F" w:rsidP="00AE2C2F">
      <w:pPr>
        <w:pStyle w:val="Paragrafi"/>
        <w:rPr>
          <w:lang w:val="sq-AL"/>
        </w:rPr>
      </w:pPr>
      <w:r>
        <w:rPr>
          <w:lang w:val="sq-AL"/>
        </w:rPr>
        <w:t>b) Viti i prodhimit të mjetit;</w:t>
      </w:r>
    </w:p>
    <w:p w:rsidR="00AE2C2F" w:rsidRDefault="00AE2C2F" w:rsidP="00AE2C2F">
      <w:pPr>
        <w:pStyle w:val="Paragrafi"/>
        <w:rPr>
          <w:lang w:val="sq-AL"/>
        </w:rPr>
      </w:pPr>
      <w:r>
        <w:rPr>
          <w:lang w:val="sq-AL"/>
        </w:rPr>
        <w:t>c) Verifikimin e kategorisë mjedisore sipas përcaktimeve në dokumentin teknik të origjinës, si dhe verifikimin e standardit për normat e publikuara për mjete të prodhuara jo për vendet e Bashkimit Evropian;</w:t>
      </w:r>
    </w:p>
    <w:p w:rsidR="00AE2C2F" w:rsidRDefault="00AE2C2F" w:rsidP="00AE2C2F">
      <w:pPr>
        <w:pStyle w:val="Paragrafi"/>
        <w:rPr>
          <w:lang w:val="sq-AL"/>
        </w:rPr>
      </w:pPr>
    </w:p>
    <w:p w:rsidR="00AE2C2F" w:rsidRDefault="00AE2C2F" w:rsidP="00AE2C2F">
      <w:pPr>
        <w:pStyle w:val="Paragrafi"/>
        <w:rPr>
          <w:lang w:val="sq-AL"/>
        </w:rPr>
      </w:pPr>
      <w:r>
        <w:rPr>
          <w:lang w:val="sq-AL"/>
        </w:rPr>
        <w:lastRenderedPageBreak/>
        <w:t>d) Në mungesë të kategorisë mjedisore në dokumentin teknik të origjinës, do të jetë kriter vlerësues viti i prodhimit, por gjithmonë nëse nuk ka të dokumentuar nivel të ndotjes në kundërshtim me pikën 1 të këtij udhëzimi;</w:t>
      </w:r>
    </w:p>
    <w:p w:rsidR="00AE2C2F" w:rsidRDefault="00AE2C2F" w:rsidP="00AE2C2F">
      <w:pPr>
        <w:pStyle w:val="Paragrafi"/>
        <w:rPr>
          <w:lang w:val="sq-AL"/>
        </w:rPr>
      </w:pPr>
      <w:r>
        <w:rPr>
          <w:lang w:val="sq-AL"/>
        </w:rPr>
        <w:t>e) Çdo verifikim tjetër të nevojshëm për zbatimin e VKM-së nr. 633, datë 26.10.2018, “Për masat kundër ndotjes së ajrit nga shkarkimet e mjeteve motorike dhe reduktimin e shkarkimeve në ajër të ndotësve të gaztë dhe të lëndës së ngurtë pezull nga motorët me ndezje pozitive dhe ata me ndezje me kompresion që djegin gaz natyror apo të lëngshëm për përdorim në automjete”, si dhe këtij udhëzimi.</w:t>
      </w:r>
    </w:p>
    <w:p w:rsidR="00AE2C2F" w:rsidRDefault="00AE2C2F" w:rsidP="00AE2C2F">
      <w:pPr>
        <w:pStyle w:val="Paragrafi"/>
        <w:rPr>
          <w:lang w:val="sq-AL"/>
        </w:rPr>
      </w:pPr>
      <w:r>
        <w:rPr>
          <w:lang w:val="sq-AL"/>
        </w:rPr>
        <w:t>3.</w:t>
      </w:r>
      <w:r>
        <w:rPr>
          <w:lang w:val="sq-AL"/>
        </w:rPr>
        <w:t xml:space="preserve"> Verifikimi bëhet nga punonjës të Autoritetit Verifikues.</w:t>
      </w:r>
    </w:p>
    <w:p w:rsidR="00AE2C2F" w:rsidRDefault="00AE2C2F" w:rsidP="00AE2C2F">
      <w:pPr>
        <w:pStyle w:val="Paragrafi"/>
        <w:rPr>
          <w:lang w:val="sq-AL"/>
        </w:rPr>
      </w:pPr>
      <w:r>
        <w:rPr>
          <w:lang w:val="sq-AL"/>
        </w:rPr>
        <w:t>4.</w:t>
      </w:r>
      <w:r>
        <w:rPr>
          <w:lang w:val="sq-AL"/>
        </w:rPr>
        <w:t xml:space="preserve"> Çlirimi doganor dhe/ose regjistrimi do të refuzohet të kryhet për mjetet motorike të kategorive M1, M2 dhe N1, për:</w:t>
      </w:r>
    </w:p>
    <w:p w:rsidR="00AE2C2F" w:rsidRDefault="00AE2C2F" w:rsidP="00AE2C2F">
      <w:pPr>
        <w:pStyle w:val="Paragrafi"/>
        <w:rPr>
          <w:spacing w:val="-4"/>
          <w:lang w:val="sq-AL"/>
        </w:rPr>
      </w:pPr>
      <w:r>
        <w:rPr>
          <w:spacing w:val="-4"/>
          <w:lang w:val="sq-AL"/>
        </w:rPr>
        <w:t xml:space="preserve">a) </w:t>
      </w:r>
      <w:r>
        <w:rPr>
          <w:spacing w:val="-4"/>
          <w:lang w:val="sq-AL"/>
        </w:rPr>
        <w:t xml:space="preserve">Autoveturat e reja me zero km dhe që nuk janë regjistruar më parë për qarkullim në asnjë shtet tjetër, të cilat nuk përmbushin normën euro 5; </w:t>
      </w:r>
    </w:p>
    <w:p w:rsidR="00AE2C2F" w:rsidRDefault="00AE2C2F" w:rsidP="00AE2C2F">
      <w:pPr>
        <w:pStyle w:val="Paragrafi"/>
        <w:rPr>
          <w:spacing w:val="-4"/>
          <w:lang w:val="sq-AL"/>
        </w:rPr>
      </w:pPr>
      <w:r>
        <w:rPr>
          <w:spacing w:val="-4"/>
          <w:lang w:val="sq-AL"/>
        </w:rPr>
        <w:t>b)</w:t>
      </w:r>
      <w:r>
        <w:rPr>
          <w:spacing w:val="-4"/>
          <w:lang w:val="sq-AL"/>
        </w:rPr>
        <w:t xml:space="preserve"> Mjetet motorike të tjera të reja të kategorive M2 dhe N1, me zero km dhe që nuk janë regjistruar më parë për qarkullim në asnjë shtet tjetër, të cilat nuk përmbushin normën euro 5; </w:t>
      </w:r>
    </w:p>
    <w:p w:rsidR="00AE2C2F" w:rsidRDefault="00AE2C2F" w:rsidP="00AE2C2F">
      <w:pPr>
        <w:pStyle w:val="Paragrafi"/>
        <w:rPr>
          <w:lang w:val="sq-AL"/>
        </w:rPr>
      </w:pPr>
      <w:r>
        <w:rPr>
          <w:lang w:val="sq-AL"/>
        </w:rPr>
        <w:t xml:space="preserve">c) </w:t>
      </w:r>
      <w:r>
        <w:rPr>
          <w:lang w:val="sq-AL"/>
        </w:rPr>
        <w:t>Autoveturat e përdorura (të gjitha ato që nuk janë me zero km dhe që janë regjistruar më parë për qarkullim në rrugë në një shtet tjetër, të cilat nuk përmbushin normën euro 4) dhe janë prodhuar jo më shumë se 10 vjet para datës së regjistrimit të parë në Shqipëri;</w:t>
      </w:r>
    </w:p>
    <w:p w:rsidR="00AE2C2F" w:rsidRDefault="00AE2C2F" w:rsidP="00AE2C2F">
      <w:pPr>
        <w:pStyle w:val="Paragrafi"/>
        <w:rPr>
          <w:lang w:val="sq-AL"/>
        </w:rPr>
      </w:pPr>
      <w:r>
        <w:rPr>
          <w:lang w:val="sq-AL"/>
        </w:rPr>
        <w:t>ç)</w:t>
      </w:r>
      <w:r>
        <w:rPr>
          <w:lang w:val="sq-AL"/>
        </w:rPr>
        <w:t xml:space="preserve"> Mjetet motorike të tjera të përdorura, të kategorive M2 dhe N1 (të gjitha ato që nuk janë me zero km dhe që janë regjistruar më parë për qarkullim në rrugë në një shtet tjetër, të cilat nuk përmbushin normën euro 3) dhe janë prodhuar jo më shumë se 15 vjet para datës së regjistrimit të parë në Shqipëri.</w:t>
      </w:r>
    </w:p>
    <w:p w:rsidR="00AE2C2F" w:rsidRDefault="00AE2C2F" w:rsidP="00AE2C2F">
      <w:pPr>
        <w:pStyle w:val="Paragrafi"/>
        <w:rPr>
          <w:lang w:val="sq-AL"/>
        </w:rPr>
      </w:pPr>
      <w:r>
        <w:rPr>
          <w:lang w:val="sq-AL"/>
        </w:rPr>
        <w:t>5. Në rastet e parashikuara në pikën 4, Autoriteti Verifikues konstatues lëshon procesverbalin përkatës, i firmosur dhe i vulosur, në të cilin pasqyrohen saktësisht argumentet teknike dhe ligjore për moskryerjen e shërbimit.</w:t>
      </w:r>
    </w:p>
    <w:p w:rsidR="00AE2C2F" w:rsidRDefault="00AE2C2F" w:rsidP="00AE2C2F">
      <w:pPr>
        <w:pStyle w:val="Paragrafi"/>
        <w:rPr>
          <w:lang w:val="sq-AL"/>
        </w:rPr>
      </w:pPr>
      <w:r>
        <w:rPr>
          <w:lang w:val="sq-AL"/>
        </w:rPr>
        <w:t xml:space="preserve">6. Kur mungojnë të dhënat në dokumentin me treguesit teknikë shoqërues të mjetit për vitin e prodhimit dhe normën euro duhet të konsultohen manualet teknike ekzistuese, manualet teknike të publikuara nga konstruktorët ose përfaqësues të konstruktorëve, faqet elektronike zyrtare të institucioneve përgjegjëse ose të përdoret komunikimi direkt zyrtar me institucionet përgjegjëse, përfaqësuesit e autorizuar etj. </w:t>
      </w:r>
    </w:p>
    <w:p w:rsidR="00AE2C2F" w:rsidRDefault="00AE2C2F" w:rsidP="00AE2C2F">
      <w:pPr>
        <w:pStyle w:val="Paragrafi"/>
        <w:rPr>
          <w:lang w:val="sq-AL"/>
        </w:rPr>
      </w:pPr>
      <w:r>
        <w:rPr>
          <w:lang w:val="sq-AL"/>
        </w:rPr>
        <w:t>7. Drejtoria e Përgjithshme e Shërbimeve të Transportit Rrugor të planifikojë dhe të miratojë në programin e saj ekonomik fonde financiare për të gjitha shpenzimet e nevojshme për të siguruar të dhënat teknike për kategorinë përkatëse mjedisore, të konfirmuara nga institucione apo organizma përgjegjës, për të gjitha mjetet motorike kur është i nevojshëm ky konfirmim.</w:t>
      </w:r>
    </w:p>
    <w:p w:rsidR="00AE2C2F" w:rsidRDefault="00AE2C2F" w:rsidP="00AE2C2F">
      <w:pPr>
        <w:pStyle w:val="Paragrafi"/>
        <w:rPr>
          <w:lang w:val="sq-AL"/>
        </w:rPr>
      </w:pPr>
      <w:r>
        <w:rPr>
          <w:lang w:val="sq-AL"/>
        </w:rPr>
        <w:t>8.</w:t>
      </w:r>
      <w:r>
        <w:rPr>
          <w:lang w:val="sq-AL"/>
        </w:rPr>
        <w:t xml:space="preserve"> Punonjësit e Drejtorisë Përgjithshme të Shërbimeve të Transportit Rrugor që do të kryejnë verifikimin e mjeteve motorike të kategorive M1, M2 dhe N1, në plotësimin e kushteve teknike lidhur me karakteristikat funksionale të sistemeve dhe pajisjeve dhe gjendjes tekniko-fizike të tyre, duhet të jenë të profesionit inxhinier mekanik me eksperiencë pune në fushën e transportit rrugor.</w:t>
      </w:r>
    </w:p>
    <w:p w:rsidR="00AE2C2F" w:rsidRDefault="00AE2C2F" w:rsidP="00AE2C2F">
      <w:pPr>
        <w:pStyle w:val="Paragrafi"/>
        <w:rPr>
          <w:lang w:val="sq-AL"/>
        </w:rPr>
      </w:pPr>
      <w:r>
        <w:rPr>
          <w:lang w:val="sq-AL"/>
        </w:rPr>
        <w:t>9. Drejtoria e Përgjithshme e Doganave dhe Drejtoria e Përgjithshme e Shërbimeve të Transportit Rrugor bashkëpunojnë për zbatimin e këtij udhëzimi.</w:t>
      </w:r>
    </w:p>
    <w:p w:rsidR="00AE2C2F" w:rsidRDefault="00AE2C2F" w:rsidP="00AE2C2F">
      <w:pPr>
        <w:pStyle w:val="Paragrafi"/>
        <w:rPr>
          <w:lang w:val="sq-AL"/>
        </w:rPr>
      </w:pPr>
      <w:r>
        <w:rPr>
          <w:lang w:val="sq-AL"/>
        </w:rPr>
        <w:t>10. Përjashtohen nga verifikimi mjetet motorike të përcaktuara në pikën 3, të VKM-së nr. 633, datë 26.10.2018.</w:t>
      </w:r>
    </w:p>
    <w:p w:rsidR="00AE2C2F" w:rsidRDefault="00AE2C2F" w:rsidP="00AE2C2F">
      <w:pPr>
        <w:pStyle w:val="Paragrafi"/>
        <w:rPr>
          <w:lang w:val="sq-AL"/>
        </w:rPr>
      </w:pPr>
      <w:r>
        <w:rPr>
          <w:lang w:val="sq-AL"/>
        </w:rPr>
        <w:t xml:space="preserve">IV. </w:t>
      </w:r>
      <w:r>
        <w:rPr>
          <w:lang w:val="sq-AL"/>
        </w:rPr>
        <w:tab/>
        <w:t>DISPOZITA TË FUNDIT</w:t>
      </w:r>
    </w:p>
    <w:p w:rsidR="00AE2C2F" w:rsidRDefault="00AE2C2F" w:rsidP="00AE2C2F">
      <w:pPr>
        <w:pStyle w:val="Paragrafi"/>
        <w:rPr>
          <w:lang w:val="sq-AL"/>
        </w:rPr>
      </w:pPr>
      <w:r>
        <w:rPr>
          <w:lang w:val="sq-AL"/>
        </w:rPr>
        <w:t>Ngarkohet Drejtoria e Përgjithshme e Shërbimeve të Transportit Rrugor dhe Drejtoria e Përgjithshme e Doganave për zbatimin e këtij udhëzimi dhe për bashkëpunim të ndërsjellë.</w:t>
      </w:r>
    </w:p>
    <w:p w:rsidR="00AE2C2F" w:rsidRDefault="00AE2C2F" w:rsidP="00AE2C2F">
      <w:pPr>
        <w:pStyle w:val="Paragrafi"/>
        <w:rPr>
          <w:lang w:val="sq-AL"/>
        </w:rPr>
      </w:pPr>
      <w:r>
        <w:rPr>
          <w:lang w:val="sq-AL"/>
        </w:rPr>
        <w:t>Ky udhëzim hyn në fuqi me botimin në Fletoren Zyrtare</w:t>
      </w:r>
    </w:p>
    <w:p w:rsidR="00AE2C2F" w:rsidRDefault="00AE2C2F" w:rsidP="00AE2C2F">
      <w:pPr>
        <w:pStyle w:val="Paragrafi"/>
        <w:rPr>
          <w:sz w:val="14"/>
          <w:lang w:val="sq-AL"/>
        </w:rPr>
      </w:pPr>
    </w:p>
    <w:p w:rsidR="00AE2C2F" w:rsidRDefault="00AE2C2F" w:rsidP="00AE2C2F">
      <w:pPr>
        <w:pStyle w:val="Paragrafi"/>
        <w:jc w:val="right"/>
        <w:rPr>
          <w:lang w:val="sq-AL"/>
        </w:rPr>
      </w:pPr>
      <w:r>
        <w:rPr>
          <w:lang w:val="sq-AL"/>
        </w:rPr>
        <w:t xml:space="preserve">MINISTRI I INFRASTRUKTURËS </w:t>
      </w:r>
    </w:p>
    <w:p w:rsidR="00AE2C2F" w:rsidRDefault="00AE2C2F" w:rsidP="00AE2C2F">
      <w:pPr>
        <w:pStyle w:val="Paragrafi"/>
        <w:jc w:val="right"/>
        <w:rPr>
          <w:lang w:val="sq-AL"/>
        </w:rPr>
      </w:pPr>
      <w:r>
        <w:rPr>
          <w:lang w:val="sq-AL"/>
        </w:rPr>
        <w:t>DHE ENERGJISË</w:t>
      </w:r>
    </w:p>
    <w:p w:rsidR="00AE2C2F" w:rsidRDefault="00AE2C2F" w:rsidP="00AE2C2F">
      <w:pPr>
        <w:pStyle w:val="Paragrafi"/>
        <w:jc w:val="right"/>
        <w:rPr>
          <w:b/>
          <w:lang w:val="sq-AL"/>
        </w:rPr>
      </w:pPr>
      <w:r>
        <w:rPr>
          <w:b/>
          <w:lang w:val="sq-AL"/>
        </w:rPr>
        <w:t>Damian Gjiknuri</w:t>
      </w:r>
    </w:p>
    <w:p w:rsidR="00AE2C2F" w:rsidRDefault="00AE2C2F" w:rsidP="00AE2C2F">
      <w:pPr>
        <w:spacing w:after="0" w:line="240" w:lineRule="auto"/>
        <w:ind w:firstLine="0"/>
        <w:jc w:val="left"/>
        <w:rPr>
          <w:rFonts w:ascii="Garamond" w:eastAsia="MS Mincho" w:hAnsi="Garamond" w:cs="CG Times"/>
          <w:b/>
          <w:sz w:val="24"/>
          <w:lang w:val="sq-AL"/>
        </w:rPr>
        <w:sectPr w:rsidR="00AE2C2F" w:rsidSect="00AE2C2F">
          <w:type w:val="continuous"/>
          <w:pgSz w:w="11907" w:h="16840"/>
          <w:pgMar w:top="720" w:right="1134" w:bottom="720" w:left="1134" w:header="851" w:footer="851" w:gutter="0"/>
          <w:pgNumType w:start="15266"/>
          <w:cols w:space="454"/>
          <w:docGrid w:linePitch="299"/>
        </w:sectPr>
      </w:pPr>
    </w:p>
    <w:p w:rsidR="00AE2C2F" w:rsidRDefault="00AE2C2F" w:rsidP="00AE2C2F">
      <w:pPr>
        <w:pStyle w:val="NeniNr"/>
        <w:rPr>
          <w:lang w:val="sq-AL"/>
        </w:rPr>
        <w:sectPr w:rsidR="00AE2C2F" w:rsidSect="00AE2C2F">
          <w:pgSz w:w="15840" w:h="12240" w:orient="landscape"/>
          <w:pgMar w:top="1440" w:right="1440" w:bottom="1440" w:left="1440" w:header="720" w:footer="720" w:gutter="0"/>
          <w:cols w:space="720"/>
          <w:docGrid w:linePitch="360"/>
        </w:sectPr>
      </w:pPr>
    </w:p>
    <w:p w:rsidR="00AE2C2F" w:rsidRDefault="00AE2C2F" w:rsidP="00AE2C2F">
      <w:pPr>
        <w:pStyle w:val="NeniNr"/>
        <w:rPr>
          <w:lang w:val="sq-AL"/>
        </w:rPr>
      </w:pPr>
      <w:r>
        <w:rPr>
          <w:lang w:val="sq-AL"/>
        </w:rPr>
        <w:t>SHTOJCA 1</w:t>
      </w:r>
    </w:p>
    <w:p w:rsidR="00AE2C2F" w:rsidRDefault="00AE2C2F" w:rsidP="00AE2C2F">
      <w:pPr>
        <w:pStyle w:val="Paragrafi"/>
        <w:ind w:firstLine="0"/>
        <w:jc w:val="center"/>
        <w:rPr>
          <w:lang w:val="sq-AL"/>
        </w:rPr>
      </w:pPr>
      <w:r>
        <w:rPr>
          <w:lang w:val="sq-AL"/>
        </w:rPr>
        <w:t>VLERAT E SHKARKIMEVE PËR MJETET MOTORIK</w:t>
      </w:r>
    </w:p>
    <w:tbl>
      <w:tblPr>
        <w:tblpPr w:leftFromText="180" w:rightFromText="180" w:bottomFromText="200" w:vertAnchor="text" w:horzAnchor="margin" w:tblpXSpec="center" w:tblpY="427"/>
        <w:tblW w:w="14220" w:type="dxa"/>
        <w:tblBorders>
          <w:top w:val="single" w:sz="6" w:space="0" w:color="339999"/>
          <w:left w:val="single" w:sz="6" w:space="0" w:color="339999"/>
          <w:bottom w:val="single" w:sz="6" w:space="0" w:color="339999"/>
          <w:right w:val="single" w:sz="6" w:space="0" w:color="339999"/>
        </w:tblBorders>
        <w:tblLook w:val="04A0" w:firstRow="1" w:lastRow="0" w:firstColumn="1" w:lastColumn="0" w:noHBand="0" w:noVBand="1"/>
      </w:tblPr>
      <w:tblGrid>
        <w:gridCol w:w="2500"/>
        <w:gridCol w:w="1701"/>
        <w:gridCol w:w="1701"/>
        <w:gridCol w:w="1559"/>
        <w:gridCol w:w="2127"/>
        <w:gridCol w:w="1559"/>
        <w:gridCol w:w="1701"/>
        <w:gridCol w:w="1372"/>
      </w:tblGrid>
      <w:tr w:rsidR="00AE2C2F" w:rsidTr="00AE2C2F">
        <w:trPr>
          <w:trHeight w:val="547"/>
          <w:tblHeader/>
        </w:trPr>
        <w:tc>
          <w:tcPr>
            <w:tcW w:w="14220" w:type="dxa"/>
            <w:gridSpan w:val="8"/>
            <w:tcBorders>
              <w:top w:val="nil"/>
              <w:left w:val="nil"/>
              <w:bottom w:val="nil"/>
              <w:right w:val="nil"/>
            </w:tcBorders>
            <w:shd w:val="clear" w:color="auto" w:fill="666699"/>
            <w:tcMar>
              <w:top w:w="45" w:type="dxa"/>
              <w:left w:w="90" w:type="dxa"/>
              <w:bottom w:w="45" w:type="dxa"/>
              <w:right w:w="90" w:type="dxa"/>
            </w:tcMar>
            <w:vAlign w:val="center"/>
            <w:hideMark/>
          </w:tcPr>
          <w:p w:rsidR="00AE2C2F" w:rsidRDefault="00AE2C2F">
            <w:pPr>
              <w:spacing w:after="0"/>
              <w:jc w:val="center"/>
              <w:rPr>
                <w:rFonts w:ascii="Garamond" w:hAnsi="Garamond"/>
                <w:b/>
                <w:color w:val="000000"/>
                <w:sz w:val="20"/>
                <w:szCs w:val="20"/>
                <w:lang w:val="sq-AL"/>
              </w:rPr>
            </w:pPr>
            <w:r>
              <w:rPr>
                <w:rFonts w:ascii="Garamond" w:hAnsi="Garamond"/>
                <w:b/>
                <w:sz w:val="20"/>
                <w:szCs w:val="20"/>
                <w:lang w:val="sq-AL"/>
              </w:rPr>
              <w:t>Shkarkimet standarde për mjetet motorike për transport njerëzish (M</w:t>
            </w:r>
            <w:r>
              <w:rPr>
                <w:rFonts w:ascii="Garamond" w:hAnsi="Garamond"/>
                <w:b/>
                <w:sz w:val="20"/>
                <w:szCs w:val="20"/>
                <w:vertAlign w:val="subscript"/>
                <w:lang w:val="sq-AL"/>
              </w:rPr>
              <w:t>1</w:t>
            </w:r>
            <w:r>
              <w:rPr>
                <w:rFonts w:ascii="Garamond" w:hAnsi="Garamond"/>
                <w:b/>
                <w:sz w:val="20"/>
                <w:szCs w:val="20"/>
                <w:lang w:val="sq-AL"/>
              </w:rPr>
              <w:t>, M</w:t>
            </w:r>
            <w:r>
              <w:rPr>
                <w:rFonts w:ascii="Garamond" w:hAnsi="Garamond"/>
                <w:b/>
                <w:sz w:val="20"/>
                <w:szCs w:val="20"/>
                <w:vertAlign w:val="subscript"/>
                <w:lang w:val="sq-AL"/>
              </w:rPr>
              <w:t>2</w:t>
            </w:r>
            <w:r>
              <w:rPr>
                <w:rFonts w:ascii="Garamond" w:hAnsi="Garamond"/>
                <w:b/>
                <w:sz w:val="20"/>
                <w:szCs w:val="20"/>
                <w:lang w:val="sq-AL"/>
              </w:rPr>
              <w:t>)*</w:t>
            </w:r>
          </w:p>
        </w:tc>
      </w:tr>
      <w:tr w:rsidR="00AE2C2F" w:rsidTr="00AE2C2F">
        <w:trPr>
          <w:tblHeader/>
        </w:trPr>
        <w:tc>
          <w:tcPr>
            <w:tcW w:w="2500" w:type="dxa"/>
            <w:vMerge w:val="restart"/>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Norma</w:t>
            </w:r>
          </w:p>
        </w:tc>
        <w:tc>
          <w:tcPr>
            <w:tcW w:w="1701" w:type="dxa"/>
            <w:vMerge w:val="restart"/>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Datë</w:t>
            </w:r>
          </w:p>
        </w:tc>
        <w:tc>
          <w:tcPr>
            <w:tcW w:w="1701"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CO</w:t>
            </w:r>
          </w:p>
        </w:tc>
        <w:tc>
          <w:tcPr>
            <w:tcW w:w="1559"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HC</w:t>
            </w:r>
          </w:p>
        </w:tc>
        <w:tc>
          <w:tcPr>
            <w:tcW w:w="2127"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HC+NOx</w:t>
            </w:r>
          </w:p>
        </w:tc>
        <w:tc>
          <w:tcPr>
            <w:tcW w:w="1559"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NOx</w:t>
            </w:r>
          </w:p>
        </w:tc>
        <w:tc>
          <w:tcPr>
            <w:tcW w:w="1701"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PM</w:t>
            </w:r>
          </w:p>
        </w:tc>
        <w:tc>
          <w:tcPr>
            <w:tcW w:w="1372"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PN</w:t>
            </w:r>
          </w:p>
        </w:tc>
      </w:tr>
      <w:tr w:rsidR="00AE2C2F" w:rsidTr="00AE2C2F">
        <w:trPr>
          <w:tblHeader/>
        </w:trPr>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color w:val="FFFFFF"/>
                <w:sz w:val="20"/>
                <w:szCs w:val="20"/>
                <w:lang w:val="sq-AL"/>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color w:val="FFFFFF"/>
                <w:sz w:val="20"/>
                <w:szCs w:val="20"/>
                <w:lang w:val="sq-AL"/>
              </w:rPr>
            </w:pPr>
          </w:p>
        </w:tc>
        <w:tc>
          <w:tcPr>
            <w:tcW w:w="8647" w:type="dxa"/>
            <w:gridSpan w:val="5"/>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i/>
                <w:color w:val="FFFFFF"/>
                <w:sz w:val="20"/>
                <w:szCs w:val="20"/>
                <w:lang w:val="sq-AL"/>
              </w:rPr>
            </w:pPr>
            <w:r>
              <w:rPr>
                <w:rFonts w:ascii="Garamond" w:hAnsi="Garamond"/>
                <w:i/>
                <w:color w:val="FFFFFF"/>
                <w:sz w:val="20"/>
                <w:szCs w:val="20"/>
                <w:lang w:val="sq-AL"/>
              </w:rPr>
              <w:t>g/km</w:t>
            </w:r>
          </w:p>
        </w:tc>
        <w:tc>
          <w:tcPr>
            <w:tcW w:w="1372"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i/>
                <w:color w:val="FFFFFF"/>
                <w:sz w:val="20"/>
                <w:szCs w:val="20"/>
                <w:lang w:val="sq-AL"/>
              </w:rPr>
            </w:pPr>
            <w:r>
              <w:rPr>
                <w:rFonts w:ascii="Garamond" w:hAnsi="Garamond"/>
                <w:i/>
                <w:color w:val="FFFFFF"/>
                <w:sz w:val="20"/>
                <w:szCs w:val="20"/>
                <w:lang w:val="sq-AL"/>
              </w:rPr>
              <w:t>#/km</w:t>
            </w:r>
          </w:p>
        </w:tc>
      </w:tr>
      <w:tr w:rsidR="00AE2C2F" w:rsidTr="00AE2C2F">
        <w:tc>
          <w:tcPr>
            <w:tcW w:w="14220" w:type="dxa"/>
            <w:gridSpan w:val="8"/>
            <w:tcBorders>
              <w:top w:val="single" w:sz="6" w:space="0" w:color="CCCCCC"/>
              <w:left w:val="single" w:sz="6" w:space="0" w:color="CCCCCC"/>
              <w:bottom w:val="single" w:sz="6" w:space="0" w:color="CCCCCC"/>
              <w:right w:val="single" w:sz="6" w:space="0" w:color="CCCCCC"/>
            </w:tcBorders>
            <w:shd w:val="clear" w:color="auto" w:fill="EEEEEE"/>
            <w:tcMar>
              <w:top w:w="45" w:type="dxa"/>
              <w:left w:w="90" w:type="dxa"/>
              <w:bottom w:w="45" w:type="dxa"/>
              <w:right w:w="90" w:type="dxa"/>
            </w:tcMar>
            <w:vAlign w:val="center"/>
            <w:hideMark/>
          </w:tcPr>
          <w:p w:rsidR="00AE2C2F" w:rsidRDefault="00AE2C2F">
            <w:pPr>
              <w:spacing w:after="0"/>
              <w:jc w:val="center"/>
              <w:rPr>
                <w:rFonts w:ascii="Garamond" w:hAnsi="Garamond"/>
                <w:b/>
                <w:color w:val="000000"/>
                <w:sz w:val="20"/>
                <w:szCs w:val="20"/>
                <w:lang w:val="sq-AL"/>
              </w:rPr>
            </w:pPr>
            <w:r>
              <w:rPr>
                <w:rFonts w:ascii="Garamond" w:hAnsi="Garamond"/>
                <w:b/>
                <w:color w:val="000000"/>
                <w:sz w:val="20"/>
                <w:szCs w:val="20"/>
                <w:lang w:val="sq-AL"/>
              </w:rPr>
              <w:t>Kompresim me injektim (diezel)</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1992.07</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2.72 (3.16)</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0.97 (1.13)</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0.14 (0.18)</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 IDI</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1996.01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1.0</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0.7</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0.08</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 DI</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1996.01</w:t>
            </w:r>
            <w:r>
              <w:rPr>
                <w:rFonts w:ascii="Garamond" w:hAnsi="Garamond"/>
                <w:color w:val="000000"/>
                <w:sz w:val="20"/>
                <w:szCs w:val="20"/>
                <w:vertAlign w:val="superscript"/>
                <w:lang w:val="sq-AL"/>
              </w:rPr>
              <w:t>a</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1.0</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0.9</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0.10</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ind w:left="-810" w:firstLine="81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3</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2000.01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0.64</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0.56</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0.50</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0.05</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4</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2005.01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0.50</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0.30</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0.025</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5a</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2009.09</w:t>
            </w:r>
            <w:r>
              <w:rPr>
                <w:rFonts w:ascii="Garamond" w:hAnsi="Garamond"/>
                <w:color w:val="000000"/>
                <w:sz w:val="20"/>
                <w:szCs w:val="20"/>
                <w:vertAlign w:val="superscript"/>
                <w:lang w:val="sq-AL"/>
              </w:rPr>
              <w:t>b</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0.50</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0.23</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0.18</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f</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5b</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2011.09</w:t>
            </w:r>
            <w:r>
              <w:rPr>
                <w:rFonts w:ascii="Garamond" w:hAnsi="Garamond"/>
                <w:color w:val="000000"/>
                <w:sz w:val="20"/>
                <w:szCs w:val="20"/>
                <w:vertAlign w:val="superscript"/>
                <w:lang w:val="sq-AL"/>
              </w:rPr>
              <w:t>c</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0.50</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0.23</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0.18</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f</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6.0×10</w:t>
            </w:r>
            <w:r>
              <w:rPr>
                <w:rFonts w:ascii="Garamond" w:hAnsi="Garamond"/>
                <w:color w:val="000000"/>
                <w:sz w:val="20"/>
                <w:szCs w:val="20"/>
                <w:vertAlign w:val="superscript"/>
                <w:lang w:val="sq-AL"/>
              </w:rPr>
              <w:t>11</w:t>
            </w:r>
          </w:p>
        </w:tc>
      </w:tr>
      <w:tr w:rsidR="00AE2C2F" w:rsidTr="00AE2C2F">
        <w:tc>
          <w:tcPr>
            <w:tcW w:w="14220" w:type="dxa"/>
            <w:gridSpan w:val="8"/>
            <w:tcBorders>
              <w:top w:val="single" w:sz="6" w:space="0" w:color="CCCCCC"/>
              <w:left w:val="single" w:sz="6" w:space="0" w:color="CCCCCC"/>
              <w:bottom w:val="single" w:sz="6" w:space="0" w:color="CCCCCC"/>
              <w:right w:val="single" w:sz="6" w:space="0" w:color="CCCCCC"/>
            </w:tcBorders>
            <w:shd w:val="clear" w:color="auto" w:fill="EEEEEE"/>
            <w:tcMar>
              <w:top w:w="45" w:type="dxa"/>
              <w:left w:w="90" w:type="dxa"/>
              <w:bottom w:w="45" w:type="dxa"/>
              <w:right w:w="90" w:type="dxa"/>
            </w:tcMar>
            <w:vAlign w:val="center"/>
            <w:hideMark/>
          </w:tcPr>
          <w:p w:rsidR="00AE2C2F" w:rsidRDefault="00AE2C2F">
            <w:pPr>
              <w:spacing w:after="0"/>
              <w:jc w:val="center"/>
              <w:rPr>
                <w:rFonts w:ascii="Garamond" w:hAnsi="Garamond"/>
                <w:b/>
                <w:color w:val="000000"/>
                <w:sz w:val="20"/>
                <w:szCs w:val="20"/>
                <w:lang w:val="sq-AL"/>
              </w:rPr>
            </w:pPr>
            <w:r>
              <w:rPr>
                <w:rFonts w:ascii="Garamond" w:hAnsi="Garamond"/>
                <w:b/>
                <w:color w:val="000000"/>
                <w:sz w:val="20"/>
                <w:szCs w:val="20"/>
                <w:lang w:val="sq-AL"/>
              </w:rPr>
              <w:t>Injektim pozitiv (gazolinë)</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1992.07</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2.72 (3.16)</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0.97 (1.13)</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1996.01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2.2</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3</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2000.01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2.30</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0.20</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4</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2005.01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1.0</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0.10</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0.08</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2500"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2009.09</w:t>
            </w:r>
            <w:r>
              <w:rPr>
                <w:rFonts w:ascii="Garamond" w:hAnsi="Garamond"/>
                <w:color w:val="000000"/>
                <w:sz w:val="20"/>
                <w:szCs w:val="20"/>
                <w:vertAlign w:val="superscript"/>
                <w:lang w:val="sq-AL"/>
              </w:rPr>
              <w:t>b</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1.0</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0.10</w:t>
            </w:r>
            <w:r>
              <w:rPr>
                <w:rFonts w:ascii="Garamond" w:hAnsi="Garamond"/>
                <w:color w:val="000000"/>
                <w:sz w:val="20"/>
                <w:szCs w:val="20"/>
                <w:vertAlign w:val="superscript"/>
                <w:lang w:val="sq-AL"/>
              </w:rPr>
              <w:t>d</w:t>
            </w:r>
          </w:p>
        </w:tc>
        <w:tc>
          <w:tcPr>
            <w:tcW w:w="2127"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559"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0.06</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e,f</w:t>
            </w:r>
          </w:p>
        </w:tc>
        <w:tc>
          <w:tcPr>
            <w:tcW w:w="137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14220" w:type="dxa"/>
            <w:gridSpan w:val="8"/>
            <w:tcBorders>
              <w:top w:val="single" w:sz="6" w:space="0" w:color="CCCCCC"/>
              <w:left w:val="single" w:sz="6" w:space="0" w:color="CCCCCC"/>
              <w:bottom w:val="single" w:sz="6" w:space="0" w:color="CCCCCC"/>
              <w:right w:val="single" w:sz="6" w:space="0" w:color="CCCCCC"/>
            </w:tcBorders>
            <w:shd w:val="clear" w:color="auto" w:fill="EEEEEE"/>
            <w:tcMar>
              <w:top w:w="45" w:type="dxa"/>
              <w:left w:w="90" w:type="dxa"/>
              <w:bottom w:w="45" w:type="dxa"/>
              <w:right w:w="90" w:type="dxa"/>
            </w:tcMar>
            <w:vAlign w:val="center"/>
            <w:hideMark/>
          </w:tcPr>
          <w:p w:rsidR="00AE2C2F" w:rsidRDefault="00AE2C2F">
            <w:pPr>
              <w:spacing w:after="0"/>
              <w:ind w:left="360"/>
              <w:rPr>
                <w:rFonts w:ascii="Garamond" w:hAnsi="Garamond"/>
                <w:b/>
                <w:color w:val="000000"/>
                <w:sz w:val="20"/>
                <w:szCs w:val="20"/>
                <w:lang w:val="sq-AL"/>
              </w:rPr>
            </w:pPr>
            <w:r>
              <w:rPr>
                <w:rFonts w:ascii="Garamond" w:hAnsi="Garamond"/>
                <w:b/>
                <w:color w:val="000000"/>
                <w:sz w:val="20"/>
                <w:szCs w:val="20"/>
                <w:lang w:val="sq-AL"/>
              </w:rPr>
              <w:t xml:space="preserve">Shënime: </w:t>
            </w:r>
          </w:p>
          <w:p w:rsidR="00AE2C2F" w:rsidRDefault="00AE2C2F">
            <w:pPr>
              <w:spacing w:after="0"/>
              <w:ind w:left="360"/>
              <w:rPr>
                <w:rFonts w:ascii="Garamond" w:hAnsi="Garamond"/>
                <w:color w:val="000000"/>
                <w:sz w:val="20"/>
                <w:szCs w:val="20"/>
                <w:lang w:val="sq-AL"/>
              </w:rPr>
            </w:pPr>
            <w:r>
              <w:rPr>
                <w:rFonts w:ascii="Garamond" w:hAnsi="Garamond"/>
                <w:color w:val="000000"/>
                <w:sz w:val="20"/>
                <w:szCs w:val="20"/>
                <w:lang w:val="sq-AL"/>
              </w:rPr>
              <w:t>* Për normat euro 1-4, mjetet motorike për njerëzit &gt; 2,500 kg të aprovuara si mjete të kategorisë N</w:t>
            </w:r>
            <w:r>
              <w:rPr>
                <w:rFonts w:ascii="Garamond" w:hAnsi="Garamond"/>
                <w:color w:val="000000"/>
                <w:sz w:val="20"/>
                <w:szCs w:val="20"/>
                <w:vertAlign w:val="subscript"/>
                <w:lang w:val="sq-AL"/>
              </w:rPr>
              <w:t>1</w:t>
            </w:r>
            <w:r>
              <w:rPr>
                <w:rFonts w:ascii="Garamond" w:hAnsi="Garamond"/>
                <w:color w:val="000000"/>
                <w:sz w:val="20"/>
                <w:szCs w:val="20"/>
                <w:lang w:val="sq-AL"/>
              </w:rPr>
              <w:t xml:space="preserve"> </w:t>
            </w:r>
          </w:p>
          <w:p w:rsidR="00AE2C2F" w:rsidRDefault="00AE2C2F">
            <w:pPr>
              <w:spacing w:after="0"/>
              <w:ind w:left="360"/>
              <w:rPr>
                <w:rFonts w:ascii="Garamond" w:hAnsi="Garamond"/>
                <w:color w:val="000000"/>
                <w:sz w:val="20"/>
                <w:szCs w:val="20"/>
                <w:lang w:val="sq-AL"/>
              </w:rPr>
            </w:pPr>
            <w:r>
              <w:rPr>
                <w:rFonts w:ascii="Garamond" w:hAnsi="Garamond"/>
                <w:color w:val="000000"/>
                <w:sz w:val="20"/>
                <w:szCs w:val="20"/>
                <w:lang w:val="sq-AL"/>
              </w:rPr>
              <w:t xml:space="preserve">† Vlerat në kllapa janë konformitet i limiteve të prodhimit (COP) </w:t>
            </w:r>
          </w:p>
          <w:p w:rsidR="00AE2C2F" w:rsidRDefault="00AE2C2F">
            <w:pPr>
              <w:spacing w:after="0"/>
              <w:ind w:left="360"/>
              <w:rPr>
                <w:rFonts w:ascii="Garamond" w:hAnsi="Garamond"/>
                <w:color w:val="000000"/>
                <w:sz w:val="20"/>
                <w:szCs w:val="20"/>
                <w:lang w:val="sq-AL"/>
              </w:rPr>
            </w:pPr>
            <w:r>
              <w:rPr>
                <w:rFonts w:ascii="Garamond" w:hAnsi="Garamond"/>
                <w:color w:val="000000"/>
                <w:sz w:val="20"/>
                <w:szCs w:val="20"/>
                <w:lang w:val="sq-AL"/>
              </w:rPr>
              <w:t>a. deri 1999.09.30 (mbas kësaj date motorët DI duhet të arrijnë limitet e IDI)</w:t>
            </w:r>
          </w:p>
          <w:p w:rsidR="00AE2C2F" w:rsidRDefault="00AE2C2F">
            <w:pPr>
              <w:spacing w:after="0"/>
              <w:ind w:left="360"/>
              <w:rPr>
                <w:rFonts w:ascii="Garamond" w:hAnsi="Garamond"/>
                <w:color w:val="000000"/>
                <w:sz w:val="20"/>
                <w:szCs w:val="20"/>
                <w:lang w:val="sq-AL"/>
              </w:rPr>
            </w:pPr>
            <w:r>
              <w:rPr>
                <w:rFonts w:ascii="Garamond" w:hAnsi="Garamond"/>
                <w:color w:val="000000"/>
                <w:sz w:val="20"/>
                <w:szCs w:val="20"/>
                <w:lang w:val="sq-AL"/>
              </w:rPr>
              <w:t>b. 2011.01 për të gjitha modelet</w:t>
            </w:r>
          </w:p>
          <w:p w:rsidR="00AE2C2F" w:rsidRDefault="00AE2C2F">
            <w:pPr>
              <w:spacing w:after="0"/>
              <w:ind w:left="360"/>
              <w:rPr>
                <w:rFonts w:ascii="Garamond" w:hAnsi="Garamond"/>
                <w:color w:val="000000"/>
                <w:sz w:val="20"/>
                <w:szCs w:val="20"/>
                <w:lang w:val="sq-AL"/>
              </w:rPr>
            </w:pPr>
            <w:r>
              <w:rPr>
                <w:rFonts w:ascii="Garamond" w:hAnsi="Garamond"/>
                <w:color w:val="000000"/>
                <w:sz w:val="20"/>
                <w:szCs w:val="20"/>
                <w:lang w:val="sq-AL"/>
              </w:rPr>
              <w:lastRenderedPageBreak/>
              <w:t xml:space="preserve">c. 2013.01 për të gjitha modelet </w:t>
            </w:r>
          </w:p>
          <w:p w:rsidR="00AE2C2F" w:rsidRDefault="00AE2C2F">
            <w:pPr>
              <w:spacing w:after="0"/>
              <w:ind w:left="360"/>
              <w:rPr>
                <w:rFonts w:ascii="Garamond" w:hAnsi="Garamond"/>
                <w:color w:val="000000"/>
                <w:sz w:val="20"/>
                <w:szCs w:val="20"/>
                <w:lang w:val="sq-AL"/>
              </w:rPr>
            </w:pPr>
            <w:r>
              <w:rPr>
                <w:rFonts w:ascii="Garamond" w:hAnsi="Garamond"/>
                <w:color w:val="000000"/>
                <w:sz w:val="20"/>
                <w:szCs w:val="20"/>
                <w:lang w:val="sq-AL"/>
              </w:rPr>
              <w:t>d. dhe NMHC = 0.068 g/km</w:t>
            </w:r>
          </w:p>
          <w:p w:rsidR="00AE2C2F" w:rsidRDefault="00AE2C2F">
            <w:pPr>
              <w:spacing w:after="0"/>
              <w:ind w:left="360"/>
              <w:rPr>
                <w:rFonts w:ascii="Garamond" w:hAnsi="Garamond"/>
                <w:color w:val="000000"/>
                <w:sz w:val="20"/>
                <w:szCs w:val="20"/>
                <w:lang w:val="sq-AL"/>
              </w:rPr>
            </w:pPr>
            <w:r>
              <w:rPr>
                <w:rFonts w:ascii="Garamond" w:hAnsi="Garamond"/>
                <w:color w:val="000000"/>
                <w:sz w:val="20"/>
                <w:szCs w:val="20"/>
                <w:lang w:val="sq-AL"/>
              </w:rPr>
              <w:t xml:space="preserve">e. e aplikueshme vetëm për mjetet përdorin motorë DI </w:t>
            </w:r>
          </w:p>
          <w:p w:rsidR="00AE2C2F" w:rsidRDefault="00AE2C2F">
            <w:pPr>
              <w:spacing w:after="0"/>
              <w:ind w:left="360"/>
              <w:rPr>
                <w:rFonts w:ascii="Garamond" w:hAnsi="Garamond"/>
                <w:color w:val="000000"/>
                <w:sz w:val="20"/>
                <w:szCs w:val="20"/>
                <w:lang w:val="sq-AL"/>
              </w:rPr>
            </w:pPr>
            <w:r>
              <w:rPr>
                <w:rFonts w:ascii="Garamond" w:hAnsi="Garamond"/>
                <w:color w:val="000000"/>
                <w:sz w:val="20"/>
                <w:szCs w:val="20"/>
                <w:lang w:val="sq-AL"/>
              </w:rPr>
              <w:t xml:space="preserve">f. 0.0045 g/km që përdorin procedurat e matjes PMP </w:t>
            </w:r>
          </w:p>
        </w:tc>
      </w:tr>
    </w:tbl>
    <w:tbl>
      <w:tblPr>
        <w:tblpPr w:leftFromText="180" w:rightFromText="180" w:bottomFromText="200" w:vertAnchor="text" w:horzAnchor="margin" w:tblpXSpec="center" w:tblpY="2031"/>
        <w:tblW w:w="0" w:type="dxa"/>
        <w:tblBorders>
          <w:top w:val="single" w:sz="6" w:space="0" w:color="339999"/>
          <w:left w:val="single" w:sz="6" w:space="0" w:color="339999"/>
          <w:bottom w:val="single" w:sz="6" w:space="0" w:color="339999"/>
          <w:right w:val="single" w:sz="6" w:space="0" w:color="339999"/>
        </w:tblBorders>
        <w:tblLayout w:type="fixed"/>
        <w:tblLook w:val="04A0" w:firstRow="1" w:lastRow="0" w:firstColumn="1" w:lastColumn="0" w:noHBand="0" w:noVBand="1"/>
      </w:tblPr>
      <w:tblGrid>
        <w:gridCol w:w="1634"/>
        <w:gridCol w:w="1858"/>
        <w:gridCol w:w="1276"/>
        <w:gridCol w:w="992"/>
        <w:gridCol w:w="993"/>
        <w:gridCol w:w="1701"/>
        <w:gridCol w:w="1984"/>
        <w:gridCol w:w="1701"/>
        <w:gridCol w:w="1701"/>
      </w:tblGrid>
      <w:tr w:rsidR="00AE2C2F" w:rsidTr="00AE2C2F">
        <w:trPr>
          <w:trHeight w:val="547"/>
          <w:tblHeader/>
        </w:trPr>
        <w:tc>
          <w:tcPr>
            <w:tcW w:w="13840" w:type="dxa"/>
            <w:gridSpan w:val="9"/>
            <w:tcBorders>
              <w:top w:val="nil"/>
              <w:left w:val="nil"/>
              <w:bottom w:val="nil"/>
              <w:right w:val="nil"/>
            </w:tcBorders>
            <w:shd w:val="clear" w:color="auto" w:fill="666699"/>
            <w:tcMar>
              <w:top w:w="45" w:type="dxa"/>
              <w:left w:w="90" w:type="dxa"/>
              <w:bottom w:w="45" w:type="dxa"/>
              <w:right w:w="90" w:type="dxa"/>
            </w:tcMar>
            <w:vAlign w:val="center"/>
            <w:hideMark/>
          </w:tcPr>
          <w:p w:rsidR="00AE2C2F" w:rsidRDefault="00AE2C2F">
            <w:pPr>
              <w:spacing w:after="0"/>
              <w:jc w:val="center"/>
              <w:rPr>
                <w:rFonts w:ascii="Garamond" w:hAnsi="Garamond"/>
                <w:b/>
                <w:color w:val="000000"/>
                <w:sz w:val="20"/>
                <w:szCs w:val="20"/>
                <w:lang w:val="sq-AL"/>
              </w:rPr>
            </w:pPr>
            <w:r>
              <w:rPr>
                <w:rFonts w:ascii="Garamond" w:hAnsi="Garamond"/>
                <w:b/>
                <w:color w:val="000000"/>
                <w:sz w:val="20"/>
                <w:szCs w:val="20"/>
                <w:lang w:val="sq-AL"/>
              </w:rPr>
              <w:lastRenderedPageBreak/>
              <w:t>Shkarkimet Standarde për mjetet motorike për transport mallrash (N</w:t>
            </w:r>
            <w:r>
              <w:rPr>
                <w:rFonts w:ascii="Garamond" w:hAnsi="Garamond"/>
                <w:b/>
                <w:color w:val="000000"/>
                <w:sz w:val="20"/>
                <w:szCs w:val="20"/>
                <w:vertAlign w:val="subscript"/>
                <w:lang w:val="sq-AL"/>
              </w:rPr>
              <w:t>1</w:t>
            </w:r>
            <w:r>
              <w:rPr>
                <w:rFonts w:ascii="Garamond" w:hAnsi="Garamond"/>
                <w:b/>
                <w:color w:val="000000"/>
                <w:sz w:val="20"/>
                <w:szCs w:val="20"/>
                <w:lang w:val="sq-AL"/>
              </w:rPr>
              <w:t>, N</w:t>
            </w:r>
            <w:r>
              <w:rPr>
                <w:rFonts w:ascii="Garamond" w:hAnsi="Garamond"/>
                <w:b/>
                <w:color w:val="000000"/>
                <w:sz w:val="20"/>
                <w:szCs w:val="20"/>
                <w:vertAlign w:val="subscript"/>
                <w:lang w:val="sq-AL"/>
              </w:rPr>
              <w:t>2</w:t>
            </w:r>
            <w:r>
              <w:rPr>
                <w:rFonts w:ascii="Garamond" w:hAnsi="Garamond"/>
                <w:b/>
                <w:color w:val="000000"/>
                <w:sz w:val="20"/>
                <w:szCs w:val="20"/>
                <w:lang w:val="sq-AL"/>
              </w:rPr>
              <w:t>)</w:t>
            </w:r>
          </w:p>
        </w:tc>
      </w:tr>
      <w:tr w:rsidR="00AE2C2F" w:rsidTr="00AE2C2F">
        <w:trPr>
          <w:tblHeader/>
        </w:trPr>
        <w:tc>
          <w:tcPr>
            <w:tcW w:w="1634" w:type="dxa"/>
            <w:vMerge w:val="restart"/>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Kategoria†</w:t>
            </w:r>
          </w:p>
        </w:tc>
        <w:tc>
          <w:tcPr>
            <w:tcW w:w="1858" w:type="dxa"/>
            <w:vMerge w:val="restart"/>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Norma</w:t>
            </w:r>
          </w:p>
        </w:tc>
        <w:tc>
          <w:tcPr>
            <w:tcW w:w="1276" w:type="dxa"/>
            <w:vMerge w:val="restart"/>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Data</w:t>
            </w:r>
          </w:p>
        </w:tc>
        <w:tc>
          <w:tcPr>
            <w:tcW w:w="992"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CO</w:t>
            </w:r>
          </w:p>
        </w:tc>
        <w:tc>
          <w:tcPr>
            <w:tcW w:w="993"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HC</w:t>
            </w:r>
          </w:p>
        </w:tc>
        <w:tc>
          <w:tcPr>
            <w:tcW w:w="1701"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HC+NOx</w:t>
            </w:r>
          </w:p>
        </w:tc>
        <w:tc>
          <w:tcPr>
            <w:tcW w:w="1984"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NOx</w:t>
            </w:r>
          </w:p>
        </w:tc>
        <w:tc>
          <w:tcPr>
            <w:tcW w:w="1701"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PM</w:t>
            </w:r>
          </w:p>
        </w:tc>
        <w:tc>
          <w:tcPr>
            <w:tcW w:w="1701"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color w:val="FFFFFF"/>
                <w:sz w:val="20"/>
                <w:szCs w:val="20"/>
                <w:lang w:val="sq-AL"/>
              </w:rPr>
            </w:pPr>
            <w:r>
              <w:rPr>
                <w:rFonts w:ascii="Garamond" w:hAnsi="Garamond"/>
                <w:color w:val="FFFFFF"/>
                <w:sz w:val="20"/>
                <w:szCs w:val="20"/>
                <w:lang w:val="sq-AL"/>
              </w:rPr>
              <w:t>PN</w:t>
            </w:r>
          </w:p>
        </w:tc>
      </w:tr>
      <w:tr w:rsidR="00AE2C2F" w:rsidTr="00AE2C2F">
        <w:trPr>
          <w:tblHeader/>
        </w:trPr>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color w:val="FFFFFF"/>
                <w:sz w:val="20"/>
                <w:szCs w:val="20"/>
                <w:lang w:val="sq-AL"/>
              </w:rPr>
            </w:pPr>
          </w:p>
        </w:tc>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color w:val="FFFFFF"/>
                <w:sz w:val="20"/>
                <w:szCs w:val="20"/>
                <w:lang w:val="sq-AL"/>
              </w:rPr>
            </w:pPr>
          </w:p>
        </w:tc>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color w:val="FFFFFF"/>
                <w:sz w:val="20"/>
                <w:szCs w:val="20"/>
                <w:lang w:val="sq-AL"/>
              </w:rPr>
            </w:pPr>
          </w:p>
        </w:tc>
        <w:tc>
          <w:tcPr>
            <w:tcW w:w="7371" w:type="dxa"/>
            <w:gridSpan w:val="5"/>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i/>
                <w:color w:val="FFFFFF"/>
                <w:sz w:val="20"/>
                <w:szCs w:val="20"/>
                <w:lang w:val="sq-AL"/>
              </w:rPr>
            </w:pPr>
            <w:r>
              <w:rPr>
                <w:rFonts w:ascii="Garamond" w:hAnsi="Garamond"/>
                <w:i/>
                <w:color w:val="FFFFFF"/>
                <w:sz w:val="20"/>
                <w:szCs w:val="20"/>
                <w:lang w:val="sq-AL"/>
              </w:rPr>
              <w:t>g/km</w:t>
            </w:r>
          </w:p>
        </w:tc>
        <w:tc>
          <w:tcPr>
            <w:tcW w:w="1701" w:type="dxa"/>
            <w:tcBorders>
              <w:top w:val="single" w:sz="6" w:space="0" w:color="CCCCCC"/>
              <w:left w:val="single" w:sz="6" w:space="0" w:color="CCCCCC"/>
              <w:bottom w:val="single" w:sz="6" w:space="0" w:color="CCCCCC"/>
              <w:right w:val="single" w:sz="6" w:space="0" w:color="CCCCCC"/>
            </w:tcBorders>
            <w:shd w:val="clear" w:color="auto" w:fill="666699"/>
            <w:tcMar>
              <w:top w:w="45" w:type="dxa"/>
              <w:left w:w="90" w:type="dxa"/>
              <w:bottom w:w="45" w:type="dxa"/>
              <w:right w:w="90" w:type="dxa"/>
            </w:tcMar>
            <w:vAlign w:val="center"/>
            <w:hideMark/>
          </w:tcPr>
          <w:p w:rsidR="00AE2C2F" w:rsidRDefault="00AE2C2F">
            <w:pPr>
              <w:spacing w:after="0"/>
              <w:jc w:val="right"/>
              <w:rPr>
                <w:rFonts w:ascii="Garamond" w:hAnsi="Garamond"/>
                <w:i/>
                <w:color w:val="FFFFFF"/>
                <w:sz w:val="20"/>
                <w:szCs w:val="20"/>
                <w:lang w:val="sq-AL"/>
              </w:rPr>
            </w:pPr>
            <w:r>
              <w:rPr>
                <w:rFonts w:ascii="Garamond" w:hAnsi="Garamond"/>
                <w:i/>
                <w:color w:val="FFFFFF"/>
                <w:sz w:val="20"/>
                <w:szCs w:val="20"/>
                <w:lang w:val="sq-AL"/>
              </w:rPr>
              <w:t>#/km</w:t>
            </w:r>
          </w:p>
        </w:tc>
      </w:tr>
      <w:tr w:rsidR="00AE2C2F" w:rsidTr="00AE2C2F">
        <w:tc>
          <w:tcPr>
            <w:tcW w:w="13840" w:type="dxa"/>
            <w:gridSpan w:val="9"/>
            <w:tcBorders>
              <w:top w:val="single" w:sz="6" w:space="0" w:color="CCCCCC"/>
              <w:left w:val="single" w:sz="6" w:space="0" w:color="CCCCCC"/>
              <w:bottom w:val="single" w:sz="6" w:space="0" w:color="CCCCCC"/>
              <w:right w:val="single" w:sz="6" w:space="0" w:color="CCCCCC"/>
            </w:tcBorders>
            <w:shd w:val="clear" w:color="auto" w:fill="EEEEEE"/>
            <w:tcMar>
              <w:top w:w="45" w:type="dxa"/>
              <w:left w:w="90" w:type="dxa"/>
              <w:bottom w:w="45" w:type="dxa"/>
              <w:right w:w="90" w:type="dxa"/>
            </w:tcMar>
            <w:vAlign w:val="center"/>
            <w:hideMark/>
          </w:tcPr>
          <w:p w:rsidR="00AE2C2F" w:rsidRDefault="00AE2C2F">
            <w:pPr>
              <w:tabs>
                <w:tab w:val="left" w:pos="12930"/>
                <w:tab w:val="left" w:pos="13050"/>
                <w:tab w:val="left" w:pos="13710"/>
              </w:tabs>
              <w:spacing w:after="0"/>
              <w:ind w:left="-540" w:firstLine="540"/>
              <w:jc w:val="center"/>
              <w:rPr>
                <w:rFonts w:ascii="Garamond" w:hAnsi="Garamond"/>
                <w:b/>
                <w:color w:val="000000"/>
                <w:sz w:val="20"/>
                <w:szCs w:val="20"/>
                <w:lang w:val="sq-AL"/>
              </w:rPr>
            </w:pPr>
            <w:r>
              <w:rPr>
                <w:rFonts w:ascii="Garamond" w:hAnsi="Garamond"/>
                <w:b/>
                <w:color w:val="000000"/>
                <w:sz w:val="20"/>
                <w:szCs w:val="20"/>
                <w:lang w:val="sq-AL"/>
              </w:rPr>
              <w:t>Kompresim me injektim (diezel)</w:t>
            </w:r>
          </w:p>
        </w:tc>
      </w:tr>
      <w:tr w:rsidR="00AE2C2F" w:rsidTr="00AE2C2F">
        <w:tc>
          <w:tcPr>
            <w:tcW w:w="1634" w:type="dxa"/>
            <w:vMerge w:val="restart"/>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ind w:firstLine="0"/>
              <w:jc w:val="left"/>
              <w:rPr>
                <w:rFonts w:ascii="Garamond" w:hAnsi="Garamond"/>
                <w:b/>
                <w:color w:val="000000"/>
                <w:sz w:val="20"/>
                <w:szCs w:val="20"/>
                <w:lang w:val="sq-AL"/>
              </w:rPr>
            </w:pPr>
            <w:r>
              <w:rPr>
                <w:rFonts w:ascii="Garamond" w:hAnsi="Garamond"/>
                <w:b/>
                <w:color w:val="000000"/>
                <w:sz w:val="20"/>
                <w:szCs w:val="20"/>
                <w:lang w:val="sq-AL"/>
              </w:rPr>
              <w:t>N</w:t>
            </w:r>
            <w:r>
              <w:rPr>
                <w:rFonts w:ascii="Garamond" w:hAnsi="Garamond"/>
                <w:b/>
                <w:color w:val="000000"/>
                <w:sz w:val="20"/>
                <w:szCs w:val="20"/>
                <w:vertAlign w:val="subscript"/>
                <w:lang w:val="sq-AL"/>
              </w:rPr>
              <w:t>1</w:t>
            </w:r>
            <w:r>
              <w:rPr>
                <w:rFonts w:ascii="Garamond" w:hAnsi="Garamond"/>
                <w:b/>
                <w:color w:val="000000"/>
                <w:sz w:val="20"/>
                <w:szCs w:val="20"/>
                <w:lang w:val="sq-AL"/>
              </w:rPr>
              <w:t xml:space="preserve">, klasa I </w:t>
            </w:r>
          </w:p>
          <w:p w:rsidR="00AE2C2F" w:rsidRDefault="00AE2C2F">
            <w:pPr>
              <w:spacing w:after="0"/>
              <w:ind w:firstLine="0"/>
              <w:jc w:val="left"/>
              <w:rPr>
                <w:rFonts w:ascii="Garamond" w:hAnsi="Garamond"/>
                <w:b/>
                <w:color w:val="000000"/>
                <w:sz w:val="20"/>
                <w:szCs w:val="20"/>
                <w:lang w:val="sq-AL"/>
              </w:rPr>
            </w:pPr>
            <w:r>
              <w:rPr>
                <w:rFonts w:ascii="Garamond" w:hAnsi="Garamond"/>
                <w:b/>
                <w:color w:val="000000"/>
                <w:sz w:val="20"/>
                <w:szCs w:val="20"/>
                <w:lang w:val="sq-AL"/>
              </w:rPr>
              <w:t>≤1305 kg</w:t>
            </w: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1</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1994.10</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2.72</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0.97</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0.14</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 IDI</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1998.01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0.70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0.08</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 DI</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1998.01</w:t>
            </w:r>
            <w:r>
              <w:rPr>
                <w:rFonts w:ascii="Garamond" w:hAnsi="Garamond"/>
                <w:color w:val="000000"/>
                <w:sz w:val="20"/>
                <w:szCs w:val="20"/>
                <w:vertAlign w:val="superscript"/>
                <w:lang w:val="sq-AL"/>
              </w:rPr>
              <w:t>a</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0.90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0.10</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3</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2000.01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0.64</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0.56</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0.50</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4</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2005.01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0.30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0.025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5a</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2009.09</w:t>
            </w:r>
            <w:r>
              <w:rPr>
                <w:rFonts w:ascii="Garamond" w:hAnsi="Garamond"/>
                <w:color w:val="000000"/>
                <w:sz w:val="20"/>
                <w:szCs w:val="20"/>
                <w:vertAlign w:val="superscript"/>
                <w:lang w:val="sq-AL"/>
              </w:rPr>
              <w:t>b</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0.23</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0.18</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5b</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2011.09</w:t>
            </w:r>
            <w:r>
              <w:rPr>
                <w:rFonts w:ascii="Garamond" w:hAnsi="Garamond"/>
                <w:color w:val="000000"/>
                <w:sz w:val="20"/>
                <w:szCs w:val="20"/>
                <w:vertAlign w:val="superscript"/>
                <w:lang w:val="sq-AL"/>
              </w:rPr>
              <w:t>d</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0.23</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0.18</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6.0×10</w:t>
            </w:r>
            <w:r>
              <w:rPr>
                <w:rFonts w:ascii="Garamond" w:hAnsi="Garamond"/>
                <w:color w:val="000000"/>
                <w:sz w:val="20"/>
                <w:szCs w:val="20"/>
                <w:vertAlign w:val="superscript"/>
                <w:lang w:val="sq-AL"/>
              </w:rPr>
              <w:t>11</w:t>
            </w:r>
          </w:p>
        </w:tc>
      </w:tr>
      <w:tr w:rsidR="00AE2C2F" w:rsidTr="00AE2C2F">
        <w:tc>
          <w:tcPr>
            <w:tcW w:w="1634" w:type="dxa"/>
            <w:vMerge w:val="restart"/>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ind w:firstLine="0"/>
              <w:jc w:val="left"/>
              <w:rPr>
                <w:rFonts w:ascii="Garamond" w:hAnsi="Garamond"/>
                <w:b/>
                <w:color w:val="000000"/>
                <w:sz w:val="20"/>
                <w:szCs w:val="20"/>
                <w:lang w:val="sq-AL"/>
              </w:rPr>
            </w:pPr>
            <w:r>
              <w:rPr>
                <w:rFonts w:ascii="Garamond" w:hAnsi="Garamond"/>
                <w:b/>
                <w:color w:val="000000"/>
                <w:sz w:val="20"/>
                <w:szCs w:val="20"/>
                <w:lang w:val="sq-AL"/>
              </w:rPr>
              <w:t>N</w:t>
            </w:r>
            <w:r>
              <w:rPr>
                <w:rFonts w:ascii="Garamond" w:hAnsi="Garamond"/>
                <w:b/>
                <w:color w:val="000000"/>
                <w:sz w:val="20"/>
                <w:szCs w:val="20"/>
                <w:vertAlign w:val="subscript"/>
                <w:lang w:val="sq-AL"/>
              </w:rPr>
              <w:t>1</w:t>
            </w:r>
            <w:r>
              <w:rPr>
                <w:rFonts w:ascii="Garamond" w:hAnsi="Garamond"/>
                <w:b/>
                <w:color w:val="000000"/>
                <w:sz w:val="20"/>
                <w:szCs w:val="20"/>
                <w:lang w:val="sq-AL"/>
              </w:rPr>
              <w:t xml:space="preserve">, klasa II </w:t>
            </w:r>
          </w:p>
          <w:p w:rsidR="00AE2C2F" w:rsidRDefault="00AE2C2F">
            <w:pPr>
              <w:spacing w:after="0"/>
              <w:ind w:firstLine="0"/>
              <w:jc w:val="left"/>
              <w:rPr>
                <w:rFonts w:ascii="Garamond" w:hAnsi="Garamond"/>
                <w:b/>
                <w:color w:val="000000"/>
                <w:sz w:val="20"/>
                <w:szCs w:val="20"/>
                <w:lang w:val="sq-AL"/>
              </w:rPr>
            </w:pPr>
            <w:r>
              <w:rPr>
                <w:rFonts w:ascii="Garamond" w:hAnsi="Garamond"/>
                <w:b/>
                <w:color w:val="000000"/>
                <w:sz w:val="20"/>
                <w:szCs w:val="20"/>
                <w:lang w:val="sq-AL"/>
              </w:rPr>
              <w:t>1305-1760 kg</w:t>
            </w: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1</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1994.10</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5.17</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1.40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0.19</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 IDI</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1998.01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1.25</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0.12</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 DI</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1998.01</w:t>
            </w:r>
            <w:r>
              <w:rPr>
                <w:rFonts w:ascii="Garamond" w:hAnsi="Garamond"/>
                <w:color w:val="000000"/>
                <w:sz w:val="20"/>
                <w:szCs w:val="20"/>
                <w:vertAlign w:val="superscript"/>
                <w:lang w:val="sq-AL"/>
              </w:rPr>
              <w:t>a</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1.25</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1.30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0.14</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3</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2001.01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0.80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0.72</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0.65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0.07</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4</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2006.01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0.63</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0.39</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0.33</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0.04</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5a</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2010.09</w:t>
            </w:r>
            <w:r>
              <w:rPr>
                <w:rFonts w:ascii="Garamond" w:hAnsi="Garamond"/>
                <w:color w:val="000000"/>
                <w:sz w:val="20"/>
                <w:szCs w:val="20"/>
                <w:vertAlign w:val="superscript"/>
                <w:lang w:val="sq-AL"/>
              </w:rPr>
              <w:t>c</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0.63</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0.295</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0.235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5b</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2011.09</w:t>
            </w:r>
            <w:r>
              <w:rPr>
                <w:rFonts w:ascii="Garamond" w:hAnsi="Garamond"/>
                <w:color w:val="000000"/>
                <w:sz w:val="20"/>
                <w:szCs w:val="20"/>
                <w:vertAlign w:val="superscript"/>
                <w:lang w:val="sq-AL"/>
              </w:rPr>
              <w:t>d</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0.63</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0.295</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0.235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6.0×10</w:t>
            </w:r>
            <w:r>
              <w:rPr>
                <w:rFonts w:ascii="Garamond" w:hAnsi="Garamond"/>
                <w:color w:val="000000"/>
                <w:sz w:val="20"/>
                <w:szCs w:val="20"/>
                <w:vertAlign w:val="superscript"/>
                <w:lang w:val="sq-AL"/>
              </w:rPr>
              <w:t>11</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6</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2015.09</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0.63</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0.195</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0.105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6.0×10</w:t>
            </w:r>
            <w:r>
              <w:rPr>
                <w:rFonts w:ascii="Garamond" w:hAnsi="Garamond"/>
                <w:color w:val="000000"/>
                <w:sz w:val="20"/>
                <w:szCs w:val="20"/>
                <w:vertAlign w:val="superscript"/>
                <w:lang w:val="sq-AL"/>
              </w:rPr>
              <w:t>11</w:t>
            </w:r>
          </w:p>
        </w:tc>
      </w:tr>
      <w:tr w:rsidR="00AE2C2F" w:rsidTr="00AE2C2F">
        <w:tc>
          <w:tcPr>
            <w:tcW w:w="1634" w:type="dxa"/>
            <w:vMerge w:val="restart"/>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ind w:firstLine="0"/>
              <w:jc w:val="left"/>
              <w:rPr>
                <w:rFonts w:ascii="Garamond" w:hAnsi="Garamond"/>
                <w:b/>
                <w:color w:val="000000"/>
                <w:sz w:val="20"/>
                <w:szCs w:val="20"/>
                <w:lang w:val="sq-AL"/>
              </w:rPr>
            </w:pPr>
            <w:r>
              <w:rPr>
                <w:rFonts w:ascii="Garamond" w:hAnsi="Garamond"/>
                <w:b/>
                <w:color w:val="000000"/>
                <w:sz w:val="20"/>
                <w:szCs w:val="20"/>
                <w:lang w:val="sq-AL"/>
              </w:rPr>
              <w:lastRenderedPageBreak/>
              <w:t>N</w:t>
            </w:r>
            <w:r>
              <w:rPr>
                <w:rFonts w:ascii="Garamond" w:hAnsi="Garamond"/>
                <w:b/>
                <w:color w:val="000000"/>
                <w:sz w:val="20"/>
                <w:szCs w:val="20"/>
                <w:vertAlign w:val="subscript"/>
                <w:lang w:val="sq-AL"/>
              </w:rPr>
              <w:t>1</w:t>
            </w:r>
            <w:r>
              <w:rPr>
                <w:rFonts w:ascii="Garamond" w:hAnsi="Garamond"/>
                <w:b/>
                <w:color w:val="000000"/>
                <w:sz w:val="20"/>
                <w:szCs w:val="20"/>
                <w:lang w:val="sq-AL"/>
              </w:rPr>
              <w:t>, klasa III &gt;1760 kg</w:t>
            </w: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1</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1994.10</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6.90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1.70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 IDI</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1998.01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1.5</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1.20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0.17</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 DI</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1998.01</w:t>
            </w:r>
            <w:r>
              <w:rPr>
                <w:rFonts w:ascii="Garamond" w:hAnsi="Garamond"/>
                <w:color w:val="000000"/>
                <w:sz w:val="20"/>
                <w:szCs w:val="20"/>
                <w:vertAlign w:val="superscript"/>
                <w:lang w:val="sq-AL"/>
              </w:rPr>
              <w:t>a</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1.5</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1.60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0.20</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3</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2001.01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0.95</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0.86</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0.78</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0.10</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4</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2006.01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0.74</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0.46</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0.39</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0.06</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5a</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2010.09</w:t>
            </w:r>
            <w:r>
              <w:rPr>
                <w:rFonts w:ascii="Garamond" w:hAnsi="Garamond"/>
                <w:color w:val="000000"/>
                <w:sz w:val="20"/>
                <w:szCs w:val="20"/>
                <w:vertAlign w:val="superscript"/>
                <w:lang w:val="sq-AL"/>
              </w:rPr>
              <w:t>c</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0.74</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0.350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0.280</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5b</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2011.09</w:t>
            </w:r>
            <w:r>
              <w:rPr>
                <w:rFonts w:ascii="Garamond" w:hAnsi="Garamond"/>
                <w:color w:val="000000"/>
                <w:sz w:val="20"/>
                <w:szCs w:val="20"/>
                <w:vertAlign w:val="superscript"/>
                <w:lang w:val="sq-AL"/>
              </w:rPr>
              <w:t>d</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0.74</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0.350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0.280</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6.0×10</w:t>
            </w:r>
            <w:r>
              <w:rPr>
                <w:rFonts w:ascii="Garamond" w:hAnsi="Garamond"/>
                <w:color w:val="000000"/>
                <w:sz w:val="20"/>
                <w:szCs w:val="20"/>
                <w:vertAlign w:val="superscript"/>
                <w:lang w:val="sq-AL"/>
              </w:rPr>
              <w:t>11</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6</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2015.09</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0.74</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0.215</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0.125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6.0×10</w:t>
            </w:r>
            <w:r>
              <w:rPr>
                <w:rFonts w:ascii="Garamond" w:hAnsi="Garamond"/>
                <w:color w:val="000000"/>
                <w:sz w:val="20"/>
                <w:szCs w:val="20"/>
                <w:vertAlign w:val="superscript"/>
                <w:lang w:val="sq-AL"/>
              </w:rPr>
              <w:t>11</w:t>
            </w:r>
          </w:p>
        </w:tc>
      </w:tr>
      <w:tr w:rsidR="00AE2C2F" w:rsidTr="00AE2C2F">
        <w:tc>
          <w:tcPr>
            <w:tcW w:w="13840" w:type="dxa"/>
            <w:gridSpan w:val="9"/>
            <w:tcBorders>
              <w:top w:val="single" w:sz="6" w:space="0" w:color="CCCCCC"/>
              <w:left w:val="single" w:sz="6" w:space="0" w:color="CCCCCC"/>
              <w:bottom w:val="single" w:sz="6" w:space="0" w:color="CCCCCC"/>
              <w:right w:val="single" w:sz="6" w:space="0" w:color="CCCCCC"/>
            </w:tcBorders>
            <w:shd w:val="clear" w:color="auto" w:fill="EEEEEE"/>
            <w:tcMar>
              <w:top w:w="45" w:type="dxa"/>
              <w:left w:w="90" w:type="dxa"/>
              <w:bottom w:w="45" w:type="dxa"/>
              <w:right w:w="90" w:type="dxa"/>
            </w:tcMar>
            <w:vAlign w:val="center"/>
            <w:hideMark/>
          </w:tcPr>
          <w:p w:rsidR="00AE2C2F" w:rsidRDefault="00AE2C2F">
            <w:pPr>
              <w:spacing w:after="0"/>
              <w:ind w:right="-990"/>
              <w:jc w:val="center"/>
              <w:rPr>
                <w:rFonts w:ascii="Garamond" w:hAnsi="Garamond"/>
                <w:b/>
                <w:color w:val="000000"/>
                <w:sz w:val="20"/>
                <w:szCs w:val="20"/>
                <w:lang w:val="sq-AL"/>
              </w:rPr>
            </w:pPr>
            <w:r>
              <w:rPr>
                <w:rFonts w:ascii="Garamond" w:hAnsi="Garamond"/>
                <w:b/>
                <w:color w:val="000000"/>
                <w:sz w:val="20"/>
                <w:szCs w:val="20"/>
                <w:lang w:val="sq-AL"/>
              </w:rPr>
              <w:t>Injektim pozitiv (gazolinë)</w:t>
            </w:r>
          </w:p>
        </w:tc>
      </w:tr>
      <w:tr w:rsidR="00AE2C2F" w:rsidTr="00AE2C2F">
        <w:tc>
          <w:tcPr>
            <w:tcW w:w="1634" w:type="dxa"/>
            <w:vMerge w:val="restart"/>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ind w:firstLine="0"/>
              <w:jc w:val="left"/>
              <w:rPr>
                <w:rFonts w:ascii="Garamond" w:hAnsi="Garamond"/>
                <w:b/>
                <w:color w:val="000000"/>
                <w:sz w:val="20"/>
                <w:szCs w:val="20"/>
                <w:lang w:val="sq-AL"/>
              </w:rPr>
            </w:pPr>
            <w:r>
              <w:rPr>
                <w:rFonts w:ascii="Garamond" w:hAnsi="Garamond"/>
                <w:b/>
                <w:color w:val="000000"/>
                <w:sz w:val="20"/>
                <w:szCs w:val="20"/>
                <w:lang w:val="sq-AL"/>
              </w:rPr>
              <w:t>N</w:t>
            </w:r>
            <w:r>
              <w:rPr>
                <w:rFonts w:ascii="Garamond" w:hAnsi="Garamond"/>
                <w:b/>
                <w:color w:val="000000"/>
                <w:sz w:val="20"/>
                <w:szCs w:val="20"/>
                <w:vertAlign w:val="subscript"/>
                <w:lang w:val="sq-AL"/>
              </w:rPr>
              <w:t>1</w:t>
            </w:r>
            <w:r>
              <w:rPr>
                <w:rFonts w:ascii="Garamond" w:hAnsi="Garamond"/>
                <w:b/>
                <w:color w:val="000000"/>
                <w:sz w:val="20"/>
                <w:szCs w:val="20"/>
                <w:lang w:val="sq-AL"/>
              </w:rPr>
              <w:t xml:space="preserve">, klasa I </w:t>
            </w:r>
          </w:p>
          <w:p w:rsidR="00AE2C2F" w:rsidRDefault="00AE2C2F">
            <w:pPr>
              <w:spacing w:after="0"/>
              <w:ind w:firstLine="0"/>
              <w:jc w:val="left"/>
              <w:rPr>
                <w:rFonts w:ascii="Garamond" w:hAnsi="Garamond"/>
                <w:b/>
                <w:color w:val="000000"/>
                <w:sz w:val="20"/>
                <w:szCs w:val="20"/>
                <w:lang w:val="sq-AL"/>
              </w:rPr>
            </w:pPr>
            <w:r>
              <w:rPr>
                <w:rFonts w:ascii="Garamond" w:hAnsi="Garamond"/>
                <w:b/>
                <w:color w:val="000000"/>
                <w:sz w:val="20"/>
                <w:szCs w:val="20"/>
                <w:lang w:val="sq-AL"/>
              </w:rPr>
              <w:t>≤1305 kg</w:t>
            </w: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1</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1994.10</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2.72</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0.97</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1998.01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2.2</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0.50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3</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2000.01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2.3</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0.20</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4</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2005.01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0.08</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2009.09</w:t>
            </w:r>
            <w:r>
              <w:rPr>
                <w:rFonts w:ascii="Garamond" w:hAnsi="Garamond"/>
                <w:color w:val="000000"/>
                <w:sz w:val="20"/>
                <w:szCs w:val="20"/>
                <w:vertAlign w:val="superscript"/>
                <w:lang w:val="sq-AL"/>
              </w:rPr>
              <w:t>b</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0.10</w:t>
            </w:r>
            <w:r>
              <w:rPr>
                <w:rFonts w:ascii="Garamond" w:hAnsi="Garamond"/>
                <w:color w:val="000000"/>
                <w:sz w:val="20"/>
                <w:szCs w:val="20"/>
                <w:vertAlign w:val="superscript"/>
                <w:lang w:val="sq-AL"/>
              </w:rPr>
              <w:t>g</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0.06</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e,f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1634" w:type="dxa"/>
            <w:vMerge w:val="restart"/>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ind w:firstLine="0"/>
              <w:jc w:val="left"/>
              <w:rPr>
                <w:rFonts w:ascii="Garamond" w:hAnsi="Garamond"/>
                <w:b/>
                <w:color w:val="000000"/>
                <w:sz w:val="20"/>
                <w:szCs w:val="20"/>
                <w:lang w:val="sq-AL"/>
              </w:rPr>
            </w:pPr>
            <w:r>
              <w:rPr>
                <w:rFonts w:ascii="Garamond" w:hAnsi="Garamond"/>
                <w:b/>
                <w:color w:val="000000"/>
                <w:sz w:val="20"/>
                <w:szCs w:val="20"/>
                <w:lang w:val="sq-AL"/>
              </w:rPr>
              <w:t>N</w:t>
            </w:r>
            <w:r>
              <w:rPr>
                <w:rFonts w:ascii="Garamond" w:hAnsi="Garamond"/>
                <w:b/>
                <w:color w:val="000000"/>
                <w:sz w:val="20"/>
                <w:szCs w:val="20"/>
                <w:vertAlign w:val="subscript"/>
                <w:lang w:val="sq-AL"/>
              </w:rPr>
              <w:t>1</w:t>
            </w:r>
            <w:r>
              <w:rPr>
                <w:rFonts w:ascii="Garamond" w:hAnsi="Garamond"/>
                <w:b/>
                <w:color w:val="000000"/>
                <w:sz w:val="20"/>
                <w:szCs w:val="20"/>
                <w:lang w:val="sq-AL"/>
              </w:rPr>
              <w:t xml:space="preserve">, klasa II </w:t>
            </w:r>
          </w:p>
          <w:p w:rsidR="00AE2C2F" w:rsidRDefault="00AE2C2F">
            <w:pPr>
              <w:spacing w:after="0"/>
              <w:ind w:firstLine="0"/>
              <w:jc w:val="left"/>
              <w:rPr>
                <w:rFonts w:ascii="Garamond" w:hAnsi="Garamond"/>
                <w:b/>
                <w:color w:val="000000"/>
                <w:sz w:val="20"/>
                <w:szCs w:val="20"/>
                <w:lang w:val="sq-AL"/>
              </w:rPr>
            </w:pPr>
            <w:r>
              <w:rPr>
                <w:rFonts w:ascii="Garamond" w:hAnsi="Garamond"/>
                <w:b/>
                <w:color w:val="000000"/>
                <w:sz w:val="20"/>
                <w:szCs w:val="20"/>
                <w:lang w:val="sq-AL"/>
              </w:rPr>
              <w:t>1305-1760 kg</w:t>
            </w: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1</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1994.10</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5.17</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1.40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1998.01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4.0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0.65</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3</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2001.01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4.17</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0.18</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4</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2006.01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1.81</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0.13</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0.10</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2010.09</w:t>
            </w:r>
            <w:r>
              <w:rPr>
                <w:rFonts w:ascii="Garamond" w:hAnsi="Garamond"/>
                <w:color w:val="000000"/>
                <w:sz w:val="20"/>
                <w:szCs w:val="20"/>
                <w:vertAlign w:val="superscript"/>
                <w:lang w:val="sq-AL"/>
              </w:rPr>
              <w:t>c</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1.81</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0.13</w:t>
            </w:r>
            <w:r>
              <w:rPr>
                <w:rFonts w:ascii="Garamond" w:hAnsi="Garamond"/>
                <w:color w:val="000000"/>
                <w:sz w:val="20"/>
                <w:szCs w:val="20"/>
                <w:vertAlign w:val="superscript"/>
                <w:lang w:val="sq-AL"/>
              </w:rPr>
              <w:t>h</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0.075</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e,f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1634" w:type="dxa"/>
            <w:vMerge w:val="restart"/>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ind w:firstLine="0"/>
              <w:jc w:val="left"/>
              <w:rPr>
                <w:rFonts w:ascii="Garamond" w:hAnsi="Garamond"/>
                <w:b/>
                <w:color w:val="000000"/>
                <w:sz w:val="20"/>
                <w:szCs w:val="20"/>
                <w:lang w:val="sq-AL"/>
              </w:rPr>
            </w:pPr>
            <w:r>
              <w:rPr>
                <w:rFonts w:ascii="Garamond" w:hAnsi="Garamond"/>
                <w:b/>
                <w:color w:val="000000"/>
                <w:sz w:val="20"/>
                <w:szCs w:val="20"/>
                <w:lang w:val="sq-AL"/>
              </w:rPr>
              <w:t>N</w:t>
            </w:r>
            <w:r>
              <w:rPr>
                <w:rFonts w:ascii="Garamond" w:hAnsi="Garamond"/>
                <w:b/>
                <w:color w:val="000000"/>
                <w:sz w:val="20"/>
                <w:szCs w:val="20"/>
                <w:vertAlign w:val="subscript"/>
                <w:lang w:val="sq-AL"/>
              </w:rPr>
              <w:t>1</w:t>
            </w:r>
            <w:r>
              <w:rPr>
                <w:rFonts w:ascii="Garamond" w:hAnsi="Garamond"/>
                <w:b/>
                <w:color w:val="000000"/>
                <w:sz w:val="20"/>
                <w:szCs w:val="20"/>
                <w:lang w:val="sq-AL"/>
              </w:rPr>
              <w:t>, klasa III &gt;1760 kg</w:t>
            </w: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1</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1994.10</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6.90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1.70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2</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1998.01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5.0</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0.80</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3</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2001.01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5.22</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0.29</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0.21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4</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2006.01</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2.27</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0.16</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0.11</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300" w:type="dxa"/>
            <w:vMerge/>
            <w:tcBorders>
              <w:top w:val="single" w:sz="6" w:space="0" w:color="CCCCCC"/>
              <w:left w:val="single" w:sz="6" w:space="0" w:color="CCCCCC"/>
              <w:bottom w:val="single" w:sz="6" w:space="0" w:color="CCCCCC"/>
              <w:right w:val="single" w:sz="6" w:space="0" w:color="CCCCCC"/>
            </w:tcBorders>
            <w:vAlign w:val="center"/>
            <w:hideMark/>
          </w:tcPr>
          <w:p w:rsidR="00AE2C2F" w:rsidRDefault="00AE2C2F">
            <w:pPr>
              <w:spacing w:after="0"/>
              <w:ind w:firstLine="0"/>
              <w:jc w:val="left"/>
              <w:rPr>
                <w:rFonts w:ascii="Garamond" w:hAnsi="Garamond"/>
                <w:b/>
                <w:color w:val="000000"/>
                <w:sz w:val="20"/>
                <w:szCs w:val="20"/>
                <w:lang w:val="sq-AL"/>
              </w:rPr>
            </w:pPr>
          </w:p>
        </w:tc>
        <w:tc>
          <w:tcPr>
            <w:tcW w:w="1858"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Euro 5</w:t>
            </w:r>
          </w:p>
        </w:tc>
        <w:tc>
          <w:tcPr>
            <w:tcW w:w="1276"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2010.09</w:t>
            </w:r>
            <w:r>
              <w:rPr>
                <w:rFonts w:ascii="Garamond" w:hAnsi="Garamond"/>
                <w:color w:val="000000"/>
                <w:sz w:val="20"/>
                <w:szCs w:val="20"/>
                <w:vertAlign w:val="superscript"/>
                <w:lang w:val="sq-AL"/>
              </w:rPr>
              <w:t>c</w:t>
            </w:r>
          </w:p>
        </w:tc>
        <w:tc>
          <w:tcPr>
            <w:tcW w:w="992"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2.27</w:t>
            </w:r>
          </w:p>
        </w:tc>
        <w:tc>
          <w:tcPr>
            <w:tcW w:w="993"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0.16</w:t>
            </w:r>
            <w:r>
              <w:rPr>
                <w:rFonts w:ascii="Garamond" w:hAnsi="Garamond"/>
                <w:color w:val="000000"/>
                <w:sz w:val="20"/>
                <w:szCs w:val="20"/>
                <w:vertAlign w:val="superscript"/>
                <w:lang w:val="sq-AL"/>
              </w:rPr>
              <w:t>i</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w:t>
            </w:r>
          </w:p>
        </w:tc>
        <w:tc>
          <w:tcPr>
            <w:tcW w:w="1984"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0.082</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0.005</w:t>
            </w:r>
            <w:r>
              <w:rPr>
                <w:rFonts w:ascii="Garamond" w:hAnsi="Garamond"/>
                <w:color w:val="000000"/>
                <w:sz w:val="20"/>
                <w:szCs w:val="20"/>
                <w:vertAlign w:val="superscript"/>
                <w:lang w:val="sq-AL"/>
              </w:rPr>
              <w:t>e,f</w:t>
            </w:r>
          </w:p>
        </w:tc>
        <w:tc>
          <w:tcPr>
            <w:tcW w:w="1701" w:type="dxa"/>
            <w:tcBorders>
              <w:top w:val="single" w:sz="6" w:space="0" w:color="CCCCCC"/>
              <w:left w:val="single" w:sz="6" w:space="0" w:color="CCCCCC"/>
              <w:bottom w:val="single" w:sz="6" w:space="0" w:color="CCCCCC"/>
              <w:right w:val="single" w:sz="6" w:space="0" w:color="CCCCCC"/>
            </w:tcBorders>
            <w:shd w:val="clear" w:color="auto" w:fill="F5F5F5"/>
            <w:tcMar>
              <w:top w:w="45" w:type="dxa"/>
              <w:left w:w="90" w:type="dxa"/>
              <w:bottom w:w="45" w:type="dxa"/>
              <w:right w:w="90" w:type="dxa"/>
            </w:tcMar>
            <w:vAlign w:val="center"/>
            <w:hideMark/>
          </w:tcPr>
          <w:p w:rsidR="00AE2C2F" w:rsidRDefault="00AE2C2F">
            <w:pPr>
              <w:spacing w:after="0"/>
              <w:jc w:val="right"/>
              <w:rPr>
                <w:rFonts w:ascii="Garamond" w:hAnsi="Garamond"/>
                <w:color w:val="000000"/>
                <w:sz w:val="20"/>
                <w:szCs w:val="20"/>
                <w:lang w:val="sq-AL"/>
              </w:rPr>
            </w:pPr>
            <w:r>
              <w:rPr>
                <w:rFonts w:ascii="Garamond" w:hAnsi="Garamond"/>
                <w:color w:val="000000"/>
                <w:sz w:val="20"/>
                <w:szCs w:val="20"/>
                <w:lang w:val="sq-AL"/>
              </w:rPr>
              <w:t>-</w:t>
            </w:r>
          </w:p>
        </w:tc>
      </w:tr>
      <w:tr w:rsidR="00AE2C2F" w:rsidTr="00AE2C2F">
        <w:tc>
          <w:tcPr>
            <w:tcW w:w="13840" w:type="dxa"/>
            <w:gridSpan w:val="9"/>
            <w:tcBorders>
              <w:top w:val="single" w:sz="6" w:space="0" w:color="CCCCCC"/>
              <w:left w:val="single" w:sz="6" w:space="0" w:color="CCCCCC"/>
              <w:bottom w:val="single" w:sz="6" w:space="0" w:color="CCCCCC"/>
              <w:right w:val="single" w:sz="6" w:space="0" w:color="CCCCCC"/>
            </w:tcBorders>
            <w:shd w:val="clear" w:color="auto" w:fill="EEEEEE"/>
            <w:tcMar>
              <w:top w:w="45" w:type="dxa"/>
              <w:left w:w="90" w:type="dxa"/>
              <w:bottom w:w="45" w:type="dxa"/>
              <w:right w:w="90" w:type="dxa"/>
            </w:tcMar>
            <w:vAlign w:val="center"/>
            <w:hideMark/>
          </w:tcPr>
          <w:p w:rsidR="00AE2C2F" w:rsidRDefault="00AE2C2F">
            <w:pPr>
              <w:spacing w:after="0"/>
              <w:rPr>
                <w:rFonts w:ascii="Garamond" w:hAnsi="Garamond"/>
                <w:b/>
                <w:color w:val="000000"/>
                <w:sz w:val="20"/>
                <w:szCs w:val="20"/>
                <w:lang w:val="sq-AL"/>
              </w:rPr>
            </w:pPr>
            <w:r>
              <w:rPr>
                <w:rFonts w:ascii="Garamond" w:hAnsi="Garamond"/>
                <w:b/>
                <w:color w:val="000000"/>
                <w:sz w:val="20"/>
                <w:szCs w:val="20"/>
                <w:lang w:val="sq-AL"/>
              </w:rPr>
              <w:t>Shënime:</w:t>
            </w:r>
          </w:p>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lastRenderedPageBreak/>
              <w:t>† Për euro 1,2 për kategorinë N</w:t>
            </w:r>
            <w:r>
              <w:rPr>
                <w:rFonts w:ascii="Garamond" w:hAnsi="Garamond"/>
                <w:color w:val="000000"/>
                <w:sz w:val="20"/>
                <w:szCs w:val="20"/>
                <w:vertAlign w:val="subscript"/>
                <w:lang w:val="sq-AL"/>
              </w:rPr>
              <w:t>1</w:t>
            </w:r>
            <w:r>
              <w:rPr>
                <w:rFonts w:ascii="Garamond" w:hAnsi="Garamond"/>
                <w:color w:val="000000"/>
                <w:sz w:val="20"/>
                <w:szCs w:val="20"/>
                <w:lang w:val="sq-AL"/>
              </w:rPr>
              <w:t> klasat e masë referencës janë: klasa I ≤ 1250 kg, klasa II 1250-1700 kg, klasa III &gt; 1700 kg</w:t>
            </w:r>
          </w:p>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a. deri 1999.09.30 (mbas kësaj date motorët DI duhet të arrijnë limitet e IDI)</w:t>
            </w:r>
          </w:p>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b. 2011.01 për të gjitha modelet</w:t>
            </w:r>
          </w:p>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c. 2012.01 për të gjitha modelet</w:t>
            </w:r>
          </w:p>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d. 2013.01 për të gjitha modelet</w:t>
            </w:r>
          </w:p>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e. aplikueshme vetëm për mjetet përdorin motorë DI</w:t>
            </w:r>
          </w:p>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f. 0.0045 g/km që përdorin procedurat e matjes PMP</w:t>
            </w:r>
          </w:p>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g. dhe NMHC = 0.068 g/km</w:t>
            </w:r>
          </w:p>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h. dhe NMHC = 0.090 g/km</w:t>
            </w:r>
          </w:p>
          <w:p w:rsidR="00AE2C2F" w:rsidRDefault="00AE2C2F">
            <w:pPr>
              <w:spacing w:after="0"/>
              <w:rPr>
                <w:rFonts w:ascii="Garamond" w:hAnsi="Garamond"/>
                <w:color w:val="000000"/>
                <w:sz w:val="20"/>
                <w:szCs w:val="20"/>
                <w:lang w:val="sq-AL"/>
              </w:rPr>
            </w:pPr>
            <w:r>
              <w:rPr>
                <w:rFonts w:ascii="Garamond" w:hAnsi="Garamond"/>
                <w:color w:val="000000"/>
                <w:sz w:val="20"/>
                <w:szCs w:val="20"/>
                <w:lang w:val="sq-AL"/>
              </w:rPr>
              <w:t>i. dhe NMHC = 0.108 g/km</w:t>
            </w:r>
          </w:p>
        </w:tc>
      </w:tr>
    </w:tbl>
    <w:p w:rsidR="00AE2C2F" w:rsidRDefault="00AE2C2F" w:rsidP="00AE2C2F">
      <w:pPr>
        <w:pStyle w:val="Paragrafi"/>
        <w:ind w:firstLine="0"/>
        <w:jc w:val="center"/>
        <w:rPr>
          <w:lang w:val="sq-AL"/>
        </w:rPr>
      </w:pPr>
    </w:p>
    <w:p w:rsidR="00AE2C2F" w:rsidRDefault="00AE2C2F" w:rsidP="00AE2C2F">
      <w:pPr>
        <w:spacing w:after="0"/>
        <w:jc w:val="right"/>
        <w:rPr>
          <w:rFonts w:ascii="Garamond" w:hAnsi="Garamond"/>
          <w:sz w:val="24"/>
          <w:lang w:val="sq-AL"/>
        </w:rPr>
      </w:pPr>
    </w:p>
    <w:p w:rsidR="00AE2C2F" w:rsidRDefault="00AE2C2F" w:rsidP="00AE2C2F">
      <w:pPr>
        <w:tabs>
          <w:tab w:val="left" w:pos="9498"/>
        </w:tabs>
        <w:spacing w:after="0"/>
        <w:ind w:right="282"/>
        <w:rPr>
          <w:rFonts w:ascii="Garamond" w:hAnsi="Garamond"/>
          <w:sz w:val="24"/>
          <w:lang w:val="sq-AL"/>
        </w:rPr>
      </w:pPr>
    </w:p>
    <w:p w:rsidR="00AE2C2F" w:rsidRDefault="00AE2C2F" w:rsidP="00AE2C2F">
      <w:pPr>
        <w:pStyle w:val="Paragrafi"/>
        <w:rPr>
          <w:lang w:val="sq-AL"/>
        </w:rPr>
      </w:pPr>
    </w:p>
    <w:p w:rsidR="00AE2C2F" w:rsidRDefault="00AE2C2F" w:rsidP="00AE2C2F">
      <w:pPr>
        <w:pStyle w:val="Paragrafi"/>
        <w:rPr>
          <w:lang w:val="sq-AL"/>
        </w:rPr>
      </w:pPr>
    </w:p>
    <w:p w:rsidR="00AE2C2F" w:rsidRDefault="00AE2C2F" w:rsidP="00AE2C2F">
      <w:pPr>
        <w:pStyle w:val="NeniTitull"/>
        <w:keepNext w:val="0"/>
        <w:rPr>
          <w:lang w:val="sq-AL"/>
        </w:rPr>
      </w:pPr>
    </w:p>
    <w:p w:rsidR="00AE2C2F" w:rsidRDefault="00AE2C2F" w:rsidP="00AE2C2F">
      <w:pPr>
        <w:pStyle w:val="NeniTitull"/>
        <w:keepNext w:val="0"/>
        <w:rPr>
          <w:lang w:val="sq-AL"/>
        </w:rPr>
      </w:pPr>
    </w:p>
    <w:p w:rsidR="00AE2C2F" w:rsidRDefault="00AE2C2F" w:rsidP="00AE2C2F">
      <w:pPr>
        <w:pStyle w:val="NeniTitull"/>
        <w:keepNext w:val="0"/>
        <w:rPr>
          <w:lang w:val="sq-AL"/>
        </w:rPr>
      </w:pPr>
    </w:p>
    <w:p w:rsidR="00AE2C2F" w:rsidRDefault="00AE2C2F" w:rsidP="00AE2C2F">
      <w:pPr>
        <w:pStyle w:val="NeniTitull"/>
        <w:keepNext w:val="0"/>
        <w:rPr>
          <w:lang w:val="sq-AL"/>
        </w:rPr>
      </w:pPr>
    </w:p>
    <w:p w:rsidR="00AE2C2F" w:rsidRDefault="00AE2C2F" w:rsidP="00AE2C2F">
      <w:pPr>
        <w:pStyle w:val="NeniTitull"/>
        <w:keepNext w:val="0"/>
        <w:rPr>
          <w:lang w:val="sq-AL"/>
        </w:rPr>
      </w:pPr>
    </w:p>
    <w:p w:rsidR="00AE2C2F" w:rsidRDefault="00AE2C2F" w:rsidP="00AE2C2F">
      <w:pPr>
        <w:pStyle w:val="NeniTitull"/>
        <w:keepNext w:val="0"/>
        <w:rPr>
          <w:lang w:val="sq-AL"/>
        </w:rPr>
      </w:pPr>
    </w:p>
    <w:p w:rsidR="00AE2C2F" w:rsidRDefault="00AE2C2F" w:rsidP="00AE2C2F">
      <w:pPr>
        <w:pStyle w:val="NeniTitull"/>
        <w:keepNext w:val="0"/>
        <w:rPr>
          <w:lang w:val="sq-AL"/>
        </w:rPr>
      </w:pPr>
    </w:p>
    <w:p w:rsidR="009842BF" w:rsidRPr="00AE2C2F" w:rsidRDefault="009842BF">
      <w:pPr>
        <w:rPr>
          <w:b/>
        </w:rPr>
      </w:pPr>
    </w:p>
    <w:sectPr w:rsidR="009842BF" w:rsidRPr="00AE2C2F" w:rsidSect="00AE2C2F">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C2F"/>
    <w:rsid w:val="009842BF"/>
    <w:rsid w:val="00AE2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839BA0-5C33-44D9-B7AD-8680E2999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2C2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E2C2F"/>
    <w:rPr>
      <w:rFonts w:ascii="Garamond" w:eastAsia="MS Mincho" w:hAnsi="Garamond" w:cs="CG Times"/>
      <w:sz w:val="24"/>
    </w:rPr>
  </w:style>
  <w:style w:type="paragraph" w:customStyle="1" w:styleId="Paragrafi">
    <w:name w:val="Paragrafi"/>
    <w:link w:val="ParagrafiChar"/>
    <w:qFormat/>
    <w:rsid w:val="00AE2C2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E2C2F"/>
    <w:rPr>
      <w:rFonts w:ascii="Garamond" w:eastAsia="MS Mincho" w:hAnsi="Garamond" w:cs="CG Times"/>
      <w:sz w:val="24"/>
      <w:lang w:val="en-GB"/>
    </w:rPr>
  </w:style>
  <w:style w:type="paragraph" w:customStyle="1" w:styleId="NeniNr">
    <w:name w:val="Neni_Nr"/>
    <w:next w:val="Normal"/>
    <w:link w:val="NeniNrChar"/>
    <w:rsid w:val="00AE2C2F"/>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E2C2F"/>
    <w:rPr>
      <w:rFonts w:ascii="Garamond" w:eastAsia="MS Mincho" w:hAnsi="Garamond" w:cs="CG Times"/>
      <w:b/>
      <w:bCs/>
      <w:sz w:val="24"/>
      <w:lang w:val="en-GB"/>
    </w:rPr>
  </w:style>
  <w:style w:type="paragraph" w:customStyle="1" w:styleId="NeniTitull">
    <w:name w:val="Neni_Titull"/>
    <w:next w:val="Normal"/>
    <w:link w:val="NeniTitullChar"/>
    <w:rsid w:val="00AE2C2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17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1663</Words>
  <Characters>9485</Characters>
  <Application>Microsoft Office Word</Application>
  <DocSecurity>0</DocSecurity>
  <Lines>79</Lines>
  <Paragraphs>22</Paragraphs>
  <ScaleCrop>false</ScaleCrop>
  <Company/>
  <LinksUpToDate>false</LinksUpToDate>
  <CharactersWithSpaces>11126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2019-02-01T08:17:00Z</dcterms:created>
  <dcterms:modified xsi:type="dcterms:W3CDTF">2019-02-01T08:21:00Z</dcterms:modified>
</cp:coreProperties>
</file>