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05D00"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b/>
          <w:bCs/>
          <w:color w:val="000000"/>
          <w:sz w:val="24"/>
          <w:szCs w:val="24"/>
        </w:rPr>
      </w:pPr>
      <w:r w:rsidRPr="007E449D">
        <w:rPr>
          <w:rFonts w:ascii="Garamond" w:hAnsi="Garamond" w:cs="Times New Roman"/>
          <w:b/>
          <w:bCs/>
          <w:color w:val="000000"/>
          <w:sz w:val="24"/>
          <w:szCs w:val="24"/>
        </w:rPr>
        <w:t>UDHËZIM</w:t>
      </w:r>
    </w:p>
    <w:p w14:paraId="628CC2E8" w14:textId="718F779C" w:rsidR="001F2F1B" w:rsidRPr="007E449D" w:rsidRDefault="001F2F1B" w:rsidP="001F2F1B">
      <w:pPr>
        <w:autoSpaceDE w:val="0"/>
        <w:autoSpaceDN w:val="0"/>
        <w:adjustRightInd w:val="0"/>
        <w:spacing w:after="0" w:line="310" w:lineRule="atLeast"/>
        <w:ind w:firstLine="284"/>
        <w:jc w:val="center"/>
        <w:rPr>
          <w:rFonts w:ascii="Garamond" w:hAnsi="Garamond" w:cs="Times New Roman"/>
          <w:b/>
          <w:bCs/>
          <w:color w:val="000000"/>
          <w:sz w:val="24"/>
          <w:szCs w:val="24"/>
        </w:rPr>
      </w:pPr>
      <w:r w:rsidRPr="007E449D">
        <w:rPr>
          <w:rFonts w:ascii="Garamond" w:hAnsi="Garamond" w:cs="Times New Roman"/>
          <w:b/>
          <w:bCs/>
          <w:color w:val="000000"/>
          <w:sz w:val="24"/>
          <w:szCs w:val="24"/>
        </w:rPr>
        <w:t>Nr.</w:t>
      </w:r>
      <w:r w:rsidR="007E449D">
        <w:rPr>
          <w:rFonts w:ascii="Garamond" w:hAnsi="Garamond" w:cs="Times New Roman"/>
          <w:b/>
          <w:bCs/>
          <w:color w:val="000000"/>
          <w:sz w:val="24"/>
          <w:szCs w:val="24"/>
        </w:rPr>
        <w:t xml:space="preserve"> </w:t>
      </w:r>
      <w:r w:rsidRPr="007E449D">
        <w:rPr>
          <w:rFonts w:ascii="Garamond" w:hAnsi="Garamond" w:cs="Times New Roman"/>
          <w:b/>
          <w:bCs/>
          <w:color w:val="000000"/>
          <w:sz w:val="24"/>
          <w:szCs w:val="24"/>
        </w:rPr>
        <w:t>2,</w:t>
      </w:r>
      <w:r w:rsidR="009C4864">
        <w:rPr>
          <w:rFonts w:ascii="Garamond" w:hAnsi="Garamond" w:cs="Times New Roman"/>
          <w:b/>
          <w:bCs/>
          <w:color w:val="000000"/>
          <w:sz w:val="24"/>
          <w:szCs w:val="24"/>
        </w:rPr>
        <w:t xml:space="preserve"> </w:t>
      </w:r>
      <w:r w:rsidR="007E449D">
        <w:rPr>
          <w:rFonts w:ascii="Garamond" w:hAnsi="Garamond" w:cs="Times New Roman"/>
          <w:b/>
          <w:bCs/>
          <w:color w:val="000000"/>
          <w:sz w:val="24"/>
          <w:szCs w:val="24"/>
        </w:rPr>
        <w:t>d</w:t>
      </w:r>
      <w:r w:rsidRPr="007E449D">
        <w:rPr>
          <w:rFonts w:ascii="Garamond" w:hAnsi="Garamond" w:cs="Times New Roman"/>
          <w:b/>
          <w:bCs/>
          <w:color w:val="000000"/>
          <w:sz w:val="24"/>
          <w:szCs w:val="24"/>
        </w:rPr>
        <w:t>atë 1.2.2023</w:t>
      </w:r>
    </w:p>
    <w:p w14:paraId="4D1E2C6D" w14:textId="77777777" w:rsidR="001F2F1B" w:rsidRPr="007E449D" w:rsidRDefault="001F2F1B" w:rsidP="001F2F1B">
      <w:pPr>
        <w:autoSpaceDE w:val="0"/>
        <w:autoSpaceDN w:val="0"/>
        <w:adjustRightInd w:val="0"/>
        <w:spacing w:after="0" w:line="240" w:lineRule="auto"/>
        <w:ind w:firstLine="284"/>
        <w:rPr>
          <w:rFonts w:ascii="Garamond" w:hAnsi="Garamond" w:cs="Times New Roman"/>
          <w:color w:val="000000"/>
          <w:sz w:val="24"/>
          <w:szCs w:val="24"/>
        </w:rPr>
      </w:pPr>
    </w:p>
    <w:p w14:paraId="70EF7895" w14:textId="3C8C87F3" w:rsidR="001F2F1B" w:rsidRDefault="001F2F1B" w:rsidP="001F2F1B">
      <w:pPr>
        <w:autoSpaceDE w:val="0"/>
        <w:autoSpaceDN w:val="0"/>
        <w:adjustRightInd w:val="0"/>
        <w:spacing w:after="0" w:line="300" w:lineRule="atLeast"/>
        <w:ind w:firstLine="284"/>
        <w:jc w:val="center"/>
        <w:rPr>
          <w:rFonts w:ascii="Garamond" w:hAnsi="Garamond" w:cs="Times New Roman"/>
          <w:b/>
          <w:bCs/>
          <w:color w:val="000000"/>
          <w:sz w:val="24"/>
          <w:szCs w:val="24"/>
        </w:rPr>
      </w:pPr>
      <w:r w:rsidRPr="007E449D">
        <w:rPr>
          <w:rFonts w:ascii="Garamond" w:hAnsi="Garamond" w:cs="Times New Roman"/>
          <w:b/>
          <w:bCs/>
          <w:color w:val="000000"/>
          <w:sz w:val="24"/>
          <w:szCs w:val="24"/>
        </w:rPr>
        <w:t>PËR ELEMENTET, KËRKESAT DHE PARIMET E PËRGJITHSHME TË ANALIZËS SË KOSTOS DHE PËRFITIMIT, PËR VLERËSIMIN E POTENCIALIT TË APLIKIMIT TË KOGJENERIMIT ME EFIÇENCË TË LARTË, SI DHE TË NGROHJES E FTOHJES EFIÇENTE</w:t>
      </w:r>
    </w:p>
    <w:p w14:paraId="11544F66" w14:textId="77777777" w:rsidR="007E449D" w:rsidRPr="007E449D" w:rsidRDefault="007E449D" w:rsidP="001F2F1B">
      <w:pPr>
        <w:autoSpaceDE w:val="0"/>
        <w:autoSpaceDN w:val="0"/>
        <w:adjustRightInd w:val="0"/>
        <w:spacing w:after="0" w:line="300" w:lineRule="atLeast"/>
        <w:ind w:firstLine="284"/>
        <w:jc w:val="center"/>
        <w:rPr>
          <w:rFonts w:ascii="Garamond" w:hAnsi="Garamond" w:cs="Times New Roman"/>
          <w:b/>
          <w:bCs/>
          <w:color w:val="000000"/>
          <w:sz w:val="24"/>
          <w:szCs w:val="24"/>
        </w:rPr>
      </w:pPr>
    </w:p>
    <w:p w14:paraId="2DF1D328" w14:textId="20D42C0D" w:rsidR="001F2F1B" w:rsidRPr="007E449D" w:rsidRDefault="001F2F1B" w:rsidP="009C4864">
      <w:pPr>
        <w:autoSpaceDE w:val="0"/>
        <w:autoSpaceDN w:val="0"/>
        <w:adjustRightInd w:val="0"/>
        <w:spacing w:after="0" w:line="240" w:lineRule="auto"/>
        <w:ind w:firstLine="288"/>
        <w:jc w:val="both"/>
        <w:rPr>
          <w:rFonts w:ascii="Garamond" w:hAnsi="Garamond" w:cs="Times New Roman"/>
          <w:color w:val="000000"/>
          <w:sz w:val="24"/>
          <w:szCs w:val="24"/>
        </w:rPr>
      </w:pPr>
      <w:r w:rsidRPr="007E449D">
        <w:rPr>
          <w:rFonts w:ascii="Garamond" w:hAnsi="Garamond" w:cs="Times New Roman"/>
          <w:color w:val="000000"/>
          <w:sz w:val="24"/>
          <w:szCs w:val="24"/>
        </w:rPr>
        <w:t xml:space="preserve">Në mbështetje të pikës 4, të nenit 102 të Kushtetutës dhe të nenit </w:t>
      </w:r>
      <w:r w:rsidRPr="007E449D">
        <w:rPr>
          <w:rFonts w:ascii="Garamond" w:hAnsi="Garamond" w:cs="Times New Roman"/>
          <w:color w:val="000000"/>
          <w:spacing w:val="-15"/>
          <w:sz w:val="24"/>
          <w:szCs w:val="24"/>
        </w:rPr>
        <w:t>15/1, pika 1</w:t>
      </w:r>
      <w:r w:rsidRPr="007E449D">
        <w:rPr>
          <w:rFonts w:ascii="Garamond" w:hAnsi="Garamond" w:cs="Times New Roman"/>
          <w:color w:val="000000"/>
          <w:sz w:val="24"/>
          <w:szCs w:val="24"/>
        </w:rPr>
        <w:t xml:space="preserve">, të </w:t>
      </w:r>
      <w:r w:rsidR="007E449D" w:rsidRPr="007E449D">
        <w:rPr>
          <w:rFonts w:ascii="Garamond" w:hAnsi="Garamond" w:cs="Times New Roman"/>
          <w:color w:val="000000"/>
          <w:sz w:val="24"/>
          <w:szCs w:val="24"/>
        </w:rPr>
        <w:t>ligjit nr</w:t>
      </w:r>
      <w:r w:rsidRPr="007E449D">
        <w:rPr>
          <w:rFonts w:ascii="Garamond" w:hAnsi="Garamond" w:cs="Times New Roman"/>
          <w:color w:val="000000"/>
          <w:sz w:val="24"/>
          <w:szCs w:val="24"/>
        </w:rPr>
        <w:t>. 124/2015</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“Për efiçencën e energjisë”</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7E449D" w:rsidRPr="007E449D">
        <w:rPr>
          <w:rFonts w:ascii="Garamond" w:hAnsi="Garamond" w:cs="Times New Roman"/>
          <w:color w:val="000000"/>
          <w:sz w:val="24"/>
          <w:szCs w:val="24"/>
        </w:rPr>
        <w:t>të</w:t>
      </w:r>
      <w:r w:rsidRPr="007E449D">
        <w:rPr>
          <w:rFonts w:ascii="Garamond" w:hAnsi="Garamond" w:cs="Times New Roman"/>
          <w:color w:val="000000"/>
          <w:sz w:val="24"/>
          <w:szCs w:val="24"/>
        </w:rPr>
        <w:t xml:space="preserve"> ndryshuar</w:t>
      </w:r>
      <w:r w:rsidRPr="007E449D">
        <w:rPr>
          <w:rFonts w:ascii="Garamond" w:eastAsia="MS Mincho" w:hAnsi="Garamond" w:cs="MS Mincho"/>
          <w:color w:val="000000"/>
          <w:sz w:val="24"/>
          <w:szCs w:val="24"/>
        </w:rPr>
        <w:t>,</w:t>
      </w:r>
    </w:p>
    <w:p w14:paraId="313E7615"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b/>
          <w:bCs/>
          <w:color w:val="000000"/>
          <w:sz w:val="24"/>
          <w:szCs w:val="24"/>
        </w:rPr>
      </w:pPr>
    </w:p>
    <w:p w14:paraId="4444C138"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bCs/>
          <w:color w:val="000000"/>
          <w:sz w:val="24"/>
          <w:szCs w:val="24"/>
        </w:rPr>
      </w:pPr>
      <w:r w:rsidRPr="007E449D">
        <w:rPr>
          <w:rFonts w:ascii="Garamond" w:hAnsi="Garamond" w:cs="Times New Roman"/>
          <w:bCs/>
          <w:color w:val="000000"/>
          <w:sz w:val="24"/>
          <w:szCs w:val="24"/>
        </w:rPr>
        <w:t>UDHËZOJ:</w:t>
      </w:r>
    </w:p>
    <w:p w14:paraId="1CB56706" w14:textId="77777777" w:rsidR="001F2F1B" w:rsidRPr="007E449D" w:rsidRDefault="001F2F1B" w:rsidP="001F2F1B">
      <w:pPr>
        <w:autoSpaceDE w:val="0"/>
        <w:autoSpaceDN w:val="0"/>
        <w:adjustRightInd w:val="0"/>
        <w:spacing w:after="0" w:line="310" w:lineRule="atLeast"/>
        <w:ind w:firstLine="284"/>
        <w:rPr>
          <w:rFonts w:ascii="Garamond" w:hAnsi="Garamond" w:cs="Times New Roman"/>
          <w:color w:val="000000"/>
          <w:sz w:val="24"/>
          <w:szCs w:val="24"/>
        </w:rPr>
      </w:pPr>
    </w:p>
    <w:p w14:paraId="763E174F" w14:textId="223B0818"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1. Vlerësimi në nivel kombëtar i potencialit për përdorimin e kogjenerimit me efiçencë të lartë</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si dhe të ngrohjes dhe ftohjes efiçente në sistemet </w:t>
      </w:r>
      <w:r w:rsidR="007E449D" w:rsidRPr="007E449D">
        <w:rPr>
          <w:rFonts w:ascii="Garamond" w:hAnsi="Garamond" w:cs="Times New Roman"/>
          <w:color w:val="000000"/>
          <w:sz w:val="24"/>
          <w:szCs w:val="24"/>
        </w:rPr>
        <w:t>qendrore</w:t>
      </w:r>
      <w:r w:rsidRPr="007E449D">
        <w:rPr>
          <w:rFonts w:ascii="Garamond" w:hAnsi="Garamond" w:cs="Times New Roman"/>
          <w:color w:val="000000"/>
          <w:sz w:val="24"/>
          <w:szCs w:val="24"/>
        </w:rPr>
        <w:t xml:space="preserve"> realizohet nga agjencia përgjegjëse për efiçencën e energjisë.</w:t>
      </w:r>
    </w:p>
    <w:p w14:paraId="79CB3BA0" w14:textId="4DB235B1"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2. Studimi përfshin realizimin e analizës së kostos dhe përfitimit në të paktën 30% të njësive të vetëqeverisjes vendore</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në varësi të burimeve energjetike të disponueshme dhe zonës klimatike.</w:t>
      </w:r>
    </w:p>
    <w:p w14:paraId="268D98C7" w14:textId="15A1DCE7"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3. Studimi realizohet në një mënyrë të tillë që të përfshihen të gjitha tipologjitë e ndërtesave të përcaktuara në </w:t>
      </w:r>
      <w:r w:rsidR="007E449D" w:rsidRPr="007E449D">
        <w:rPr>
          <w:rFonts w:ascii="Garamond" w:hAnsi="Garamond" w:cs="Times New Roman"/>
          <w:color w:val="000000"/>
          <w:sz w:val="24"/>
          <w:szCs w:val="24"/>
        </w:rPr>
        <w:t>vendimin nr. 1094</w:t>
      </w:r>
      <w:r w:rsidRPr="007E449D">
        <w:rPr>
          <w:rFonts w:ascii="Garamond" w:hAnsi="Garamond" w:cs="Times New Roman"/>
          <w:color w:val="000000"/>
          <w:sz w:val="24"/>
          <w:szCs w:val="24"/>
        </w:rPr>
        <w:t>, datë 24.12.2020</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“Për miratimin e metodologjisë kombëtare të llogaritjes së performancës së energjisë në ndërtesa”. Në studim të mos konsiderohen ato ndërtesa që përjashtohen nga detyrimet për plotësim</w:t>
      </w:r>
      <w:r w:rsidR="007E449D">
        <w:rPr>
          <w:rFonts w:ascii="Garamond" w:hAnsi="Garamond" w:cs="Times New Roman"/>
          <w:color w:val="000000"/>
          <w:sz w:val="24"/>
          <w:szCs w:val="24"/>
        </w:rPr>
        <w:t>i</w:t>
      </w:r>
      <w:r w:rsidRPr="007E449D">
        <w:rPr>
          <w:rFonts w:ascii="Garamond" w:hAnsi="Garamond" w:cs="Times New Roman"/>
          <w:color w:val="000000"/>
          <w:sz w:val="24"/>
          <w:szCs w:val="24"/>
        </w:rPr>
        <w:t>n e kërkesave minimale të performancë së energjisë sipas legjislacionit në fuqi.</w:t>
      </w:r>
    </w:p>
    <w:p w14:paraId="014E8E44" w14:textId="7502D7AC"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4. Për realizimin e vlerësimit agjencia </w:t>
      </w:r>
      <w:r w:rsidR="007E449D" w:rsidRPr="007E449D">
        <w:rPr>
          <w:rFonts w:ascii="Garamond" w:hAnsi="Garamond" w:cs="Times New Roman"/>
          <w:color w:val="000000"/>
          <w:sz w:val="24"/>
          <w:szCs w:val="24"/>
        </w:rPr>
        <w:t>përgjegjëse</w:t>
      </w:r>
      <w:r w:rsidRPr="007E449D">
        <w:rPr>
          <w:rFonts w:ascii="Garamond" w:hAnsi="Garamond" w:cs="Times New Roman"/>
          <w:color w:val="000000"/>
          <w:sz w:val="24"/>
          <w:szCs w:val="24"/>
        </w:rPr>
        <w:t xml:space="preserve"> për efiçencën e energjisë duhet të shfrytëzojë parimet e përgjithshme për llogaritjen e energjisë elektrike nga kogjenerimi</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të paraqitura në shtojcën I dhe metodologjinë për përcaktimin e efiçencës së proceseve të kogjenerimit sipas shtojcës II, bashkëlidhur këtij udhëzimi.</w:t>
      </w:r>
    </w:p>
    <w:p w14:paraId="501364A2" w14:textId="0918C5D1"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5. Termat e përdorur në këtë udhëzim kanë të njëjtin kuptim me ato të përcaktuara në ligjin nr. 124/2015, “Për efiçencën e energjisë”</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i ndryshuar, , ndërsa termat e mëposhtëm kanë këtë kuptim:</w:t>
      </w:r>
    </w:p>
    <w:p w14:paraId="13087B4A" w14:textId="4394570F"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a) </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Sisteme </w:t>
      </w:r>
      <w:r w:rsidR="007E449D" w:rsidRPr="007E449D">
        <w:rPr>
          <w:rFonts w:ascii="Garamond" w:hAnsi="Garamond" w:cs="Times New Roman"/>
          <w:color w:val="000000"/>
          <w:sz w:val="24"/>
          <w:szCs w:val="24"/>
        </w:rPr>
        <w:t>qendrore</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 janë sisteme të përbashkëta të cilat furnizojnë me energji termike</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përmes një rrjeti tubacionesh, disa apartamente ose disa ndërtesa në të njëjtën kohë;</w:t>
      </w:r>
    </w:p>
    <w:p w14:paraId="476E7098" w14:textId="141FB067"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b) </w:t>
      </w:r>
      <w:r w:rsidR="007E449D">
        <w:rPr>
          <w:rFonts w:ascii="Garamond" w:hAnsi="Garamond" w:cs="Times New Roman"/>
          <w:color w:val="000000"/>
          <w:sz w:val="24"/>
          <w:szCs w:val="24"/>
        </w:rPr>
        <w:t>“</w:t>
      </w:r>
      <w:r w:rsidRPr="007E449D">
        <w:rPr>
          <w:rFonts w:ascii="Garamond" w:hAnsi="Garamond" w:cs="Times New Roman"/>
          <w:color w:val="000000"/>
          <w:sz w:val="24"/>
          <w:szCs w:val="24"/>
        </w:rPr>
        <w:t>Pikë reference</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 është një tregues i fiksuar i cili përdoret për qëllime krahasimi;</w:t>
      </w:r>
    </w:p>
    <w:p w14:paraId="72E23F39" w14:textId="6AB8C1A6"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c) </w:t>
      </w:r>
      <w:r w:rsidR="007E449D">
        <w:rPr>
          <w:rFonts w:ascii="Garamond" w:hAnsi="Garamond" w:cs="Times New Roman"/>
          <w:color w:val="000000"/>
          <w:sz w:val="24"/>
          <w:szCs w:val="24"/>
        </w:rPr>
        <w:t>“</w:t>
      </w:r>
      <w:r w:rsidRPr="007E449D">
        <w:rPr>
          <w:rFonts w:ascii="Garamond" w:hAnsi="Garamond" w:cs="Times New Roman"/>
          <w:color w:val="000000"/>
          <w:sz w:val="24"/>
          <w:szCs w:val="24"/>
        </w:rPr>
        <w:t>Kogjenerimi</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 është gjenerimi në të njëjtën kohë i energjisë termike dhe elektrike, nga një proces.</w:t>
      </w:r>
    </w:p>
    <w:p w14:paraId="5F18D2AC" w14:textId="7C5BB1DA"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6. Vlerësimi gjithëpërfshirës i potencialit kombëtar të ngrohjes dhe ftohjes duhet të përfshijë:</w:t>
      </w:r>
    </w:p>
    <w:p w14:paraId="5656F8B5" w14:textId="26335937"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a) një përshkrim të kërkesës për ngrohje dhe ftohje;</w:t>
      </w:r>
    </w:p>
    <w:p w14:paraId="61902AFE" w14:textId="5F0F3F70"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b) një parashikim se si kjo kërkesë do të ndryshojë në 10 vitet e ardhshme, duke marrë parasysh në mënyrë të veçantë evolucionin e kërkesës për ngrohje dhe ftohje në ndërtesa dhe sektorë të ndryshëm të industrisë;</w:t>
      </w:r>
    </w:p>
    <w:p w14:paraId="72CE3A0C" w14:textId="4149B3C2"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c) një hartë të territorit kombëtar, duke ruajtur informacionin e ndjeshëm tregtar dhe duke identifikuar:</w:t>
      </w:r>
    </w:p>
    <w:p w14:paraId="4A12884E" w14:textId="69BF6ED9"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 pikat e kërkesës për ngrohje dhe ftohje, duke përfshirë:</w:t>
      </w:r>
    </w:p>
    <w:p w14:paraId="440405F5" w14:textId="2757D6C8"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eastAsia="MS Mincho" w:hAnsi="Garamond" w:cs="MS Mincho"/>
          <w:color w:val="000000"/>
          <w:sz w:val="24"/>
          <w:szCs w:val="24"/>
        </w:rPr>
        <w:t xml:space="preserve">- </w:t>
      </w:r>
      <w:r w:rsidRPr="007E449D">
        <w:rPr>
          <w:rFonts w:ascii="Garamond" w:hAnsi="Garamond" w:cs="Times New Roman"/>
          <w:color w:val="000000"/>
          <w:sz w:val="24"/>
          <w:szCs w:val="24"/>
        </w:rPr>
        <w:t>bashkitë; dhe</w:t>
      </w:r>
    </w:p>
    <w:p w14:paraId="696557E0" w14:textId="4816B13E"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eastAsia="MS Mincho" w:hAnsi="Garamond" w:cs="MS Mincho"/>
          <w:color w:val="000000"/>
          <w:sz w:val="24"/>
          <w:szCs w:val="24"/>
        </w:rPr>
        <w:t xml:space="preserve">- </w:t>
      </w:r>
      <w:r w:rsidRPr="007E449D">
        <w:rPr>
          <w:rFonts w:ascii="Garamond" w:hAnsi="Garamond" w:cs="Times New Roman"/>
          <w:color w:val="000000"/>
          <w:sz w:val="24"/>
          <w:szCs w:val="24"/>
        </w:rPr>
        <w:t xml:space="preserve">zonat industriale me konsum të përgjithshëm vjetor për ngrohje dhe ftohje më shumë se 20 </w:t>
      </w:r>
      <w:r w:rsidR="007E449D" w:rsidRPr="007E449D">
        <w:rPr>
          <w:rFonts w:ascii="Garamond" w:hAnsi="Garamond" w:cs="Times New Roman"/>
          <w:color w:val="000000"/>
          <w:sz w:val="24"/>
          <w:szCs w:val="24"/>
        </w:rPr>
        <w:t>gw</w:t>
      </w:r>
      <w:r w:rsidRPr="007E449D">
        <w:rPr>
          <w:rFonts w:ascii="Garamond" w:hAnsi="Garamond" w:cs="Times New Roman"/>
          <w:color w:val="000000"/>
          <w:sz w:val="24"/>
          <w:szCs w:val="24"/>
        </w:rPr>
        <w:t>h;</w:t>
      </w:r>
    </w:p>
    <w:p w14:paraId="6FE91E57" w14:textId="25AE0671"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 infrastrukturën ekzistuese dhe të planifikuar të ngrohjes dhe ftohjes </w:t>
      </w:r>
      <w:r w:rsidR="007E449D" w:rsidRPr="007E449D">
        <w:rPr>
          <w:rFonts w:ascii="Garamond" w:hAnsi="Garamond" w:cs="Times New Roman"/>
          <w:color w:val="000000"/>
          <w:sz w:val="24"/>
          <w:szCs w:val="24"/>
        </w:rPr>
        <w:t>qendrore</w:t>
      </w:r>
      <w:r w:rsidRPr="007E449D">
        <w:rPr>
          <w:rFonts w:ascii="Garamond" w:hAnsi="Garamond" w:cs="Times New Roman"/>
          <w:color w:val="000000"/>
          <w:sz w:val="24"/>
          <w:szCs w:val="24"/>
        </w:rPr>
        <w:t>;</w:t>
      </w:r>
    </w:p>
    <w:p w14:paraId="5D3DD402" w14:textId="46C54D9B"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iii. pikat e mundshme të furnizimit me ngrohje dhe ftohje, duke përfshirë:</w:t>
      </w:r>
    </w:p>
    <w:p w14:paraId="27FB39DA" w14:textId="66E486FC"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eastAsia="MS Mincho" w:hAnsi="Garamond" w:cs="MS Mincho"/>
          <w:color w:val="000000"/>
          <w:sz w:val="24"/>
          <w:szCs w:val="24"/>
        </w:rPr>
        <w:lastRenderedPageBreak/>
        <w:t xml:space="preserve">- </w:t>
      </w:r>
      <w:r w:rsidRPr="007E449D">
        <w:rPr>
          <w:rFonts w:ascii="Garamond" w:hAnsi="Garamond" w:cs="Times New Roman"/>
          <w:color w:val="000000"/>
          <w:sz w:val="24"/>
          <w:szCs w:val="24"/>
        </w:rPr>
        <w:t xml:space="preserve">impiantet termike të prodhimit të energjisë elektrike me një prodhim total vjetor të energjisë elektrike më shumë se 20 </w:t>
      </w:r>
      <w:r w:rsidR="007E449D" w:rsidRPr="007E449D">
        <w:rPr>
          <w:rFonts w:ascii="Garamond" w:hAnsi="Garamond" w:cs="Times New Roman"/>
          <w:color w:val="000000"/>
          <w:sz w:val="24"/>
          <w:szCs w:val="24"/>
        </w:rPr>
        <w:t>gwh</w:t>
      </w:r>
      <w:r w:rsidRPr="007E449D">
        <w:rPr>
          <w:rFonts w:ascii="Garamond" w:hAnsi="Garamond" w:cs="Times New Roman"/>
          <w:color w:val="000000"/>
          <w:sz w:val="24"/>
          <w:szCs w:val="24"/>
        </w:rPr>
        <w:t>; dhe</w:t>
      </w:r>
    </w:p>
    <w:p w14:paraId="6BE733F6" w14:textId="4DF5474C"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eastAsia="MS Mincho" w:hAnsi="Garamond" w:cs="MS Mincho"/>
          <w:color w:val="000000"/>
          <w:sz w:val="24"/>
          <w:szCs w:val="24"/>
        </w:rPr>
        <w:t xml:space="preserve">- </w:t>
      </w:r>
      <w:r w:rsidRPr="007E449D">
        <w:rPr>
          <w:rFonts w:ascii="Garamond" w:hAnsi="Garamond" w:cs="Times New Roman"/>
          <w:color w:val="000000"/>
          <w:sz w:val="24"/>
          <w:szCs w:val="24"/>
        </w:rPr>
        <w:t>impiantet e djegies së mbetjeve urbane;</w:t>
      </w:r>
    </w:p>
    <w:p w14:paraId="1FC1676B" w14:textId="2DE30E58"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eastAsia="MS Mincho" w:hAnsi="Garamond" w:cs="MS Mincho"/>
          <w:color w:val="000000"/>
          <w:sz w:val="24"/>
          <w:szCs w:val="24"/>
        </w:rPr>
        <w:t xml:space="preserve">- </w:t>
      </w:r>
      <w:r w:rsidRPr="007E449D">
        <w:rPr>
          <w:rFonts w:ascii="Garamond" w:hAnsi="Garamond" w:cs="Times New Roman"/>
          <w:color w:val="000000"/>
          <w:sz w:val="24"/>
          <w:szCs w:val="24"/>
        </w:rPr>
        <w:t xml:space="preserve">instalimet ekzistuese dhe të planifikuara të kogjenerimit dhe instalimet e ngrohjes </w:t>
      </w:r>
      <w:r w:rsidR="007E449D" w:rsidRPr="007E449D">
        <w:rPr>
          <w:rFonts w:ascii="Garamond" w:hAnsi="Garamond" w:cs="Times New Roman"/>
          <w:color w:val="000000"/>
          <w:sz w:val="24"/>
          <w:szCs w:val="24"/>
        </w:rPr>
        <w:t>qendrore</w:t>
      </w:r>
      <w:r w:rsidR="007E449D">
        <w:rPr>
          <w:rFonts w:ascii="Garamond" w:hAnsi="Garamond" w:cs="Times New Roman"/>
          <w:color w:val="000000"/>
          <w:sz w:val="24"/>
          <w:szCs w:val="24"/>
        </w:rPr>
        <w:t>;</w:t>
      </w:r>
    </w:p>
    <w:p w14:paraId="4D50E539" w14:textId="6917D673"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d) identifikimi i kërkesës për ngrohje dhe ftohje që mund të plotësohet nga kogjenerimi me efikasitet të lartë, duke përfshirë mikro-kogjenerimin rezidencial, nga ngrohja dhe ftohja </w:t>
      </w:r>
      <w:r w:rsidR="007E449D" w:rsidRPr="007E449D">
        <w:rPr>
          <w:rFonts w:ascii="Garamond" w:hAnsi="Garamond" w:cs="Times New Roman"/>
          <w:color w:val="000000"/>
          <w:sz w:val="24"/>
          <w:szCs w:val="24"/>
        </w:rPr>
        <w:t>qendrore</w:t>
      </w:r>
      <w:r w:rsidRPr="007E449D">
        <w:rPr>
          <w:rFonts w:ascii="Garamond" w:hAnsi="Garamond" w:cs="Times New Roman"/>
          <w:color w:val="000000"/>
          <w:sz w:val="24"/>
          <w:szCs w:val="24"/>
        </w:rPr>
        <w:t>;</w:t>
      </w:r>
    </w:p>
    <w:p w14:paraId="3376940C" w14:textId="528AEFA4"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e) identifikimin e potencialit për kogjenerimin shtesë me efikasitet të lartë, duke përfshirë rinovimet e impianteve ekzistuese dhe ndërtimin e impianteve të reja</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dhe instalimeve industriale ose objekteve të tjera që gjenerojnë nxehtësi e cila emetohet në ambient dhe nuk shfrytëzohet;</w:t>
      </w:r>
    </w:p>
    <w:p w14:paraId="671A701E" w14:textId="4EE5A236"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f)</w:t>
      </w:r>
      <w:r w:rsidR="009C4864">
        <w:rPr>
          <w:rFonts w:ascii="Garamond" w:hAnsi="Garamond" w:cs="Times New Roman"/>
          <w:color w:val="000000"/>
          <w:sz w:val="24"/>
          <w:szCs w:val="24"/>
        </w:rPr>
        <w:t xml:space="preserve"> </w:t>
      </w:r>
      <w:r w:rsidRPr="007E449D">
        <w:rPr>
          <w:rFonts w:ascii="Garamond" w:hAnsi="Garamond" w:cs="Times New Roman"/>
          <w:color w:val="000000"/>
          <w:sz w:val="24"/>
          <w:szCs w:val="24"/>
        </w:rPr>
        <w:t xml:space="preserve">identifikimin e potencialit të efiçencës së energjisë së infrastrukturës së ngrohjes dhe ftohjes </w:t>
      </w:r>
      <w:r w:rsidR="007E449D" w:rsidRPr="007E449D">
        <w:rPr>
          <w:rFonts w:ascii="Garamond" w:hAnsi="Garamond" w:cs="Times New Roman"/>
          <w:color w:val="000000"/>
          <w:sz w:val="24"/>
          <w:szCs w:val="24"/>
        </w:rPr>
        <w:t>qendrore</w:t>
      </w:r>
      <w:r w:rsidRPr="007E449D">
        <w:rPr>
          <w:rFonts w:ascii="Garamond" w:hAnsi="Garamond" w:cs="Times New Roman"/>
          <w:color w:val="000000"/>
          <w:sz w:val="24"/>
          <w:szCs w:val="24"/>
        </w:rPr>
        <w:t>;</w:t>
      </w:r>
    </w:p>
    <w:p w14:paraId="7C4C0DFB" w14:textId="208A48B2"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g) strategjitë, politikat dhe masat që mund të miratohen për të realizuar potencialin në shkronjën “e”</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të pikës 6, të këtij udhëzimi, në mënyrë që të plotësohet kërkesa në shkronjën “d”</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të pikës 6, të këtij udhëzimi, duke përfshirë, kur është e përshtatshme, propozime për:</w:t>
      </w:r>
    </w:p>
    <w:p w14:paraId="0CC14348" w14:textId="7413A549"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 rritjen e kontributit të kogjenerimit në gjenerimin e ngrohjes dhe ftohjes</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si dhe në prodhimin e energjisë elektrike;</w:t>
      </w:r>
    </w:p>
    <w:p w14:paraId="6D3EE69D" w14:textId="458FC30D"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 zhvillimin e infrastrukturës efiçente të ngrohjes dhe ftohjes </w:t>
      </w:r>
      <w:r w:rsidR="007E449D" w:rsidRPr="007E449D">
        <w:rPr>
          <w:rFonts w:ascii="Garamond" w:hAnsi="Garamond" w:cs="Times New Roman"/>
          <w:color w:val="000000"/>
          <w:sz w:val="24"/>
          <w:szCs w:val="24"/>
        </w:rPr>
        <w:t>qendrore</w:t>
      </w:r>
      <w:r w:rsidRPr="007E449D">
        <w:rPr>
          <w:rFonts w:ascii="Garamond" w:hAnsi="Garamond" w:cs="Times New Roman"/>
          <w:color w:val="000000"/>
          <w:sz w:val="24"/>
          <w:szCs w:val="24"/>
        </w:rPr>
        <w:t xml:space="preserve"> për të akomoduar zhvillimin e kogjenerimit me efiçencë të lartë dhe përdorimin e ngrohjes dhe ftohjes nga nxehtësia e pashfrytëzuar dhe burimet e rinovueshme të energjisë;</w:t>
      </w:r>
    </w:p>
    <w:p w14:paraId="2121FD7D" w14:textId="46E53A5C"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iii. të inkurajuar që instalimet e reja termike për prodhimin e energjisë elektrike dhe impianteve industriale që gjenerojnë nxehtësi të pozicionohen në vende ku një sasi maksimale e nxehtësisë së pashfrytëzuar të rikuperohet për të përmbushur kërkesat ekzistuese ose ato të parashikuara për ngrohje dhe ftohje;</w:t>
      </w:r>
    </w:p>
    <w:p w14:paraId="30065FFB" w14:textId="373A9C85"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iv. të inkurajuar zona të reja rezidenciale ose impiante të reja industriale që konsumojnë nxehtësi në proceset e tyre të prodhimit të pozicionohen aty ku mund të kontribuojë nxehtësia e pashfrytëzuar e impianteve të tjera, për përmbushjen e kërkesave të tyre për ngrohje dhe ftohje. Kjo mund të përfshijë propozime që mbështesin grumbullimin e një numri instalimesh individuale në të njëjtin vend</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me synimin për të siguruar një përputhje optimale ndërmjet kërkesës dhe ofertës për ngrohje dhe ftohje;</w:t>
      </w:r>
    </w:p>
    <w:p w14:paraId="7F9CE32A" w14:textId="13C57A5B"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v. të inkurajuar impiantet termike të gjenerimit të energjisë elektrike, impiantet industriale që prodhojnë nxehtësi e cila nuk shfrytëzohet, inceneratorë dhe impiante të tjera të këtij lloji, për t’u lidhur me rrjetin lokal të ngrohjes ose ftohjes </w:t>
      </w:r>
      <w:r w:rsidR="007E449D" w:rsidRPr="007E449D">
        <w:rPr>
          <w:rFonts w:ascii="Garamond" w:hAnsi="Garamond" w:cs="Times New Roman"/>
          <w:color w:val="000000"/>
          <w:sz w:val="24"/>
          <w:szCs w:val="24"/>
        </w:rPr>
        <w:t>qendrore</w:t>
      </w:r>
      <w:r w:rsidRPr="007E449D">
        <w:rPr>
          <w:rFonts w:ascii="Garamond" w:hAnsi="Garamond" w:cs="Times New Roman"/>
          <w:color w:val="000000"/>
          <w:sz w:val="24"/>
          <w:szCs w:val="24"/>
        </w:rPr>
        <w:t>;</w:t>
      </w:r>
    </w:p>
    <w:p w14:paraId="40C3D14C" w14:textId="7EE0C0FD"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vi. të inkurajuar zonat e banuara dhe impiantet industriale që konsumojnë nxehtësi në proceset e tyre të prodhimit për t</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u lidhur me rrjetin lokal të ngrohjes ose ftohjes </w:t>
      </w:r>
      <w:r w:rsidR="007E449D" w:rsidRPr="007E449D">
        <w:rPr>
          <w:rFonts w:ascii="Garamond" w:hAnsi="Garamond" w:cs="Times New Roman"/>
          <w:color w:val="000000"/>
          <w:sz w:val="24"/>
          <w:szCs w:val="24"/>
        </w:rPr>
        <w:t>qendrore</w:t>
      </w:r>
      <w:r w:rsidRPr="007E449D">
        <w:rPr>
          <w:rFonts w:ascii="Garamond" w:hAnsi="Garamond" w:cs="Times New Roman"/>
          <w:color w:val="000000"/>
          <w:sz w:val="24"/>
          <w:szCs w:val="24"/>
        </w:rPr>
        <w:t>.</w:t>
      </w:r>
    </w:p>
    <w:p w14:paraId="33412102" w14:textId="0F589D4E"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h) kontributin e kogjenerimit me efikasitet të lartë dhe potencialin</w:t>
      </w:r>
      <w:r w:rsidR="007E449D">
        <w:rPr>
          <w:rFonts w:ascii="Garamond" w:hAnsi="Garamond" w:cs="Times New Roman"/>
          <w:color w:val="000000"/>
          <w:sz w:val="24"/>
          <w:szCs w:val="24"/>
        </w:rPr>
        <w:t>,</w:t>
      </w:r>
      <w:r w:rsidRPr="007E449D">
        <w:rPr>
          <w:rFonts w:ascii="Garamond" w:hAnsi="Garamond" w:cs="Times New Roman"/>
          <w:color w:val="000000"/>
          <w:sz w:val="24"/>
          <w:szCs w:val="24"/>
        </w:rPr>
        <w:t xml:space="preserve"> dhe progresin e arritur;</w:t>
      </w:r>
    </w:p>
    <w:p w14:paraId="649C1FBE" w14:textId="7974C68D"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 një vlerësim të energjisë primare që do të kursehet;</w:t>
      </w:r>
    </w:p>
    <w:p w14:paraId="547AA9F1" w14:textId="08BF72CF"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j) një vlerësim të masave të mbështetjes publike për ngrohjen dhe ftohjen, nëse ka, me buxhetin vjetor dhe identifikimin e </w:t>
      </w:r>
      <w:r w:rsidR="007E449D" w:rsidRPr="007E449D">
        <w:rPr>
          <w:rFonts w:ascii="Garamond" w:hAnsi="Garamond" w:cs="Times New Roman"/>
          <w:color w:val="000000"/>
          <w:sz w:val="24"/>
          <w:szCs w:val="24"/>
        </w:rPr>
        <w:t>instrumenteve</w:t>
      </w:r>
      <w:r w:rsidRPr="007E449D">
        <w:rPr>
          <w:rFonts w:ascii="Garamond" w:hAnsi="Garamond" w:cs="Times New Roman"/>
          <w:color w:val="000000"/>
          <w:sz w:val="24"/>
          <w:szCs w:val="24"/>
        </w:rPr>
        <w:t xml:space="preserve"> mbështetës</w:t>
      </w:r>
      <w:r w:rsidR="007E449D">
        <w:rPr>
          <w:rFonts w:ascii="Garamond" w:hAnsi="Garamond" w:cs="Times New Roman"/>
          <w:color w:val="000000"/>
          <w:sz w:val="24"/>
          <w:szCs w:val="24"/>
        </w:rPr>
        <w:t>e</w:t>
      </w:r>
      <w:r w:rsidRPr="007E449D">
        <w:rPr>
          <w:rFonts w:ascii="Garamond" w:hAnsi="Garamond" w:cs="Times New Roman"/>
          <w:color w:val="000000"/>
          <w:sz w:val="24"/>
          <w:szCs w:val="24"/>
        </w:rPr>
        <w:t xml:space="preserve"> publik</w:t>
      </w:r>
      <w:r w:rsidR="007E449D">
        <w:rPr>
          <w:rFonts w:ascii="Garamond" w:hAnsi="Garamond" w:cs="Times New Roman"/>
          <w:color w:val="000000"/>
          <w:sz w:val="24"/>
          <w:szCs w:val="24"/>
        </w:rPr>
        <w:t>e</w:t>
      </w:r>
      <w:r w:rsidRPr="007E449D">
        <w:rPr>
          <w:rFonts w:ascii="Garamond" w:hAnsi="Garamond" w:cs="Times New Roman"/>
          <w:color w:val="000000"/>
          <w:sz w:val="24"/>
          <w:szCs w:val="24"/>
        </w:rPr>
        <w:t xml:space="preserve">, ose ndihmës </w:t>
      </w:r>
      <w:r w:rsidR="007E449D" w:rsidRPr="007E449D">
        <w:rPr>
          <w:rFonts w:ascii="Garamond" w:hAnsi="Garamond" w:cs="Times New Roman"/>
          <w:color w:val="000000"/>
          <w:sz w:val="24"/>
          <w:szCs w:val="24"/>
        </w:rPr>
        <w:t>shtetërore</w:t>
      </w:r>
      <w:r w:rsidRPr="007E449D">
        <w:rPr>
          <w:rFonts w:ascii="Garamond" w:hAnsi="Garamond" w:cs="Times New Roman"/>
          <w:color w:val="000000"/>
          <w:sz w:val="24"/>
          <w:szCs w:val="24"/>
        </w:rPr>
        <w:t>.</w:t>
      </w:r>
    </w:p>
    <w:p w14:paraId="3D523B17" w14:textId="5CA40332"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7. Analiza kosto-përfitim duhet të përfshijë një vlerësim në nivel kombëtar në mënyrë që të vendoset opsioni më kosto-efektiv dhe më i dobishëm për ngrohjen ose ftohjen</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për një zonë të caktuar gjeografike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me qëllim planifikimin e ngrohjes dhe ftohjes efiçente.</w:t>
      </w:r>
    </w:p>
    <w:p w14:paraId="3D36157B" w14:textId="439E83CD"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8. Analiza kosto-përfitim duhet të përfshijë një analizë ekonomike që mbulon faktorët socio-ekonomik dhe ato mjedisor.</w:t>
      </w:r>
    </w:p>
    <w:p w14:paraId="3F2EAD7E" w14:textId="095E29EE"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9. Analiza kosto-përfitim duhet të përfshijë element</w:t>
      </w:r>
      <w:r w:rsidR="00395486">
        <w:rPr>
          <w:rFonts w:ascii="Garamond" w:hAnsi="Garamond" w:cs="Times New Roman"/>
          <w:color w:val="000000"/>
          <w:sz w:val="24"/>
          <w:szCs w:val="24"/>
        </w:rPr>
        <w:t>e</w:t>
      </w:r>
      <w:r w:rsidRPr="007E449D">
        <w:rPr>
          <w:rFonts w:ascii="Garamond" w:hAnsi="Garamond" w:cs="Times New Roman"/>
          <w:color w:val="000000"/>
          <w:sz w:val="24"/>
          <w:szCs w:val="24"/>
        </w:rPr>
        <w:t>t dhe kërkesat e mëposhtme:</w:t>
      </w:r>
    </w:p>
    <w:p w14:paraId="51CBC5B0" w14:textId="35375CFB"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a) Përcaktimin e </w:t>
      </w:r>
      <w:r w:rsidR="00395486" w:rsidRPr="007E449D">
        <w:rPr>
          <w:rFonts w:ascii="Garamond" w:hAnsi="Garamond" w:cs="Times New Roman"/>
          <w:color w:val="000000"/>
          <w:sz w:val="24"/>
          <w:szCs w:val="24"/>
        </w:rPr>
        <w:t>kufijve</w:t>
      </w:r>
      <w:r w:rsidRPr="007E449D">
        <w:rPr>
          <w:rFonts w:ascii="Garamond" w:hAnsi="Garamond" w:cs="Times New Roman"/>
          <w:color w:val="000000"/>
          <w:sz w:val="24"/>
          <w:szCs w:val="24"/>
        </w:rPr>
        <w:t xml:space="preserve"> të sistemit</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si dhe shtrirjes gjeografike:</w:t>
      </w:r>
    </w:p>
    <w:p w14:paraId="116BC5AF" w14:textId="73217097"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 </w:t>
      </w:r>
      <w:r w:rsidR="00395486">
        <w:rPr>
          <w:rFonts w:ascii="Garamond" w:hAnsi="Garamond" w:cs="Times New Roman"/>
          <w:color w:val="000000"/>
          <w:sz w:val="24"/>
          <w:szCs w:val="24"/>
        </w:rPr>
        <w:t>r</w:t>
      </w:r>
      <w:r w:rsidRPr="007E449D">
        <w:rPr>
          <w:rFonts w:ascii="Garamond" w:hAnsi="Garamond" w:cs="Times New Roman"/>
          <w:color w:val="000000"/>
          <w:sz w:val="24"/>
          <w:szCs w:val="24"/>
        </w:rPr>
        <w:t>ealizimi i analizave kosto-përfitim përcakton sistemin më të përshtatshëm energjetik. Kufiri gjeografik duhet të mbulojë një zonë të përshtatshme gjeografike të mirëpërcaktuar, p.sh.</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një rajon, </w:t>
      </w:r>
      <w:r w:rsidRPr="007E449D">
        <w:rPr>
          <w:rFonts w:ascii="Garamond" w:hAnsi="Garamond" w:cs="Times New Roman"/>
          <w:color w:val="000000"/>
          <w:sz w:val="24"/>
          <w:szCs w:val="24"/>
        </w:rPr>
        <w:lastRenderedPageBreak/>
        <w:t>bashki ose zonë metropolitane të caktuar, me qëllim të shmangies së zgjedhjeve të nënoptimizuara për secilin projekt</w:t>
      </w:r>
      <w:r w:rsidR="00395486">
        <w:rPr>
          <w:rFonts w:ascii="Garamond" w:hAnsi="Garamond" w:cs="Times New Roman"/>
          <w:color w:val="000000"/>
          <w:sz w:val="24"/>
          <w:szCs w:val="24"/>
        </w:rPr>
        <w:t>;</w:t>
      </w:r>
    </w:p>
    <w:p w14:paraId="7AF08D8D" w14:textId="68C77410"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b) Integrimin e mundësive të plotësimit të kërkesës për energji dhe burimeve energjetike:</w:t>
      </w:r>
    </w:p>
    <w:p w14:paraId="79735BC5" w14:textId="15B4B543"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 </w:t>
      </w:r>
      <w:r w:rsidR="00395486">
        <w:rPr>
          <w:rFonts w:ascii="Garamond" w:hAnsi="Garamond" w:cs="Times New Roman"/>
          <w:color w:val="000000"/>
          <w:sz w:val="24"/>
          <w:szCs w:val="24"/>
        </w:rPr>
        <w:t>a</w:t>
      </w:r>
      <w:r w:rsidRPr="007E449D">
        <w:rPr>
          <w:rFonts w:ascii="Garamond" w:hAnsi="Garamond" w:cs="Times New Roman"/>
          <w:color w:val="000000"/>
          <w:sz w:val="24"/>
          <w:szCs w:val="24"/>
        </w:rPr>
        <w:t>naliza kosto-përfitim do të marrë parasysh të gjitha burimet përkatëse të furnizimit në dispozicion brenda sistemit dhe kufirit gjeografik, duke përdorur të dhënat e disponueshme, duke përfshirë nxehtësinë e çliruar nga prodhimi i energjisë elektrike dhe instalimet industriale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dhe energjinë e rinovueshme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si dhe karakteristikat dhe tendencat në kërkesën për ngrohje dhe ftohje</w:t>
      </w:r>
      <w:r w:rsidR="00395486">
        <w:rPr>
          <w:rFonts w:ascii="Garamond" w:hAnsi="Garamond" w:cs="Times New Roman"/>
          <w:color w:val="000000"/>
          <w:sz w:val="24"/>
          <w:szCs w:val="24"/>
        </w:rPr>
        <w:t>;</w:t>
      </w:r>
    </w:p>
    <w:p w14:paraId="3472576F" w14:textId="12D5182B"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c) Përcaktimi i një pike reference;</w:t>
      </w:r>
    </w:p>
    <w:p w14:paraId="55E4DB6C" w14:textId="501730E3"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d) Identifikimi i skenarëve alternativë:</w:t>
      </w:r>
    </w:p>
    <w:p w14:paraId="47C293CD" w14:textId="53A0B6D8"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 </w:t>
      </w:r>
      <w:r w:rsidR="00395486">
        <w:rPr>
          <w:rFonts w:ascii="Garamond" w:hAnsi="Garamond" w:cs="Times New Roman"/>
          <w:color w:val="000000"/>
          <w:sz w:val="24"/>
          <w:szCs w:val="24"/>
        </w:rPr>
        <w:t>t</w:t>
      </w:r>
      <w:r w:rsidRPr="007E449D">
        <w:rPr>
          <w:rFonts w:ascii="Garamond" w:hAnsi="Garamond" w:cs="Times New Roman"/>
          <w:color w:val="000000"/>
          <w:sz w:val="24"/>
          <w:szCs w:val="24"/>
        </w:rPr>
        <w:t>ë gjitha alternativat e përshtatshme respektivisht pikës së referencës duhet të merren parasysh. Skenarët që nuk janë të realizueshëm për arsye teknike, arsye financiare, rregullore kombëtare ose kufizime kohore mund të përjashtohen në një fazë të hershme të analizës kosto-përfitim nëse justifikohen bazuar në konsiderata të kujdesshme, të qarta dhe të mirë dokumentuara;</w:t>
      </w:r>
    </w:p>
    <w:p w14:paraId="0EAD09F3" w14:textId="798F1B72"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 </w:t>
      </w:r>
      <w:r w:rsidR="00395486">
        <w:rPr>
          <w:rFonts w:ascii="Garamond" w:hAnsi="Garamond" w:cs="Times New Roman"/>
          <w:color w:val="000000"/>
          <w:sz w:val="24"/>
          <w:szCs w:val="24"/>
        </w:rPr>
        <w:t>n</w:t>
      </w:r>
      <w:r w:rsidRPr="007E449D">
        <w:rPr>
          <w:rFonts w:ascii="Garamond" w:hAnsi="Garamond" w:cs="Times New Roman"/>
          <w:color w:val="000000"/>
          <w:sz w:val="24"/>
          <w:szCs w:val="24"/>
        </w:rPr>
        <w:t xml:space="preserve">ë analizën kosto-përfitim duhet të merren parasysh vetëm kogjenerimi me efiçencë të lartë, ngrohje dhe ftohje </w:t>
      </w:r>
      <w:r w:rsidR="00395486" w:rsidRPr="007E449D">
        <w:rPr>
          <w:rFonts w:ascii="Garamond" w:hAnsi="Garamond" w:cs="Times New Roman"/>
          <w:color w:val="000000"/>
          <w:sz w:val="24"/>
          <w:szCs w:val="24"/>
        </w:rPr>
        <w:t>qendrore</w:t>
      </w:r>
      <w:r w:rsidRPr="007E449D">
        <w:rPr>
          <w:rFonts w:ascii="Garamond" w:hAnsi="Garamond" w:cs="Times New Roman"/>
          <w:color w:val="000000"/>
          <w:sz w:val="24"/>
          <w:szCs w:val="24"/>
        </w:rPr>
        <w:t xml:space="preserve"> efiçente ose opsione të tjera efiçente të furnizimit me ngrohje dhe ftohje individuale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si skenarë alternativë krahasuar me pikën referencë</w:t>
      </w:r>
      <w:r w:rsidR="00395486">
        <w:rPr>
          <w:rFonts w:ascii="Garamond" w:hAnsi="Garamond" w:cs="Times New Roman"/>
          <w:color w:val="000000"/>
          <w:sz w:val="24"/>
          <w:szCs w:val="24"/>
        </w:rPr>
        <w:t>;</w:t>
      </w:r>
    </w:p>
    <w:p w14:paraId="4374306A" w14:textId="2C127B29"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e) Metoda për llogaritjen e tepricës kosto-përfitim:</w:t>
      </w:r>
    </w:p>
    <w:p w14:paraId="5B72272D" w14:textId="2A390A9D"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 </w:t>
      </w:r>
      <w:r w:rsidR="00395486">
        <w:rPr>
          <w:rFonts w:ascii="Garamond" w:hAnsi="Garamond" w:cs="Times New Roman"/>
          <w:color w:val="000000"/>
          <w:sz w:val="24"/>
          <w:szCs w:val="24"/>
        </w:rPr>
        <w:t>t</w:t>
      </w:r>
      <w:r w:rsidRPr="007E449D">
        <w:rPr>
          <w:rFonts w:ascii="Garamond" w:hAnsi="Garamond" w:cs="Times New Roman"/>
          <w:color w:val="000000"/>
          <w:sz w:val="24"/>
          <w:szCs w:val="24"/>
        </w:rPr>
        <w:t>ë vlerësohen dhe krahasohen kostot dhe përfitimet totale afatgjata të opsioneve të furnizimit me ngrohje ose ftohje;</w:t>
      </w:r>
    </w:p>
    <w:p w14:paraId="4555CCED" w14:textId="118650F7"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 </w:t>
      </w:r>
      <w:r w:rsidR="00395486">
        <w:rPr>
          <w:rFonts w:ascii="Garamond" w:hAnsi="Garamond" w:cs="Times New Roman"/>
          <w:color w:val="000000"/>
          <w:sz w:val="24"/>
          <w:szCs w:val="24"/>
        </w:rPr>
        <w:t>k</w:t>
      </w:r>
      <w:r w:rsidRPr="007E449D">
        <w:rPr>
          <w:rFonts w:ascii="Garamond" w:hAnsi="Garamond" w:cs="Times New Roman"/>
          <w:color w:val="000000"/>
          <w:sz w:val="24"/>
          <w:szCs w:val="24"/>
        </w:rPr>
        <w:t>riteri për vlerësim do të jetë sipas vlerës aktuale neto (NPV);</w:t>
      </w:r>
    </w:p>
    <w:p w14:paraId="07A3894D" w14:textId="4CA23CB5"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iii. </w:t>
      </w:r>
      <w:r w:rsidR="00395486">
        <w:rPr>
          <w:rFonts w:ascii="Garamond" w:hAnsi="Garamond" w:cs="Times New Roman"/>
          <w:color w:val="000000"/>
          <w:sz w:val="24"/>
          <w:szCs w:val="24"/>
        </w:rPr>
        <w:t>j</w:t>
      </w:r>
      <w:r w:rsidRPr="007E449D">
        <w:rPr>
          <w:rFonts w:ascii="Garamond" w:hAnsi="Garamond" w:cs="Times New Roman"/>
          <w:color w:val="000000"/>
          <w:sz w:val="24"/>
          <w:szCs w:val="24"/>
        </w:rPr>
        <w:t xml:space="preserve">etëgjatësia e sistemeve do të zgjidhet në mënyrë të tillë që të përfshihen të gjitha kostot dhe përfitimet përkatëse sipas skenarëve. Për shembull, për një termocentral me gaz, jetëgjatësia e përzgjedhur të mos jetë më shumë se 25 vjet, për një sistem ngrohje–ftohje </w:t>
      </w:r>
      <w:r w:rsidR="00395486" w:rsidRPr="007E449D">
        <w:rPr>
          <w:rFonts w:ascii="Garamond" w:hAnsi="Garamond" w:cs="Times New Roman"/>
          <w:color w:val="000000"/>
          <w:sz w:val="24"/>
          <w:szCs w:val="24"/>
        </w:rPr>
        <w:t>qendrore</w:t>
      </w:r>
      <w:r w:rsidRPr="007E449D">
        <w:rPr>
          <w:rFonts w:ascii="Garamond" w:hAnsi="Garamond" w:cs="Times New Roman"/>
          <w:color w:val="000000"/>
          <w:sz w:val="24"/>
          <w:szCs w:val="24"/>
        </w:rPr>
        <w:t>, jo më shumë se 30 vjet, ose për pajisjet e ngrohjes si kaldaja jo më shumë se 20 vjet</w:t>
      </w:r>
      <w:r w:rsidR="00395486">
        <w:rPr>
          <w:rFonts w:ascii="Garamond" w:hAnsi="Garamond" w:cs="Times New Roman"/>
          <w:color w:val="000000"/>
          <w:sz w:val="24"/>
          <w:szCs w:val="24"/>
        </w:rPr>
        <w:t>;</w:t>
      </w:r>
    </w:p>
    <w:p w14:paraId="7EA845E5" w14:textId="1C43B5CB"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f) Llogaritja dhe parashikimi i çmimeve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si dhe supozime të tjera për analizën ekonomike</w:t>
      </w:r>
      <w:r w:rsidR="00395486">
        <w:rPr>
          <w:rFonts w:ascii="Garamond" w:hAnsi="Garamond" w:cs="Times New Roman"/>
          <w:color w:val="000000"/>
          <w:sz w:val="24"/>
          <w:szCs w:val="24"/>
        </w:rPr>
        <w:t>:</w:t>
      </w:r>
    </w:p>
    <w:p w14:paraId="188E56DC" w14:textId="054325F4"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 </w:t>
      </w:r>
      <w:r w:rsidR="00395486">
        <w:rPr>
          <w:rFonts w:ascii="Garamond" w:hAnsi="Garamond" w:cs="Times New Roman"/>
          <w:color w:val="000000"/>
          <w:sz w:val="24"/>
          <w:szCs w:val="24"/>
        </w:rPr>
        <w:t>a</w:t>
      </w:r>
      <w:r w:rsidRPr="007E449D">
        <w:rPr>
          <w:rFonts w:ascii="Garamond" w:hAnsi="Garamond" w:cs="Times New Roman"/>
          <w:color w:val="000000"/>
          <w:sz w:val="24"/>
          <w:szCs w:val="24"/>
        </w:rPr>
        <w:t>gjencia përgjegjëse për efiçencën e energjisë identifikon çmimet e faktorëve kryesorë që shërbejnë si “inpute” dhe “outpute”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për qëllim të realizimit të analizës kosto-përfitim</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si dhe normën e skontimit;</w:t>
      </w:r>
    </w:p>
    <w:p w14:paraId="27A6E25B" w14:textId="67E6A1C3"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 </w:t>
      </w:r>
      <w:r w:rsidR="00395486">
        <w:rPr>
          <w:rFonts w:ascii="Garamond" w:hAnsi="Garamond" w:cs="Times New Roman"/>
          <w:color w:val="000000"/>
          <w:sz w:val="24"/>
          <w:szCs w:val="24"/>
        </w:rPr>
        <w:t>n</w:t>
      </w:r>
      <w:r w:rsidRPr="007E449D">
        <w:rPr>
          <w:rFonts w:ascii="Garamond" w:hAnsi="Garamond" w:cs="Times New Roman"/>
          <w:color w:val="000000"/>
          <w:sz w:val="24"/>
          <w:szCs w:val="24"/>
        </w:rPr>
        <w:t>orma e skontimit</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e përdorur në analizën ekonomike për llogaritjen e vlerës aktuale neto, do të zgjidhet sipas udhëzimeve kombëtare ose evropiane;</w:t>
      </w:r>
    </w:p>
    <w:p w14:paraId="48468BE2" w14:textId="35063E98"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iii. </w:t>
      </w:r>
      <w:r w:rsidR="00395486">
        <w:rPr>
          <w:rFonts w:ascii="Garamond" w:hAnsi="Garamond" w:cs="Times New Roman"/>
          <w:color w:val="000000"/>
          <w:sz w:val="24"/>
          <w:szCs w:val="24"/>
        </w:rPr>
        <w:t>p</w:t>
      </w:r>
      <w:r w:rsidRPr="007E449D">
        <w:rPr>
          <w:rFonts w:ascii="Garamond" w:hAnsi="Garamond" w:cs="Times New Roman"/>
          <w:color w:val="000000"/>
          <w:sz w:val="24"/>
          <w:szCs w:val="24"/>
        </w:rPr>
        <w:t>ër realizimin e analizës kosto-përfitim do të përdoren parashikimet kombëtare, evropiane ose ndërkombëtare të zhvillimit të çmimeve të energjisë;</w:t>
      </w:r>
    </w:p>
    <w:p w14:paraId="55713A3D" w14:textId="2880A33F"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iv. </w:t>
      </w:r>
      <w:r w:rsidR="00395486" w:rsidRPr="007E449D">
        <w:rPr>
          <w:rFonts w:ascii="Garamond" w:hAnsi="Garamond" w:cs="Times New Roman"/>
          <w:color w:val="000000"/>
          <w:sz w:val="24"/>
          <w:szCs w:val="24"/>
        </w:rPr>
        <w:t>ç</w:t>
      </w:r>
      <w:r w:rsidRPr="007E449D">
        <w:rPr>
          <w:rFonts w:ascii="Garamond" w:hAnsi="Garamond" w:cs="Times New Roman"/>
          <w:color w:val="000000"/>
          <w:sz w:val="24"/>
          <w:szCs w:val="24"/>
        </w:rPr>
        <w:t>mimet e përdorura në analizën ekonomike duhet të pasqyrojnë kostot dhe përfitimet e vërteta socio-ekonomike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dhe duhet të përfshijnë kostot e jashtme, të tilla si efektet mjedisore dhe shëndetësore, për aq sa është e mundur, d.m.th. kur ekziston një çmim tregu ose kur ai tashmë është përfshirë në një rregullore </w:t>
      </w:r>
      <w:r w:rsidR="00395486" w:rsidRPr="007E449D">
        <w:rPr>
          <w:rFonts w:ascii="Garamond" w:hAnsi="Garamond" w:cs="Times New Roman"/>
          <w:color w:val="000000"/>
          <w:sz w:val="24"/>
          <w:szCs w:val="24"/>
        </w:rPr>
        <w:t>kombëtare</w:t>
      </w:r>
      <w:r w:rsidRPr="007E449D">
        <w:rPr>
          <w:rFonts w:ascii="Garamond" w:hAnsi="Garamond" w:cs="Times New Roman"/>
          <w:color w:val="000000"/>
          <w:sz w:val="24"/>
          <w:szCs w:val="24"/>
        </w:rPr>
        <w:t xml:space="preserve"> ose evropiane</w:t>
      </w:r>
      <w:r w:rsidR="00395486">
        <w:rPr>
          <w:rFonts w:ascii="Garamond" w:hAnsi="Garamond" w:cs="Times New Roman"/>
          <w:color w:val="000000"/>
          <w:sz w:val="24"/>
          <w:szCs w:val="24"/>
        </w:rPr>
        <w:t>;</w:t>
      </w:r>
    </w:p>
    <w:p w14:paraId="2831D04A" w14:textId="6A0368EC"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g) Analiza ekonomike: Inventari i efekteve</w:t>
      </w:r>
      <w:r w:rsidR="00395486">
        <w:rPr>
          <w:rFonts w:ascii="Garamond" w:hAnsi="Garamond" w:cs="Times New Roman"/>
          <w:color w:val="000000"/>
          <w:sz w:val="24"/>
          <w:szCs w:val="24"/>
        </w:rPr>
        <w:t>:</w:t>
      </w:r>
    </w:p>
    <w:p w14:paraId="1A105F4E" w14:textId="0016D01C"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 </w:t>
      </w:r>
      <w:r w:rsidR="00395486">
        <w:rPr>
          <w:rFonts w:ascii="Garamond" w:hAnsi="Garamond" w:cs="Times New Roman"/>
          <w:color w:val="000000"/>
          <w:sz w:val="24"/>
          <w:szCs w:val="24"/>
        </w:rPr>
        <w:t>a</w:t>
      </w:r>
      <w:r w:rsidRPr="007E449D">
        <w:rPr>
          <w:rFonts w:ascii="Garamond" w:hAnsi="Garamond" w:cs="Times New Roman"/>
          <w:color w:val="000000"/>
          <w:sz w:val="24"/>
          <w:szCs w:val="24"/>
        </w:rPr>
        <w:t>nalizat ekonomike do të marrin parasysh të gjitha efektet përkatëse ekonomike;</w:t>
      </w:r>
    </w:p>
    <w:p w14:paraId="01250490" w14:textId="601331D2"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 </w:t>
      </w:r>
      <w:r w:rsidR="00395486">
        <w:rPr>
          <w:rFonts w:ascii="Garamond" w:hAnsi="Garamond" w:cs="Times New Roman"/>
          <w:color w:val="000000"/>
          <w:sz w:val="24"/>
          <w:szCs w:val="24"/>
        </w:rPr>
        <w:t>p</w:t>
      </w:r>
      <w:r w:rsidRPr="007E449D">
        <w:rPr>
          <w:rFonts w:ascii="Garamond" w:hAnsi="Garamond" w:cs="Times New Roman"/>
          <w:color w:val="000000"/>
          <w:sz w:val="24"/>
          <w:szCs w:val="24"/>
        </w:rPr>
        <w:t>rocesi i analizës ekonomike duhet të marrë parasysh gjatë vendimmarrjes kostot dhe kursimet e energjisë nga rritja e fleksibilitetit në furnizimin me energji</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dhe nga një funksionim më optimal i rrjeteve të energjisë elektrike, duke përfshirë kostot e shmangura dhe kursimet nga reduktimi i investimeve në infrastrukturë, bazuar në skenarët e analizuar;</w:t>
      </w:r>
    </w:p>
    <w:p w14:paraId="42978CC8" w14:textId="77777777" w:rsidR="001F2F1B" w:rsidRPr="007E449D" w:rsidRDefault="001F2F1B" w:rsidP="001F2F1B">
      <w:pPr>
        <w:autoSpaceDE w:val="0"/>
        <w:autoSpaceDN w:val="0"/>
        <w:adjustRightInd w:val="0"/>
        <w:spacing w:after="0" w:line="310" w:lineRule="atLeast"/>
        <w:ind w:firstLine="284"/>
        <w:jc w:val="both"/>
        <w:rPr>
          <w:rFonts w:ascii="Garamond" w:hAnsi="Garamond" w:cs="Times New Roman"/>
          <w:color w:val="000000"/>
          <w:sz w:val="24"/>
          <w:szCs w:val="24"/>
        </w:rPr>
      </w:pPr>
      <w:r w:rsidRPr="007E449D">
        <w:rPr>
          <w:rFonts w:ascii="Garamond" w:hAnsi="Garamond" w:cs="Times New Roman"/>
          <w:color w:val="000000"/>
          <w:sz w:val="24"/>
          <w:szCs w:val="24"/>
        </w:rPr>
        <w:t>Kostot dhe përfitimet e marra parasysh do të përfshijnë të paktën sa vijon:</w:t>
      </w:r>
    </w:p>
    <w:p w14:paraId="73797A2E" w14:textId="77777777" w:rsidR="001F2F1B" w:rsidRPr="007E449D" w:rsidRDefault="001F2F1B" w:rsidP="001F2F1B">
      <w:pPr>
        <w:autoSpaceDE w:val="0"/>
        <w:autoSpaceDN w:val="0"/>
        <w:adjustRightInd w:val="0"/>
        <w:spacing w:after="0" w:line="310" w:lineRule="atLeast"/>
        <w:ind w:firstLine="284"/>
        <w:jc w:val="both"/>
        <w:rPr>
          <w:rFonts w:ascii="Garamond" w:hAnsi="Garamond" w:cs="Times New Roman"/>
          <w:color w:val="000000"/>
          <w:sz w:val="24"/>
          <w:szCs w:val="24"/>
        </w:rPr>
      </w:pPr>
      <w:r w:rsidRPr="007E449D">
        <w:rPr>
          <w:rFonts w:ascii="Garamond" w:hAnsi="Garamond" w:cs="Times New Roman"/>
          <w:color w:val="000000"/>
          <w:sz w:val="24"/>
          <w:szCs w:val="24"/>
        </w:rPr>
        <w:t>Përfitimet:</w:t>
      </w:r>
    </w:p>
    <w:p w14:paraId="165122FC" w14:textId="5B6B40B7"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 Sasia e prodhimit për konsumatorin (nxehtësia dhe/ose energjia elektrike);</w:t>
      </w:r>
    </w:p>
    <w:p w14:paraId="41B7E328" w14:textId="0534994C"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ii. Përfitime të jashtme, siç janë përfitimet mjedisore dhe shëndetësore, për aq sa është e mundur.</w:t>
      </w:r>
    </w:p>
    <w:p w14:paraId="7483321F" w14:textId="77777777" w:rsidR="001F2F1B" w:rsidRPr="007E449D" w:rsidRDefault="001F2F1B" w:rsidP="001F2F1B">
      <w:pPr>
        <w:autoSpaceDE w:val="0"/>
        <w:autoSpaceDN w:val="0"/>
        <w:adjustRightInd w:val="0"/>
        <w:spacing w:after="0" w:line="310" w:lineRule="atLeast"/>
        <w:ind w:firstLine="284"/>
        <w:jc w:val="both"/>
        <w:rPr>
          <w:rFonts w:ascii="Garamond" w:hAnsi="Garamond" w:cs="Times New Roman"/>
          <w:color w:val="000000"/>
          <w:sz w:val="24"/>
          <w:szCs w:val="24"/>
        </w:rPr>
      </w:pPr>
      <w:r w:rsidRPr="007E449D">
        <w:rPr>
          <w:rFonts w:ascii="Garamond" w:hAnsi="Garamond" w:cs="Times New Roman"/>
          <w:color w:val="000000"/>
          <w:sz w:val="24"/>
          <w:szCs w:val="24"/>
        </w:rPr>
        <w:t>Kostot:</w:t>
      </w:r>
    </w:p>
    <w:p w14:paraId="6826D1C9" w14:textId="4E9773A9"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lastRenderedPageBreak/>
        <w:t xml:space="preserve">i. Kostot kapitale të centraleve ose </w:t>
      </w:r>
      <w:r w:rsidR="00395486" w:rsidRPr="007E449D">
        <w:rPr>
          <w:rFonts w:ascii="Garamond" w:hAnsi="Garamond" w:cs="Times New Roman"/>
          <w:color w:val="000000"/>
          <w:sz w:val="24"/>
          <w:szCs w:val="24"/>
        </w:rPr>
        <w:t>pajisjeve</w:t>
      </w:r>
      <w:r w:rsidRPr="007E449D">
        <w:rPr>
          <w:rFonts w:ascii="Garamond" w:hAnsi="Garamond" w:cs="Times New Roman"/>
          <w:color w:val="000000"/>
          <w:sz w:val="24"/>
          <w:szCs w:val="24"/>
        </w:rPr>
        <w:t>;</w:t>
      </w:r>
    </w:p>
    <w:p w14:paraId="344AF60B" w14:textId="42F89771"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ii. Kostot kapitale për zhvillimin e rrjetit energjetik;</w:t>
      </w:r>
    </w:p>
    <w:p w14:paraId="3ACDDEA9" w14:textId="24604A43"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iii. Kostot operacionale fikse dhe variabël;</w:t>
      </w:r>
    </w:p>
    <w:p w14:paraId="06E3CAFF" w14:textId="33DD6B5E"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iv. Kostot e energjisë;</w:t>
      </w:r>
    </w:p>
    <w:p w14:paraId="6BEF44B1" w14:textId="77387386"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v. Kostot mjedisore dhe shëndetësore, për aq sa është e mundur</w:t>
      </w:r>
      <w:r w:rsidR="00395486">
        <w:rPr>
          <w:rFonts w:ascii="Garamond" w:hAnsi="Garamond" w:cs="Times New Roman"/>
          <w:color w:val="000000"/>
          <w:sz w:val="24"/>
          <w:szCs w:val="24"/>
        </w:rPr>
        <w:t>;</w:t>
      </w:r>
    </w:p>
    <w:p w14:paraId="7550C58A" w14:textId="7C5818B7"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h) Analiza e ndjeshmërisë:</w:t>
      </w:r>
    </w:p>
    <w:p w14:paraId="36B73BF7" w14:textId="714242DA"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 </w:t>
      </w:r>
      <w:r w:rsidR="00395486">
        <w:rPr>
          <w:rFonts w:ascii="Garamond" w:hAnsi="Garamond" w:cs="Times New Roman"/>
          <w:color w:val="000000"/>
          <w:sz w:val="24"/>
          <w:szCs w:val="24"/>
        </w:rPr>
        <w:t>n</w:t>
      </w:r>
      <w:r w:rsidRPr="007E449D">
        <w:rPr>
          <w:rFonts w:ascii="Garamond" w:hAnsi="Garamond" w:cs="Times New Roman"/>
          <w:color w:val="000000"/>
          <w:sz w:val="24"/>
          <w:szCs w:val="24"/>
        </w:rPr>
        <w:t>jë analizë e ndjeshmërisë do të përfshihet për të vlerësuar kostot dhe përfitimet e një projekti ose grupi projektesh bazuar në çmime të ndryshme të energjisë, norma skontimi dhe faktorë të tjerë të ndryshueshëm që kanë një ndikim të rëndësishëm në rezultatin e llogaritjeve.</w:t>
      </w:r>
    </w:p>
    <w:p w14:paraId="2246E810" w14:textId="160BA3D4"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10. Agjencia përgjegjëse për efiçencën e energjisë dërgon studimin e përgatitur tek ministria përgjegjëse për energjinë</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brenda 12 muajve nga hyrja në fuqi e këtij udhëzimi.</w:t>
      </w:r>
    </w:p>
    <w:p w14:paraId="087D62B7" w14:textId="601F1B05"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11. Ngarkohet agjencia përgjegjëse për efiçencën e energjisë për zbatimin e këtij udhëzimi.</w:t>
      </w:r>
    </w:p>
    <w:p w14:paraId="4D40AB92" w14:textId="77777777" w:rsidR="001F2F1B" w:rsidRPr="007E449D" w:rsidRDefault="001F2F1B" w:rsidP="001F2F1B">
      <w:pPr>
        <w:autoSpaceDE w:val="0"/>
        <w:autoSpaceDN w:val="0"/>
        <w:adjustRightInd w:val="0"/>
        <w:spacing w:after="0" w:line="310" w:lineRule="atLeast"/>
        <w:ind w:firstLine="284"/>
        <w:jc w:val="both"/>
        <w:rPr>
          <w:rFonts w:ascii="Garamond" w:hAnsi="Garamond" w:cs="Times New Roman"/>
          <w:color w:val="000000"/>
          <w:sz w:val="24"/>
          <w:szCs w:val="24"/>
        </w:rPr>
      </w:pPr>
      <w:r w:rsidRPr="007E449D">
        <w:rPr>
          <w:rFonts w:ascii="Garamond" w:hAnsi="Garamond" w:cs="Times New Roman"/>
          <w:color w:val="000000"/>
          <w:sz w:val="24"/>
          <w:szCs w:val="24"/>
        </w:rPr>
        <w:t>Ky udhëzim hyn në fuqi pas botimit në Fletoren Zyrtare.</w:t>
      </w:r>
    </w:p>
    <w:p w14:paraId="4502D682" w14:textId="77777777" w:rsidR="001F2F1B" w:rsidRPr="007E449D" w:rsidRDefault="001F2F1B" w:rsidP="001F2F1B">
      <w:pPr>
        <w:autoSpaceDE w:val="0"/>
        <w:autoSpaceDN w:val="0"/>
        <w:adjustRightInd w:val="0"/>
        <w:spacing w:after="0" w:line="310" w:lineRule="atLeast"/>
        <w:ind w:firstLine="284"/>
        <w:jc w:val="both"/>
        <w:rPr>
          <w:rFonts w:ascii="Garamond" w:hAnsi="Garamond" w:cs="Times New Roman"/>
          <w:color w:val="000000"/>
          <w:sz w:val="24"/>
          <w:szCs w:val="24"/>
        </w:rPr>
      </w:pPr>
    </w:p>
    <w:p w14:paraId="18EC043C" w14:textId="77777777" w:rsidR="001F2F1B" w:rsidRPr="007E449D" w:rsidRDefault="001F2F1B" w:rsidP="001F2F1B">
      <w:pPr>
        <w:autoSpaceDE w:val="0"/>
        <w:autoSpaceDN w:val="0"/>
        <w:adjustRightInd w:val="0"/>
        <w:spacing w:after="0" w:line="310" w:lineRule="atLeast"/>
        <w:ind w:firstLine="284"/>
        <w:jc w:val="right"/>
        <w:rPr>
          <w:rFonts w:ascii="Garamond" w:hAnsi="Garamond" w:cs="Times New Roman"/>
          <w:color w:val="000000"/>
          <w:sz w:val="24"/>
          <w:szCs w:val="24"/>
        </w:rPr>
      </w:pPr>
      <w:r w:rsidRPr="007E449D">
        <w:rPr>
          <w:rFonts w:ascii="Garamond" w:hAnsi="Garamond" w:cs="Times New Roman"/>
          <w:color w:val="000000"/>
          <w:sz w:val="24"/>
          <w:szCs w:val="24"/>
        </w:rPr>
        <w:t>ZËVENDËSKRYEMINISTËR</w:t>
      </w:r>
    </w:p>
    <w:p w14:paraId="757C2BDE" w14:textId="5798AE97" w:rsidR="001F2F1B" w:rsidRPr="007E449D" w:rsidRDefault="001F2F1B" w:rsidP="001F2F1B">
      <w:pPr>
        <w:autoSpaceDE w:val="0"/>
        <w:autoSpaceDN w:val="0"/>
        <w:adjustRightInd w:val="0"/>
        <w:spacing w:after="0" w:line="310" w:lineRule="atLeast"/>
        <w:ind w:firstLine="284"/>
        <w:jc w:val="right"/>
        <w:rPr>
          <w:rFonts w:ascii="Garamond" w:hAnsi="Garamond" w:cs="Times New Roman"/>
          <w:color w:val="000000"/>
          <w:sz w:val="24"/>
          <w:szCs w:val="24"/>
        </w:rPr>
      </w:pPr>
      <w:r w:rsidRPr="007E449D">
        <w:rPr>
          <w:rFonts w:ascii="Garamond" w:hAnsi="Garamond" w:cs="Times New Roman"/>
          <w:color w:val="000000"/>
          <w:sz w:val="24"/>
          <w:szCs w:val="24"/>
        </w:rPr>
        <w:t>DHE</w:t>
      </w:r>
      <w:r w:rsidR="00395486">
        <w:rPr>
          <w:rFonts w:ascii="Garamond" w:hAnsi="Garamond" w:cs="Times New Roman"/>
          <w:color w:val="000000"/>
          <w:sz w:val="24"/>
          <w:szCs w:val="24"/>
        </w:rPr>
        <w:t xml:space="preserve"> </w:t>
      </w:r>
      <w:r w:rsidRPr="007E449D">
        <w:rPr>
          <w:rFonts w:ascii="Garamond" w:hAnsi="Garamond" w:cs="Times New Roman"/>
          <w:bCs/>
          <w:color w:val="000000"/>
          <w:sz w:val="24"/>
          <w:szCs w:val="24"/>
        </w:rPr>
        <w:t xml:space="preserve">MINISTËR I INFRASTRUKTURËS </w:t>
      </w:r>
    </w:p>
    <w:p w14:paraId="37ABDAC9" w14:textId="77777777" w:rsidR="001F2F1B" w:rsidRPr="007E449D" w:rsidRDefault="001F2F1B" w:rsidP="001F2F1B">
      <w:pPr>
        <w:autoSpaceDE w:val="0"/>
        <w:autoSpaceDN w:val="0"/>
        <w:adjustRightInd w:val="0"/>
        <w:spacing w:after="0" w:line="310" w:lineRule="atLeast"/>
        <w:ind w:firstLine="284"/>
        <w:jc w:val="right"/>
        <w:rPr>
          <w:rFonts w:ascii="Garamond" w:hAnsi="Garamond" w:cs="Times New Roman"/>
          <w:bCs/>
          <w:color w:val="000000"/>
          <w:sz w:val="24"/>
          <w:szCs w:val="24"/>
        </w:rPr>
      </w:pPr>
      <w:r w:rsidRPr="007E449D">
        <w:rPr>
          <w:rFonts w:ascii="Garamond" w:hAnsi="Garamond" w:cs="Times New Roman"/>
          <w:bCs/>
          <w:color w:val="000000"/>
          <w:sz w:val="24"/>
          <w:szCs w:val="24"/>
        </w:rPr>
        <w:t>DHE ENERGJISË</w:t>
      </w:r>
    </w:p>
    <w:p w14:paraId="56F523AA" w14:textId="77777777" w:rsidR="001F2F1B" w:rsidRPr="007E449D" w:rsidRDefault="001F2F1B" w:rsidP="001F2F1B">
      <w:pPr>
        <w:tabs>
          <w:tab w:val="left" w:pos="1080"/>
        </w:tabs>
        <w:autoSpaceDE w:val="0"/>
        <w:autoSpaceDN w:val="0"/>
        <w:adjustRightInd w:val="0"/>
        <w:spacing w:after="0" w:line="310" w:lineRule="atLeast"/>
        <w:ind w:firstLine="284"/>
        <w:jc w:val="right"/>
        <w:rPr>
          <w:rFonts w:ascii="Garamond" w:hAnsi="Garamond" w:cs="Times New Roman"/>
          <w:b/>
          <w:bCs/>
          <w:color w:val="000000"/>
          <w:sz w:val="24"/>
          <w:szCs w:val="24"/>
        </w:rPr>
      </w:pPr>
      <w:r w:rsidRPr="007E449D">
        <w:rPr>
          <w:rFonts w:ascii="Garamond" w:hAnsi="Garamond" w:cs="Times New Roman"/>
          <w:b/>
          <w:bCs/>
          <w:color w:val="000000"/>
          <w:sz w:val="24"/>
          <w:szCs w:val="24"/>
        </w:rPr>
        <w:t>Belinda Balluku</w:t>
      </w:r>
    </w:p>
    <w:p w14:paraId="15661803" w14:textId="77777777" w:rsidR="001F2F1B" w:rsidRPr="007E449D" w:rsidRDefault="001F2F1B" w:rsidP="001F2F1B">
      <w:pPr>
        <w:autoSpaceDE w:val="0"/>
        <w:autoSpaceDN w:val="0"/>
        <w:adjustRightInd w:val="0"/>
        <w:spacing w:after="0" w:line="310" w:lineRule="atLeast"/>
        <w:ind w:firstLine="284"/>
        <w:rPr>
          <w:rFonts w:ascii="Garamond" w:hAnsi="Garamond" w:cs="Times New Roman"/>
          <w:color w:val="000000"/>
          <w:sz w:val="24"/>
          <w:szCs w:val="24"/>
        </w:rPr>
      </w:pPr>
    </w:p>
    <w:p w14:paraId="5E4D1DE7"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color w:val="000000"/>
          <w:sz w:val="24"/>
          <w:szCs w:val="24"/>
        </w:rPr>
      </w:pPr>
      <w:r w:rsidRPr="007E449D">
        <w:rPr>
          <w:rFonts w:ascii="Garamond" w:hAnsi="Garamond" w:cs="Times New Roman"/>
          <w:color w:val="000000"/>
          <w:sz w:val="24"/>
          <w:szCs w:val="24"/>
        </w:rPr>
        <w:t>SHTOJCA I</w:t>
      </w:r>
    </w:p>
    <w:p w14:paraId="4F811D14"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color w:val="000000"/>
          <w:sz w:val="24"/>
          <w:szCs w:val="24"/>
        </w:rPr>
      </w:pPr>
      <w:r w:rsidRPr="007E449D">
        <w:rPr>
          <w:rFonts w:ascii="Garamond" w:hAnsi="Garamond" w:cs="Times New Roman"/>
          <w:color w:val="000000"/>
          <w:sz w:val="24"/>
          <w:szCs w:val="24"/>
        </w:rPr>
        <w:t>PARIMET E PËRGJITHSHME PËR LLOGARITJEN E ENERGJISË ELEKTRIKE NGA KOGJENERIMI</w:t>
      </w:r>
    </w:p>
    <w:p w14:paraId="27457344"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b/>
          <w:bCs/>
          <w:color w:val="000000"/>
          <w:sz w:val="24"/>
          <w:szCs w:val="24"/>
        </w:rPr>
      </w:pPr>
    </w:p>
    <w:p w14:paraId="2E63B9DE" w14:textId="0FFB661E"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1. Vlerat e përdorura për llogaritjen e energjisë elektrike nga kogjenerimi përcaktohen në bazë të operimit të prirur apo aktual të njësisë në kushte normale përdorimi. Për njësi të mikro-kogjenerimit, llogaritja mund të bazohet në vlera të </w:t>
      </w:r>
      <w:r w:rsidR="00395486" w:rsidRPr="007E449D">
        <w:rPr>
          <w:rFonts w:ascii="Garamond" w:hAnsi="Garamond" w:cs="Times New Roman"/>
          <w:color w:val="000000"/>
          <w:sz w:val="24"/>
          <w:szCs w:val="24"/>
        </w:rPr>
        <w:t>certifikuara</w:t>
      </w:r>
      <w:r w:rsidRPr="007E449D">
        <w:rPr>
          <w:rFonts w:ascii="Garamond" w:hAnsi="Garamond" w:cs="Times New Roman"/>
          <w:color w:val="000000"/>
          <w:sz w:val="24"/>
          <w:szCs w:val="24"/>
        </w:rPr>
        <w:t>.</w:t>
      </w:r>
    </w:p>
    <w:p w14:paraId="42DE3C09" w14:textId="01067040"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a) Prodhimi i energjisë elektrike nga kogjenerimi konsiderohet i barabartë me totalin e prodhimit vjetor të energjisë elektrike të njësisë së matur në dalje të gjeneratorëve kryesorë;</w:t>
      </w:r>
    </w:p>
    <w:p w14:paraId="62B1FC8F" w14:textId="3B4170D4"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 në njësitë e kogjenerimit të llojeve </w:t>
      </w:r>
      <w:r w:rsidR="00395486">
        <w:rPr>
          <w:rFonts w:ascii="Garamond" w:hAnsi="Garamond" w:cs="Times New Roman"/>
          <w:color w:val="000000"/>
          <w:sz w:val="24"/>
          <w:szCs w:val="24"/>
        </w:rPr>
        <w:t>“</w:t>
      </w:r>
      <w:r w:rsidRPr="007E449D">
        <w:rPr>
          <w:rFonts w:ascii="Garamond" w:hAnsi="Garamond" w:cs="Times New Roman"/>
          <w:color w:val="000000"/>
          <w:sz w:val="24"/>
          <w:szCs w:val="24"/>
        </w:rPr>
        <w:t>b</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395486">
        <w:rPr>
          <w:rFonts w:ascii="Garamond" w:hAnsi="Garamond" w:cs="Times New Roman"/>
          <w:color w:val="000000"/>
          <w:sz w:val="24"/>
          <w:szCs w:val="24"/>
        </w:rPr>
        <w:t>“</w:t>
      </w:r>
      <w:r w:rsidRPr="007E449D">
        <w:rPr>
          <w:rFonts w:ascii="Garamond" w:hAnsi="Garamond" w:cs="Times New Roman"/>
          <w:color w:val="000000"/>
          <w:sz w:val="24"/>
          <w:szCs w:val="24"/>
        </w:rPr>
        <w:t>d</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395486">
        <w:rPr>
          <w:rFonts w:ascii="Garamond" w:hAnsi="Garamond" w:cs="Times New Roman"/>
          <w:color w:val="000000"/>
          <w:sz w:val="24"/>
          <w:szCs w:val="24"/>
        </w:rPr>
        <w:t>“</w:t>
      </w:r>
      <w:r w:rsidRPr="007E449D">
        <w:rPr>
          <w:rFonts w:ascii="Garamond" w:hAnsi="Garamond" w:cs="Times New Roman"/>
          <w:color w:val="000000"/>
          <w:sz w:val="24"/>
          <w:szCs w:val="24"/>
        </w:rPr>
        <w:t>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395486">
        <w:rPr>
          <w:rFonts w:ascii="Garamond" w:hAnsi="Garamond" w:cs="Times New Roman"/>
          <w:color w:val="000000"/>
          <w:sz w:val="24"/>
          <w:szCs w:val="24"/>
        </w:rPr>
        <w:t>‘</w:t>
      </w:r>
      <w:r w:rsidRPr="007E449D">
        <w:rPr>
          <w:rFonts w:ascii="Garamond" w:hAnsi="Garamond" w:cs="Times New Roman"/>
          <w:color w:val="000000"/>
          <w:sz w:val="24"/>
          <w:szCs w:val="24"/>
        </w:rPr>
        <w:t>f</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395486">
        <w:rPr>
          <w:rFonts w:ascii="Garamond" w:hAnsi="Garamond" w:cs="Times New Roman"/>
          <w:color w:val="000000"/>
          <w:sz w:val="24"/>
          <w:szCs w:val="24"/>
        </w:rPr>
        <w:t>“</w:t>
      </w:r>
      <w:r w:rsidRPr="007E449D">
        <w:rPr>
          <w:rFonts w:ascii="Garamond" w:hAnsi="Garamond" w:cs="Times New Roman"/>
          <w:color w:val="000000"/>
          <w:sz w:val="24"/>
          <w:szCs w:val="24"/>
        </w:rPr>
        <w:t>g</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dhe </w:t>
      </w:r>
      <w:r w:rsidR="00395486">
        <w:rPr>
          <w:rFonts w:ascii="Garamond" w:hAnsi="Garamond" w:cs="Times New Roman"/>
          <w:color w:val="000000"/>
          <w:sz w:val="24"/>
          <w:szCs w:val="24"/>
        </w:rPr>
        <w:t>“</w:t>
      </w:r>
      <w:r w:rsidRPr="007E449D">
        <w:rPr>
          <w:rFonts w:ascii="Garamond" w:hAnsi="Garamond" w:cs="Times New Roman"/>
          <w:color w:val="000000"/>
          <w:sz w:val="24"/>
          <w:szCs w:val="24"/>
        </w:rPr>
        <w:t>h</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referuar në pikën 2 të kësaj shtojce me efiçencë të përgjithshme vjetore në një nivel prej së paku 75%</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dhe</w:t>
      </w:r>
      <w:r w:rsidR="009C4864">
        <w:rPr>
          <w:rFonts w:ascii="Garamond" w:hAnsi="Garamond" w:cs="Times New Roman"/>
          <w:color w:val="000000"/>
          <w:sz w:val="24"/>
          <w:szCs w:val="24"/>
        </w:rPr>
        <w:t xml:space="preserve"> </w:t>
      </w:r>
    </w:p>
    <w:p w14:paraId="6132EB3D" w14:textId="32C0755B"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ii. në njësitë e kogjenerimit të llojeve </w:t>
      </w:r>
      <w:r w:rsidR="00395486">
        <w:rPr>
          <w:rFonts w:ascii="Garamond" w:hAnsi="Garamond" w:cs="Times New Roman"/>
          <w:color w:val="000000"/>
          <w:sz w:val="24"/>
          <w:szCs w:val="24"/>
        </w:rPr>
        <w:t>“</w:t>
      </w:r>
      <w:r w:rsidRPr="007E449D">
        <w:rPr>
          <w:rFonts w:ascii="Garamond" w:hAnsi="Garamond" w:cs="Times New Roman"/>
          <w:color w:val="000000"/>
          <w:sz w:val="24"/>
          <w:szCs w:val="24"/>
        </w:rPr>
        <w:t>a</w:t>
      </w:r>
      <w:r w:rsidR="00395486">
        <w:rPr>
          <w:rFonts w:ascii="Garamond" w:hAnsi="Garamond" w:cs="Times New Roman"/>
          <w:color w:val="000000"/>
          <w:sz w:val="24"/>
          <w:szCs w:val="24"/>
        </w:rPr>
        <w:t xml:space="preserve">” </w:t>
      </w:r>
      <w:r w:rsidRPr="007E449D">
        <w:rPr>
          <w:rFonts w:ascii="Garamond" w:hAnsi="Garamond" w:cs="Times New Roman"/>
          <w:color w:val="000000"/>
          <w:sz w:val="24"/>
          <w:szCs w:val="24"/>
        </w:rPr>
        <w:t xml:space="preserve">dhe </w:t>
      </w:r>
      <w:r w:rsidR="00395486">
        <w:rPr>
          <w:rFonts w:ascii="Garamond" w:hAnsi="Garamond" w:cs="Times New Roman"/>
          <w:color w:val="000000"/>
          <w:sz w:val="24"/>
          <w:szCs w:val="24"/>
        </w:rPr>
        <w:t>“</w:t>
      </w:r>
      <w:r w:rsidRPr="007E449D">
        <w:rPr>
          <w:rFonts w:ascii="Garamond" w:hAnsi="Garamond" w:cs="Times New Roman"/>
          <w:color w:val="000000"/>
          <w:sz w:val="24"/>
          <w:szCs w:val="24"/>
        </w:rPr>
        <w:t>c</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referuar në pikën 2 të kësaj shtojce</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me efiçencë të përgjithshme vjetore në një nivel prej së paku 80%.</w:t>
      </w:r>
    </w:p>
    <w:p w14:paraId="79777593" w14:textId="3B577A2A"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b) Në njësitë e kogjenerimit me efiçencë të përgjithshme vjetore nën vlerën e referuar në pikën </w:t>
      </w:r>
      <w:r w:rsidR="00395486">
        <w:rPr>
          <w:rFonts w:ascii="Garamond" w:hAnsi="Garamond" w:cs="Times New Roman"/>
          <w:color w:val="000000"/>
          <w:sz w:val="24"/>
          <w:szCs w:val="24"/>
        </w:rPr>
        <w:t>“</w:t>
      </w:r>
      <w:r w:rsidRPr="007E449D">
        <w:rPr>
          <w:rFonts w:ascii="Garamond" w:hAnsi="Garamond" w:cs="Times New Roman"/>
          <w:color w:val="000000"/>
          <w:sz w:val="24"/>
          <w:szCs w:val="24"/>
        </w:rPr>
        <w:t>i</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të pikës </w:t>
      </w:r>
      <w:r w:rsidR="00395486">
        <w:rPr>
          <w:rFonts w:ascii="Garamond" w:hAnsi="Garamond" w:cs="Times New Roman"/>
          <w:color w:val="000000"/>
          <w:sz w:val="24"/>
          <w:szCs w:val="24"/>
        </w:rPr>
        <w:t>“</w:t>
      </w:r>
      <w:r w:rsidRPr="007E449D">
        <w:rPr>
          <w:rFonts w:ascii="Garamond" w:hAnsi="Garamond" w:cs="Times New Roman"/>
          <w:color w:val="000000"/>
          <w:sz w:val="24"/>
          <w:szCs w:val="24"/>
        </w:rPr>
        <w:t>a</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ose me një efiçencë të </w:t>
      </w:r>
      <w:r w:rsidR="00395486" w:rsidRPr="007E449D">
        <w:rPr>
          <w:rFonts w:ascii="Garamond" w:hAnsi="Garamond" w:cs="Times New Roman"/>
          <w:color w:val="000000"/>
          <w:sz w:val="24"/>
          <w:szCs w:val="24"/>
        </w:rPr>
        <w:t>përgjithshme</w:t>
      </w:r>
      <w:r w:rsidRPr="007E449D">
        <w:rPr>
          <w:rFonts w:ascii="Garamond" w:hAnsi="Garamond" w:cs="Times New Roman"/>
          <w:color w:val="000000"/>
          <w:sz w:val="24"/>
          <w:szCs w:val="24"/>
        </w:rPr>
        <w:t xml:space="preserve"> vjetore nën vlerën e referuar në pikën </w:t>
      </w:r>
      <w:r w:rsidR="00395486">
        <w:rPr>
          <w:rFonts w:ascii="Garamond" w:hAnsi="Garamond" w:cs="Times New Roman"/>
          <w:color w:val="000000"/>
          <w:sz w:val="24"/>
          <w:szCs w:val="24"/>
        </w:rPr>
        <w:t>“</w:t>
      </w:r>
      <w:r w:rsidRPr="007E449D">
        <w:rPr>
          <w:rFonts w:ascii="Garamond" w:hAnsi="Garamond" w:cs="Times New Roman"/>
          <w:color w:val="000000"/>
          <w:sz w:val="24"/>
          <w:szCs w:val="24"/>
        </w:rPr>
        <w:t>ii</w:t>
      </w:r>
      <w:r w:rsidR="00395486">
        <w:rPr>
          <w:rFonts w:ascii="Garamond" w:hAnsi="Garamond" w:cs="Times New Roman"/>
          <w:color w:val="000000"/>
          <w:sz w:val="24"/>
          <w:szCs w:val="24"/>
        </w:rPr>
        <w:t>”,</w:t>
      </w:r>
      <w:r w:rsidRPr="007E449D">
        <w:rPr>
          <w:rFonts w:ascii="Garamond" w:hAnsi="Garamond" w:cs="Times New Roman"/>
          <w:color w:val="000000"/>
          <w:sz w:val="24"/>
          <w:szCs w:val="24"/>
        </w:rPr>
        <w:t xml:space="preserve"> të pikës </w:t>
      </w:r>
      <w:r w:rsidR="00395486">
        <w:rPr>
          <w:rFonts w:ascii="Garamond" w:hAnsi="Garamond" w:cs="Times New Roman"/>
          <w:color w:val="000000"/>
          <w:sz w:val="24"/>
          <w:szCs w:val="24"/>
        </w:rPr>
        <w:t>“</w:t>
      </w:r>
      <w:r w:rsidRPr="007E449D">
        <w:rPr>
          <w:rFonts w:ascii="Garamond" w:hAnsi="Garamond" w:cs="Times New Roman"/>
          <w:color w:val="000000"/>
          <w:sz w:val="24"/>
          <w:szCs w:val="24"/>
        </w:rPr>
        <w:t>a</w:t>
      </w:r>
      <w:r w:rsidR="00395486">
        <w:rPr>
          <w:rFonts w:ascii="Garamond" w:hAnsi="Garamond" w:cs="Times New Roman"/>
          <w:color w:val="000000"/>
          <w:sz w:val="24"/>
          <w:szCs w:val="24"/>
        </w:rPr>
        <w:t>”</w:t>
      </w:r>
      <w:r w:rsidRPr="007E449D">
        <w:rPr>
          <w:rFonts w:ascii="Garamond" w:hAnsi="Garamond" w:cs="Times New Roman"/>
          <w:color w:val="000000"/>
          <w:sz w:val="24"/>
          <w:szCs w:val="24"/>
        </w:rPr>
        <w:t>, kogjenerimi llogaritet sipas formulës në vijim:</w:t>
      </w:r>
    </w:p>
    <w:p w14:paraId="5358600D" w14:textId="77777777" w:rsidR="00EF3716" w:rsidRPr="007E449D" w:rsidRDefault="00EF3716" w:rsidP="001F2F1B">
      <w:pPr>
        <w:autoSpaceDE w:val="0"/>
        <w:autoSpaceDN w:val="0"/>
        <w:adjustRightInd w:val="0"/>
        <w:spacing w:after="0" w:line="240" w:lineRule="auto"/>
        <w:ind w:firstLine="284"/>
        <w:jc w:val="both"/>
        <w:rPr>
          <w:rFonts w:ascii="Garamond" w:hAnsi="Garamond" w:cs="Times New Roman"/>
          <w:color w:val="000000"/>
          <w:sz w:val="24"/>
          <w:szCs w:val="24"/>
        </w:rPr>
      </w:pPr>
    </w:p>
    <w:p w14:paraId="5D67BED1" w14:textId="25F67FCA" w:rsidR="00EF3716" w:rsidRPr="007E449D" w:rsidRDefault="00EF3716" w:rsidP="00395486">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E</w:t>
      </w:r>
      <w:r w:rsidRPr="007E449D">
        <w:rPr>
          <w:rFonts w:ascii="Garamond" w:hAnsi="Garamond" w:cs="Times New Roman"/>
          <w:i/>
          <w:color w:val="000000"/>
          <w:sz w:val="24"/>
          <w:szCs w:val="24"/>
          <w:vertAlign w:val="subscript"/>
        </w:rPr>
        <w:t>CHP</w:t>
      </w:r>
      <w:r w:rsidRPr="007E449D">
        <w:rPr>
          <w:rFonts w:ascii="Garamond" w:hAnsi="Garamond" w:cs="Times New Roman"/>
          <w:color w:val="000000"/>
          <w:sz w:val="24"/>
          <w:szCs w:val="24"/>
        </w:rPr>
        <w:t xml:space="preserve"> =H</w:t>
      </w:r>
      <w:r w:rsidRPr="007E449D">
        <w:rPr>
          <w:rFonts w:ascii="Garamond" w:hAnsi="Garamond" w:cs="Times New Roman"/>
          <w:i/>
          <w:color w:val="000000"/>
          <w:sz w:val="24"/>
          <w:szCs w:val="24"/>
          <w:vertAlign w:val="subscript"/>
        </w:rPr>
        <w:t>CHP</w:t>
      </w:r>
      <w:r w:rsidRPr="007E449D">
        <w:rPr>
          <w:rFonts w:ascii="Garamond" w:hAnsi="Garamond" w:cs="Times New Roman"/>
          <w:color w:val="000000"/>
          <w:sz w:val="24"/>
          <w:szCs w:val="24"/>
        </w:rPr>
        <w:t xml:space="preserve"> * </w:t>
      </w:r>
      <w:r w:rsidRPr="007E449D">
        <w:rPr>
          <w:rFonts w:ascii="Garamond" w:hAnsi="Garamond" w:cs="Times New Roman"/>
          <w:i/>
          <w:color w:val="000000"/>
          <w:sz w:val="24"/>
          <w:szCs w:val="24"/>
        </w:rPr>
        <w:t>C</w:t>
      </w:r>
    </w:p>
    <w:p w14:paraId="4BD5E062" w14:textId="06BEB664" w:rsidR="001F2F1B" w:rsidRPr="007E449D" w:rsidRDefault="001F2F1B" w:rsidP="00EF3716">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ku:</w:t>
      </w:r>
    </w:p>
    <w:p w14:paraId="670DDD13" w14:textId="7010435F" w:rsidR="001F2F1B" w:rsidRPr="007E449D" w:rsidRDefault="00EF3716" w:rsidP="00EF3716">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E</w:t>
      </w:r>
      <w:r w:rsidRPr="007E449D">
        <w:rPr>
          <w:rFonts w:ascii="Garamond" w:hAnsi="Garamond" w:cs="Times New Roman"/>
          <w:i/>
          <w:color w:val="000000"/>
          <w:sz w:val="24"/>
          <w:szCs w:val="24"/>
          <w:vertAlign w:val="subscript"/>
        </w:rPr>
        <w:t>CHP</w:t>
      </w:r>
      <w:r w:rsidR="001F2F1B" w:rsidRPr="007E449D">
        <w:rPr>
          <w:rFonts w:ascii="Garamond" w:hAnsi="Garamond" w:cs="Times New Roman"/>
          <w:color w:val="000000"/>
          <w:sz w:val="24"/>
          <w:szCs w:val="24"/>
        </w:rPr>
        <w:t xml:space="preserve"> – është sasia e energjisë elektrike nga kogjenerimi;</w:t>
      </w:r>
    </w:p>
    <w:p w14:paraId="19E71B10" w14:textId="24A2A592" w:rsidR="001F2F1B" w:rsidRPr="007E449D" w:rsidRDefault="00EF3716" w:rsidP="00EF3716">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C</w:t>
      </w:r>
      <w:r w:rsidR="001F2F1B" w:rsidRPr="007E449D">
        <w:rPr>
          <w:rFonts w:ascii="Garamond" w:hAnsi="Garamond" w:cs="Times New Roman"/>
          <w:color w:val="000000"/>
          <w:sz w:val="24"/>
          <w:szCs w:val="24"/>
        </w:rPr>
        <w:t xml:space="preserve"> – është raporti energji elektrike</w:t>
      </w:r>
      <w:r w:rsidR="00395486">
        <w:rPr>
          <w:rFonts w:ascii="Garamond" w:hAnsi="Garamond" w:cs="Times New Roman"/>
          <w:color w:val="000000"/>
          <w:sz w:val="24"/>
          <w:szCs w:val="24"/>
        </w:rPr>
        <w:t>–</w:t>
      </w:r>
      <w:r w:rsidR="001F2F1B" w:rsidRPr="007E449D">
        <w:rPr>
          <w:rFonts w:ascii="Garamond" w:hAnsi="Garamond" w:cs="Times New Roman"/>
          <w:color w:val="000000"/>
          <w:sz w:val="24"/>
          <w:szCs w:val="24"/>
        </w:rPr>
        <w:t>nxehtësi;</w:t>
      </w:r>
    </w:p>
    <w:p w14:paraId="520603A3" w14:textId="69E7F160" w:rsidR="001F2F1B" w:rsidRPr="007E449D" w:rsidRDefault="00EF3716" w:rsidP="00EF3716">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H</w:t>
      </w:r>
      <w:r w:rsidRPr="007E449D">
        <w:rPr>
          <w:rFonts w:ascii="Garamond" w:hAnsi="Garamond" w:cs="Times New Roman"/>
          <w:i/>
          <w:color w:val="000000"/>
          <w:sz w:val="24"/>
          <w:szCs w:val="24"/>
          <w:vertAlign w:val="subscript"/>
        </w:rPr>
        <w:t>CHP</w:t>
      </w:r>
      <w:r w:rsidR="001F2F1B" w:rsidRPr="007E449D">
        <w:rPr>
          <w:rFonts w:ascii="Garamond" w:hAnsi="Garamond" w:cs="Times New Roman"/>
          <w:color w:val="1B1B1B"/>
          <w:position w:val="-7"/>
          <w:sz w:val="24"/>
          <w:szCs w:val="24"/>
        </w:rPr>
        <w:t xml:space="preserve"> </w:t>
      </w:r>
      <w:r w:rsidR="001F2F1B" w:rsidRPr="007E449D">
        <w:rPr>
          <w:rFonts w:ascii="Garamond" w:hAnsi="Garamond" w:cs="Times New Roman"/>
          <w:color w:val="000000"/>
          <w:sz w:val="24"/>
          <w:szCs w:val="24"/>
        </w:rPr>
        <w:t xml:space="preserve">– është shuma e nxehtësisë së dobishme nga kogjenerimi (e llogaritur për këtë qëllim si prodhimi total i nxehtësisë minus çdo lloj nxehtësie e prodhuar në kaldaja të veçanta ose nga ekstraktimi i avullit nga gjeneratori i avullit, përpara </w:t>
      </w:r>
      <w:r w:rsidR="00050524" w:rsidRPr="007E449D">
        <w:rPr>
          <w:rFonts w:ascii="Garamond" w:hAnsi="Garamond" w:cs="Times New Roman"/>
          <w:color w:val="000000"/>
          <w:sz w:val="24"/>
          <w:szCs w:val="24"/>
        </w:rPr>
        <w:t>turbinës</w:t>
      </w:r>
      <w:r w:rsidR="001F2F1B" w:rsidRPr="007E449D">
        <w:rPr>
          <w:rFonts w:ascii="Garamond" w:hAnsi="Garamond" w:cs="Times New Roman"/>
          <w:color w:val="000000"/>
          <w:sz w:val="24"/>
          <w:szCs w:val="24"/>
        </w:rPr>
        <w:t>);</w:t>
      </w:r>
    </w:p>
    <w:p w14:paraId="14918B12" w14:textId="18D02EFE"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iii. Llogaritja e energjisë elektrike nga kogjenerimi duhet të bazohet në raportin aktual të energjisë elektrike ndaj nxehtësisë. Në qoftë se raporti aktual energji elektrike</w:t>
      </w:r>
      <w:r w:rsidR="00050524">
        <w:rPr>
          <w:rFonts w:ascii="Garamond" w:hAnsi="Garamond" w:cs="Times New Roman"/>
          <w:color w:val="000000"/>
          <w:sz w:val="24"/>
          <w:szCs w:val="24"/>
        </w:rPr>
        <w:t>–</w:t>
      </w:r>
      <w:r w:rsidRPr="007E449D">
        <w:rPr>
          <w:rFonts w:ascii="Garamond" w:hAnsi="Garamond" w:cs="Times New Roman"/>
          <w:color w:val="000000"/>
          <w:sz w:val="24"/>
          <w:szCs w:val="24"/>
        </w:rPr>
        <w:t xml:space="preserve">nxehtësi nga një njësi kogjenerimi është i panjohur, mund të përdoren vlerat e mëposhtme të parazgjedhura, në veçanti për qëllime </w:t>
      </w:r>
      <w:r w:rsidRPr="007E449D">
        <w:rPr>
          <w:rFonts w:ascii="Garamond" w:hAnsi="Garamond" w:cs="Times New Roman"/>
          <w:color w:val="000000"/>
          <w:sz w:val="24"/>
          <w:szCs w:val="24"/>
        </w:rPr>
        <w:lastRenderedPageBreak/>
        <w:t>statistikore, për njësitë e llojeve sipas pik</w:t>
      </w:r>
      <w:r w:rsidR="00050524">
        <w:rPr>
          <w:rFonts w:ascii="Garamond" w:hAnsi="Garamond" w:cs="Times New Roman"/>
          <w:color w:val="000000"/>
          <w:sz w:val="24"/>
          <w:szCs w:val="24"/>
        </w:rPr>
        <w:t>ave</w:t>
      </w:r>
      <w:r w:rsidRPr="007E449D">
        <w:rPr>
          <w:rFonts w:ascii="Garamond" w:hAnsi="Garamond" w:cs="Times New Roman"/>
          <w:color w:val="000000"/>
          <w:sz w:val="24"/>
          <w:szCs w:val="24"/>
        </w:rPr>
        <w:t xml:space="preserve"> </w:t>
      </w:r>
      <w:r w:rsidR="00050524">
        <w:rPr>
          <w:rFonts w:ascii="Garamond" w:hAnsi="Garamond" w:cs="Times New Roman"/>
          <w:color w:val="000000"/>
          <w:sz w:val="24"/>
          <w:szCs w:val="24"/>
        </w:rPr>
        <w:t>“</w:t>
      </w:r>
      <w:r w:rsidRPr="007E449D">
        <w:rPr>
          <w:rFonts w:ascii="Garamond" w:hAnsi="Garamond" w:cs="Times New Roman"/>
          <w:color w:val="000000"/>
          <w:sz w:val="24"/>
          <w:szCs w:val="24"/>
        </w:rPr>
        <w:t>a</w:t>
      </w:r>
      <w:r w:rsidR="00050524">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050524">
        <w:rPr>
          <w:rFonts w:ascii="Garamond" w:hAnsi="Garamond" w:cs="Times New Roman"/>
          <w:color w:val="000000"/>
          <w:sz w:val="24"/>
          <w:szCs w:val="24"/>
        </w:rPr>
        <w:t>“</w:t>
      </w:r>
      <w:r w:rsidRPr="007E449D">
        <w:rPr>
          <w:rFonts w:ascii="Garamond" w:hAnsi="Garamond" w:cs="Times New Roman"/>
          <w:color w:val="000000"/>
          <w:sz w:val="24"/>
          <w:szCs w:val="24"/>
        </w:rPr>
        <w:t>b</w:t>
      </w:r>
      <w:r w:rsidR="00050524">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050524">
        <w:rPr>
          <w:rFonts w:ascii="Garamond" w:hAnsi="Garamond" w:cs="Times New Roman"/>
          <w:color w:val="000000"/>
          <w:sz w:val="24"/>
          <w:szCs w:val="24"/>
        </w:rPr>
        <w:t>“</w:t>
      </w:r>
      <w:r w:rsidRPr="007E449D">
        <w:rPr>
          <w:rFonts w:ascii="Garamond" w:hAnsi="Garamond" w:cs="Times New Roman"/>
          <w:color w:val="000000"/>
          <w:sz w:val="24"/>
          <w:szCs w:val="24"/>
        </w:rPr>
        <w:t>c</w:t>
      </w:r>
      <w:r w:rsidR="00050524">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050524">
        <w:rPr>
          <w:rFonts w:ascii="Garamond" w:hAnsi="Garamond" w:cs="Times New Roman"/>
          <w:color w:val="000000"/>
          <w:sz w:val="24"/>
          <w:szCs w:val="24"/>
        </w:rPr>
        <w:t>“</w:t>
      </w:r>
      <w:r w:rsidRPr="007E449D">
        <w:rPr>
          <w:rFonts w:ascii="Garamond" w:hAnsi="Garamond" w:cs="Times New Roman"/>
          <w:color w:val="000000"/>
          <w:sz w:val="24"/>
          <w:szCs w:val="24"/>
        </w:rPr>
        <w:t>d</w:t>
      </w:r>
      <w:r w:rsidR="00050524">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050524">
        <w:rPr>
          <w:rFonts w:ascii="Garamond" w:hAnsi="Garamond" w:cs="Times New Roman"/>
          <w:color w:val="000000"/>
          <w:sz w:val="24"/>
          <w:szCs w:val="24"/>
        </w:rPr>
        <w:t>dhe</w:t>
      </w:r>
      <w:r w:rsidRPr="007E449D">
        <w:rPr>
          <w:rFonts w:ascii="Garamond" w:hAnsi="Garamond" w:cs="Times New Roman"/>
          <w:color w:val="000000"/>
          <w:sz w:val="24"/>
          <w:szCs w:val="24"/>
        </w:rPr>
        <w:t xml:space="preserve"> </w:t>
      </w:r>
      <w:r w:rsidR="00050524">
        <w:rPr>
          <w:rFonts w:ascii="Garamond" w:hAnsi="Garamond" w:cs="Times New Roman"/>
          <w:color w:val="000000"/>
          <w:sz w:val="24"/>
          <w:szCs w:val="24"/>
        </w:rPr>
        <w:t>“</w:t>
      </w:r>
      <w:r w:rsidRPr="007E449D">
        <w:rPr>
          <w:rFonts w:ascii="Garamond" w:hAnsi="Garamond" w:cs="Times New Roman"/>
          <w:color w:val="000000"/>
          <w:sz w:val="24"/>
          <w:szCs w:val="24"/>
        </w:rPr>
        <w:t>e</w:t>
      </w:r>
      <w:r w:rsidR="00050524">
        <w:rPr>
          <w:rFonts w:ascii="Garamond" w:hAnsi="Garamond" w:cs="Times New Roman"/>
          <w:color w:val="000000"/>
          <w:sz w:val="24"/>
          <w:szCs w:val="24"/>
        </w:rPr>
        <w:t>”,</w:t>
      </w:r>
      <w:r w:rsidRPr="007E449D">
        <w:rPr>
          <w:rFonts w:ascii="Garamond" w:hAnsi="Garamond" w:cs="Times New Roman"/>
          <w:color w:val="000000"/>
          <w:sz w:val="24"/>
          <w:szCs w:val="24"/>
        </w:rPr>
        <w:t xml:space="preserve"> referuar në pikën 2 të kësaj shtojce</w:t>
      </w:r>
      <w:r w:rsidR="00050524">
        <w:rPr>
          <w:rFonts w:ascii="Garamond" w:hAnsi="Garamond" w:cs="Times New Roman"/>
          <w:color w:val="000000"/>
          <w:sz w:val="24"/>
          <w:szCs w:val="24"/>
        </w:rPr>
        <w:t>,</w:t>
      </w:r>
      <w:r w:rsidRPr="007E449D">
        <w:rPr>
          <w:rFonts w:ascii="Garamond" w:hAnsi="Garamond" w:cs="Times New Roman"/>
          <w:color w:val="000000"/>
          <w:sz w:val="24"/>
          <w:szCs w:val="24"/>
        </w:rPr>
        <w:t xml:space="preserve"> me kusht që kogjenerimi i llogaritur i </w:t>
      </w:r>
      <w:r w:rsidR="00050524" w:rsidRPr="007E449D">
        <w:rPr>
          <w:rFonts w:ascii="Garamond" w:hAnsi="Garamond" w:cs="Times New Roman"/>
          <w:color w:val="000000"/>
          <w:sz w:val="24"/>
          <w:szCs w:val="24"/>
        </w:rPr>
        <w:t>energjisë</w:t>
      </w:r>
      <w:r w:rsidRPr="007E449D">
        <w:rPr>
          <w:rFonts w:ascii="Garamond" w:hAnsi="Garamond" w:cs="Times New Roman"/>
          <w:color w:val="000000"/>
          <w:sz w:val="24"/>
          <w:szCs w:val="24"/>
        </w:rPr>
        <w:t xml:space="preserve"> elektrike është më pak apo i barabartë me prodhimin total të energjisë elektrike:</w:t>
      </w:r>
    </w:p>
    <w:p w14:paraId="2E90EF0E" w14:textId="77777777" w:rsidR="001F2F1B" w:rsidRPr="007E449D" w:rsidRDefault="001F2F1B" w:rsidP="001F2F1B">
      <w:pPr>
        <w:autoSpaceDE w:val="0"/>
        <w:autoSpaceDN w:val="0"/>
        <w:adjustRightInd w:val="0"/>
        <w:spacing w:after="0" w:line="310" w:lineRule="atLeast"/>
        <w:ind w:firstLine="284"/>
        <w:jc w:val="both"/>
        <w:rPr>
          <w:rFonts w:ascii="Garamond" w:hAnsi="Garamond" w:cs="Times New Roman"/>
          <w:color w:val="000000"/>
          <w:sz w:val="24"/>
          <w:szCs w:val="24"/>
        </w:rPr>
      </w:pPr>
    </w:p>
    <w:tbl>
      <w:tblPr>
        <w:tblStyle w:val="TableGrid"/>
        <w:tblW w:w="0" w:type="auto"/>
        <w:tblLook w:val="04A0" w:firstRow="1" w:lastRow="0" w:firstColumn="1" w:lastColumn="0" w:noHBand="0" w:noVBand="1"/>
      </w:tblPr>
      <w:tblGrid>
        <w:gridCol w:w="6516"/>
        <w:gridCol w:w="850"/>
      </w:tblGrid>
      <w:tr w:rsidR="00EF3716" w:rsidRPr="007E449D" w14:paraId="3BCBCC14" w14:textId="77777777" w:rsidTr="00EF3716">
        <w:tc>
          <w:tcPr>
            <w:tcW w:w="6516" w:type="dxa"/>
          </w:tcPr>
          <w:p w14:paraId="0B92C60B" w14:textId="410DDA11" w:rsidR="00EF3716" w:rsidRPr="007E449D" w:rsidRDefault="00EF3716" w:rsidP="00EF3716">
            <w:pPr>
              <w:tabs>
                <w:tab w:val="left" w:pos="7380"/>
                <w:tab w:val="left" w:pos="8635"/>
              </w:tabs>
              <w:autoSpaceDE w:val="0"/>
              <w:autoSpaceDN w:val="0"/>
              <w:adjustRightInd w:val="0"/>
              <w:rPr>
                <w:rFonts w:ascii="Garamond" w:hAnsi="Garamond" w:cs="MS Mincho"/>
                <w:color w:val="000000"/>
                <w:sz w:val="24"/>
                <w:szCs w:val="24"/>
              </w:rPr>
            </w:pPr>
            <w:r w:rsidRPr="007E449D">
              <w:rPr>
                <w:rFonts w:ascii="Garamond" w:hAnsi="Garamond" w:cs="MS Mincho"/>
                <w:color w:val="000000"/>
                <w:sz w:val="24"/>
                <w:szCs w:val="24"/>
              </w:rPr>
              <w:t xml:space="preserve">Lloji i njësisë </w:t>
            </w:r>
          </w:p>
        </w:tc>
        <w:tc>
          <w:tcPr>
            <w:tcW w:w="850" w:type="dxa"/>
          </w:tcPr>
          <w:p w14:paraId="18C43FAF" w14:textId="36EA52FA" w:rsidR="00EF3716" w:rsidRPr="007E449D" w:rsidRDefault="00EF3716" w:rsidP="00EF3716">
            <w:pPr>
              <w:autoSpaceDE w:val="0"/>
              <w:autoSpaceDN w:val="0"/>
              <w:adjustRightInd w:val="0"/>
              <w:jc w:val="both"/>
              <w:rPr>
                <w:rFonts w:ascii="Garamond" w:hAnsi="Garamond"/>
                <w:color w:val="000000"/>
                <w:sz w:val="24"/>
                <w:szCs w:val="24"/>
              </w:rPr>
            </w:pPr>
            <w:r w:rsidRPr="007E449D">
              <w:rPr>
                <w:rFonts w:ascii="Garamond" w:hAnsi="Garamond" w:cs="MS Mincho"/>
                <w:color w:val="000000"/>
                <w:sz w:val="24"/>
                <w:szCs w:val="24"/>
              </w:rPr>
              <w:t>C</w:t>
            </w:r>
          </w:p>
        </w:tc>
      </w:tr>
      <w:tr w:rsidR="00EF3716" w:rsidRPr="007E449D" w14:paraId="239CD91C" w14:textId="77777777" w:rsidTr="00EF3716">
        <w:tc>
          <w:tcPr>
            <w:tcW w:w="6516" w:type="dxa"/>
          </w:tcPr>
          <w:p w14:paraId="1460FB40" w14:textId="50A76656" w:rsidR="00EF3716" w:rsidRPr="007E449D" w:rsidRDefault="00EF3716" w:rsidP="00EF3716">
            <w:pPr>
              <w:autoSpaceDE w:val="0"/>
              <w:autoSpaceDN w:val="0"/>
              <w:adjustRightInd w:val="0"/>
              <w:jc w:val="both"/>
              <w:rPr>
                <w:rFonts w:ascii="Garamond" w:hAnsi="Garamond"/>
                <w:color w:val="000000"/>
                <w:sz w:val="24"/>
                <w:szCs w:val="24"/>
              </w:rPr>
            </w:pPr>
            <w:r w:rsidRPr="007E449D">
              <w:rPr>
                <w:rFonts w:ascii="Garamond" w:hAnsi="Garamond" w:cs="MS Mincho"/>
                <w:color w:val="000000"/>
                <w:sz w:val="24"/>
                <w:szCs w:val="24"/>
              </w:rPr>
              <w:t>Turbina me gaz me cikël të kombinuar me rikuperim të nxehtësisë</w:t>
            </w:r>
          </w:p>
        </w:tc>
        <w:tc>
          <w:tcPr>
            <w:tcW w:w="850" w:type="dxa"/>
          </w:tcPr>
          <w:p w14:paraId="679393E0" w14:textId="771CA5D9" w:rsidR="00EF3716" w:rsidRPr="007E449D" w:rsidRDefault="00EF3716" w:rsidP="00EF3716">
            <w:pPr>
              <w:autoSpaceDE w:val="0"/>
              <w:autoSpaceDN w:val="0"/>
              <w:adjustRightInd w:val="0"/>
              <w:jc w:val="both"/>
              <w:rPr>
                <w:rFonts w:ascii="Garamond" w:hAnsi="Garamond"/>
                <w:color w:val="000000"/>
                <w:sz w:val="24"/>
                <w:szCs w:val="24"/>
              </w:rPr>
            </w:pPr>
            <w:r w:rsidRPr="007E449D">
              <w:rPr>
                <w:rFonts w:ascii="Garamond" w:hAnsi="Garamond" w:cs="MS Mincho"/>
                <w:color w:val="000000"/>
                <w:sz w:val="24"/>
                <w:szCs w:val="24"/>
              </w:rPr>
              <w:t>0.95</w:t>
            </w:r>
          </w:p>
        </w:tc>
      </w:tr>
      <w:tr w:rsidR="00EF3716" w:rsidRPr="007E449D" w14:paraId="133A2155" w14:textId="77777777" w:rsidTr="00EF3716">
        <w:tc>
          <w:tcPr>
            <w:tcW w:w="6516" w:type="dxa"/>
          </w:tcPr>
          <w:p w14:paraId="5341CDC1" w14:textId="0E582B68" w:rsidR="00EF3716" w:rsidRPr="007E449D" w:rsidRDefault="00EF3716" w:rsidP="00EF3716">
            <w:pPr>
              <w:autoSpaceDE w:val="0"/>
              <w:autoSpaceDN w:val="0"/>
              <w:adjustRightInd w:val="0"/>
              <w:jc w:val="both"/>
              <w:rPr>
                <w:rFonts w:ascii="Garamond" w:hAnsi="Garamond"/>
                <w:color w:val="000000"/>
                <w:sz w:val="24"/>
                <w:szCs w:val="24"/>
              </w:rPr>
            </w:pPr>
            <w:r w:rsidRPr="007E449D">
              <w:rPr>
                <w:rFonts w:ascii="Garamond" w:hAnsi="Garamond" w:cs="MS Mincho"/>
                <w:color w:val="000000"/>
                <w:sz w:val="24"/>
                <w:szCs w:val="24"/>
              </w:rPr>
              <w:t>Turbinë avulli me kundërpresion</w:t>
            </w:r>
          </w:p>
        </w:tc>
        <w:tc>
          <w:tcPr>
            <w:tcW w:w="850" w:type="dxa"/>
          </w:tcPr>
          <w:p w14:paraId="1E7F4300" w14:textId="43F30BB5" w:rsidR="00EF3716" w:rsidRPr="007E449D" w:rsidRDefault="00EF3716" w:rsidP="00EF3716">
            <w:pPr>
              <w:tabs>
                <w:tab w:val="left" w:pos="7380"/>
                <w:tab w:val="left" w:pos="8635"/>
              </w:tabs>
              <w:autoSpaceDE w:val="0"/>
              <w:autoSpaceDN w:val="0"/>
              <w:adjustRightInd w:val="0"/>
              <w:rPr>
                <w:rFonts w:ascii="Garamond" w:hAnsi="Garamond" w:cs="MS Mincho"/>
                <w:color w:val="000000"/>
                <w:sz w:val="24"/>
                <w:szCs w:val="24"/>
              </w:rPr>
            </w:pPr>
            <w:r w:rsidRPr="007E449D">
              <w:rPr>
                <w:rFonts w:ascii="Garamond" w:hAnsi="Garamond" w:cs="MS Mincho"/>
                <w:color w:val="000000"/>
                <w:sz w:val="24"/>
                <w:szCs w:val="24"/>
              </w:rPr>
              <w:t>0.45</w:t>
            </w:r>
          </w:p>
        </w:tc>
      </w:tr>
      <w:tr w:rsidR="00EF3716" w:rsidRPr="007E449D" w14:paraId="56F84DD3" w14:textId="77777777" w:rsidTr="00EF3716">
        <w:tc>
          <w:tcPr>
            <w:tcW w:w="6516" w:type="dxa"/>
          </w:tcPr>
          <w:p w14:paraId="381D748C" w14:textId="6B77B1B2" w:rsidR="00EF3716" w:rsidRPr="007E449D" w:rsidRDefault="00EF3716" w:rsidP="00EF3716">
            <w:pPr>
              <w:autoSpaceDE w:val="0"/>
              <w:autoSpaceDN w:val="0"/>
              <w:adjustRightInd w:val="0"/>
              <w:jc w:val="both"/>
              <w:rPr>
                <w:rFonts w:ascii="Garamond" w:hAnsi="Garamond"/>
                <w:color w:val="000000"/>
                <w:sz w:val="24"/>
                <w:szCs w:val="24"/>
              </w:rPr>
            </w:pPr>
            <w:r w:rsidRPr="007E449D">
              <w:rPr>
                <w:rFonts w:ascii="Garamond" w:hAnsi="Garamond" w:cs="MS Mincho"/>
                <w:color w:val="000000"/>
                <w:sz w:val="24"/>
                <w:szCs w:val="24"/>
              </w:rPr>
              <w:t xml:space="preserve">Turbinë me </w:t>
            </w:r>
            <w:r w:rsidRPr="00665417">
              <w:rPr>
                <w:rFonts w:ascii="Garamond" w:hAnsi="Garamond" w:cs="MS Mincho"/>
                <w:color w:val="000000"/>
                <w:sz w:val="24"/>
                <w:szCs w:val="24"/>
              </w:rPr>
              <w:t>e</w:t>
            </w:r>
            <w:r w:rsidR="00683A26" w:rsidRPr="00665417">
              <w:rPr>
                <w:rFonts w:ascii="Garamond" w:hAnsi="Garamond" w:cs="MS Mincho"/>
                <w:color w:val="000000"/>
                <w:sz w:val="24"/>
                <w:szCs w:val="24"/>
              </w:rPr>
              <w:t>ks</w:t>
            </w:r>
            <w:r w:rsidRPr="00665417">
              <w:rPr>
                <w:rFonts w:ascii="Garamond" w:hAnsi="Garamond" w:cs="MS Mincho"/>
                <w:color w:val="000000"/>
                <w:sz w:val="24"/>
                <w:szCs w:val="24"/>
              </w:rPr>
              <w:t>traktim</w:t>
            </w:r>
            <w:r w:rsidRPr="007E449D">
              <w:rPr>
                <w:rFonts w:ascii="Garamond" w:hAnsi="Garamond" w:cs="MS Mincho"/>
                <w:color w:val="000000"/>
                <w:sz w:val="24"/>
                <w:szCs w:val="24"/>
              </w:rPr>
              <w:t xml:space="preserve"> të avullit të kondensuar</w:t>
            </w:r>
          </w:p>
        </w:tc>
        <w:tc>
          <w:tcPr>
            <w:tcW w:w="850" w:type="dxa"/>
          </w:tcPr>
          <w:p w14:paraId="5D0D0150" w14:textId="655B1C62" w:rsidR="00EF3716" w:rsidRPr="007E449D" w:rsidRDefault="00EF3716" w:rsidP="00EF3716">
            <w:pPr>
              <w:autoSpaceDE w:val="0"/>
              <w:autoSpaceDN w:val="0"/>
              <w:adjustRightInd w:val="0"/>
              <w:jc w:val="both"/>
              <w:rPr>
                <w:rFonts w:ascii="Garamond" w:hAnsi="Garamond"/>
                <w:color w:val="000000"/>
                <w:sz w:val="24"/>
                <w:szCs w:val="24"/>
              </w:rPr>
            </w:pPr>
            <w:r w:rsidRPr="007E449D">
              <w:rPr>
                <w:rFonts w:ascii="Garamond" w:hAnsi="Garamond" w:cs="MS Mincho"/>
                <w:color w:val="000000"/>
                <w:sz w:val="24"/>
                <w:szCs w:val="24"/>
              </w:rPr>
              <w:t>0.45</w:t>
            </w:r>
          </w:p>
        </w:tc>
      </w:tr>
      <w:tr w:rsidR="00EF3716" w:rsidRPr="007E449D" w14:paraId="021C1D46" w14:textId="77777777" w:rsidTr="00EF3716">
        <w:tc>
          <w:tcPr>
            <w:tcW w:w="6516" w:type="dxa"/>
          </w:tcPr>
          <w:p w14:paraId="0ECE89D9" w14:textId="1D1387DD" w:rsidR="00EF3716" w:rsidRPr="007E449D" w:rsidRDefault="00EF3716" w:rsidP="00EF3716">
            <w:pPr>
              <w:autoSpaceDE w:val="0"/>
              <w:autoSpaceDN w:val="0"/>
              <w:adjustRightInd w:val="0"/>
              <w:jc w:val="both"/>
              <w:rPr>
                <w:rFonts w:ascii="Garamond" w:hAnsi="Garamond"/>
                <w:color w:val="000000"/>
                <w:sz w:val="24"/>
                <w:szCs w:val="24"/>
              </w:rPr>
            </w:pPr>
            <w:r w:rsidRPr="007E449D">
              <w:rPr>
                <w:rFonts w:ascii="Garamond" w:hAnsi="Garamond" w:cs="MS Mincho"/>
                <w:color w:val="000000"/>
                <w:sz w:val="24"/>
                <w:szCs w:val="24"/>
              </w:rPr>
              <w:t>Turbinë gazi me rikuperim nxehtësie</w:t>
            </w:r>
          </w:p>
        </w:tc>
        <w:tc>
          <w:tcPr>
            <w:tcW w:w="850" w:type="dxa"/>
          </w:tcPr>
          <w:p w14:paraId="248AF66B" w14:textId="3A9AD56D" w:rsidR="00EF3716" w:rsidRPr="007E449D" w:rsidRDefault="00EF3716" w:rsidP="00EF3716">
            <w:pPr>
              <w:tabs>
                <w:tab w:val="left" w:pos="7380"/>
                <w:tab w:val="left" w:pos="8635"/>
              </w:tabs>
              <w:autoSpaceDE w:val="0"/>
              <w:autoSpaceDN w:val="0"/>
              <w:adjustRightInd w:val="0"/>
              <w:rPr>
                <w:rFonts w:ascii="Garamond" w:hAnsi="Garamond" w:cs="MS Mincho"/>
                <w:color w:val="000000"/>
                <w:sz w:val="24"/>
                <w:szCs w:val="24"/>
              </w:rPr>
            </w:pPr>
            <w:r w:rsidRPr="007E449D">
              <w:rPr>
                <w:rFonts w:ascii="Garamond" w:hAnsi="Garamond" w:cs="MS Mincho"/>
                <w:color w:val="000000"/>
                <w:sz w:val="24"/>
                <w:szCs w:val="24"/>
              </w:rPr>
              <w:t>0.55</w:t>
            </w:r>
          </w:p>
        </w:tc>
      </w:tr>
      <w:tr w:rsidR="00EF3716" w:rsidRPr="007E449D" w14:paraId="57B7A0A6" w14:textId="77777777" w:rsidTr="00EF3716">
        <w:tc>
          <w:tcPr>
            <w:tcW w:w="6516" w:type="dxa"/>
          </w:tcPr>
          <w:p w14:paraId="6A71B713" w14:textId="1CD5594C" w:rsidR="00EF3716" w:rsidRPr="007E449D" w:rsidRDefault="00EF3716" w:rsidP="00EF3716">
            <w:pPr>
              <w:autoSpaceDE w:val="0"/>
              <w:autoSpaceDN w:val="0"/>
              <w:adjustRightInd w:val="0"/>
              <w:jc w:val="both"/>
              <w:rPr>
                <w:rFonts w:ascii="Garamond" w:hAnsi="Garamond" w:cs="MS Mincho"/>
                <w:color w:val="000000"/>
                <w:sz w:val="24"/>
                <w:szCs w:val="24"/>
              </w:rPr>
            </w:pPr>
            <w:r w:rsidRPr="007E449D">
              <w:rPr>
                <w:rFonts w:ascii="Garamond" w:hAnsi="Garamond" w:cs="MS Mincho"/>
                <w:color w:val="000000"/>
                <w:sz w:val="24"/>
                <w:szCs w:val="24"/>
              </w:rPr>
              <w:t>Motor me djegie të brendshme</w:t>
            </w:r>
          </w:p>
        </w:tc>
        <w:tc>
          <w:tcPr>
            <w:tcW w:w="850" w:type="dxa"/>
          </w:tcPr>
          <w:p w14:paraId="2789420C" w14:textId="716028E3" w:rsidR="00EF3716" w:rsidRPr="007E449D" w:rsidRDefault="00EF3716" w:rsidP="00EF3716">
            <w:pPr>
              <w:tabs>
                <w:tab w:val="left" w:pos="7380"/>
                <w:tab w:val="left" w:pos="8635"/>
              </w:tabs>
              <w:autoSpaceDE w:val="0"/>
              <w:autoSpaceDN w:val="0"/>
              <w:adjustRightInd w:val="0"/>
              <w:rPr>
                <w:rFonts w:ascii="Garamond" w:hAnsi="Garamond"/>
                <w:color w:val="000000"/>
                <w:sz w:val="24"/>
                <w:szCs w:val="24"/>
              </w:rPr>
            </w:pPr>
            <w:r w:rsidRPr="007E449D">
              <w:rPr>
                <w:rFonts w:ascii="Garamond" w:hAnsi="Garamond" w:cs="MS Mincho"/>
                <w:color w:val="000000"/>
                <w:sz w:val="24"/>
                <w:szCs w:val="24"/>
              </w:rPr>
              <w:t>0.75</w:t>
            </w:r>
          </w:p>
        </w:tc>
      </w:tr>
    </w:tbl>
    <w:p w14:paraId="092FCACD" w14:textId="77777777" w:rsidR="001F2F1B" w:rsidRPr="007E449D" w:rsidRDefault="001F2F1B" w:rsidP="00EF3716">
      <w:pPr>
        <w:autoSpaceDE w:val="0"/>
        <w:autoSpaceDN w:val="0"/>
        <w:adjustRightInd w:val="0"/>
        <w:spacing w:after="0" w:line="240" w:lineRule="auto"/>
        <w:ind w:firstLine="284"/>
        <w:jc w:val="both"/>
        <w:rPr>
          <w:rFonts w:ascii="Garamond" w:hAnsi="Garamond" w:cs="Times New Roman"/>
          <w:color w:val="000000"/>
          <w:sz w:val="24"/>
          <w:szCs w:val="24"/>
        </w:rPr>
      </w:pPr>
    </w:p>
    <w:p w14:paraId="5E00EC80" w14:textId="67998A32"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iv. Ministria përgjegjëse për sektorin e energjisë, me propozimin e agjencisë për efiçencës së energjisë mund të miratojë vlerat e parazgjedhura për raportet energji elektrike</w:t>
      </w:r>
      <w:r w:rsidR="00683A26">
        <w:rPr>
          <w:rFonts w:ascii="Garamond" w:hAnsi="Garamond" w:cs="Times New Roman"/>
          <w:color w:val="000000"/>
          <w:sz w:val="24"/>
          <w:szCs w:val="24"/>
        </w:rPr>
        <w:t>–</w:t>
      </w:r>
      <w:r w:rsidRPr="007E449D">
        <w:rPr>
          <w:rFonts w:ascii="Garamond" w:hAnsi="Garamond" w:cs="Times New Roman"/>
          <w:color w:val="000000"/>
          <w:sz w:val="24"/>
          <w:szCs w:val="24"/>
        </w:rPr>
        <w:t>nxehtësi për llojet e njësive</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sipas pikave </w:t>
      </w:r>
      <w:r w:rsidR="00683A26">
        <w:rPr>
          <w:rFonts w:ascii="Garamond" w:hAnsi="Garamond" w:cs="Times New Roman"/>
          <w:color w:val="000000"/>
          <w:sz w:val="24"/>
          <w:szCs w:val="24"/>
        </w:rPr>
        <w:t>“</w:t>
      </w:r>
      <w:r w:rsidRPr="007E449D">
        <w:rPr>
          <w:rFonts w:ascii="Garamond" w:hAnsi="Garamond" w:cs="Times New Roman"/>
          <w:color w:val="000000"/>
          <w:sz w:val="24"/>
          <w:szCs w:val="24"/>
        </w:rPr>
        <w:t>f</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683A26">
        <w:rPr>
          <w:rFonts w:ascii="Garamond" w:hAnsi="Garamond" w:cs="Times New Roman"/>
          <w:color w:val="000000"/>
          <w:sz w:val="24"/>
          <w:szCs w:val="24"/>
        </w:rPr>
        <w:t>“</w:t>
      </w:r>
      <w:r w:rsidRPr="007E449D">
        <w:rPr>
          <w:rFonts w:ascii="Garamond" w:hAnsi="Garamond" w:cs="Times New Roman"/>
          <w:color w:val="000000"/>
          <w:sz w:val="24"/>
          <w:szCs w:val="24"/>
        </w:rPr>
        <w:t>g</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683A26">
        <w:rPr>
          <w:rFonts w:ascii="Garamond" w:hAnsi="Garamond" w:cs="Times New Roman"/>
          <w:color w:val="000000"/>
          <w:sz w:val="24"/>
          <w:szCs w:val="24"/>
        </w:rPr>
        <w:t>“</w:t>
      </w:r>
      <w:r w:rsidRPr="007E449D">
        <w:rPr>
          <w:rFonts w:ascii="Garamond" w:hAnsi="Garamond" w:cs="Times New Roman"/>
          <w:color w:val="000000"/>
          <w:sz w:val="24"/>
          <w:szCs w:val="24"/>
        </w:rPr>
        <w:t>h</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683A26">
        <w:rPr>
          <w:rFonts w:ascii="Garamond" w:hAnsi="Garamond" w:cs="Times New Roman"/>
          <w:color w:val="000000"/>
          <w:sz w:val="24"/>
          <w:szCs w:val="24"/>
        </w:rPr>
        <w:t>“</w:t>
      </w:r>
      <w:r w:rsidRPr="007E449D">
        <w:rPr>
          <w:rFonts w:ascii="Garamond" w:hAnsi="Garamond" w:cs="Times New Roman"/>
          <w:color w:val="000000"/>
          <w:sz w:val="24"/>
          <w:szCs w:val="24"/>
        </w:rPr>
        <w:t>i</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683A26">
        <w:rPr>
          <w:rFonts w:ascii="Garamond" w:hAnsi="Garamond" w:cs="Times New Roman"/>
          <w:color w:val="000000"/>
          <w:sz w:val="24"/>
          <w:szCs w:val="24"/>
        </w:rPr>
        <w:t>“</w:t>
      </w:r>
      <w:r w:rsidRPr="007E449D">
        <w:rPr>
          <w:rFonts w:ascii="Garamond" w:hAnsi="Garamond" w:cs="Times New Roman"/>
          <w:color w:val="000000"/>
          <w:sz w:val="24"/>
          <w:szCs w:val="24"/>
        </w:rPr>
        <w:t>j</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683A26">
        <w:rPr>
          <w:rFonts w:ascii="Garamond" w:hAnsi="Garamond" w:cs="Times New Roman"/>
          <w:color w:val="000000"/>
          <w:sz w:val="24"/>
          <w:szCs w:val="24"/>
        </w:rPr>
        <w:t>dhe</w:t>
      </w:r>
      <w:r w:rsidRPr="007E449D">
        <w:rPr>
          <w:rFonts w:ascii="Garamond" w:hAnsi="Garamond" w:cs="Times New Roman"/>
          <w:color w:val="000000"/>
          <w:sz w:val="24"/>
          <w:szCs w:val="24"/>
        </w:rPr>
        <w:t xml:space="preserve"> </w:t>
      </w:r>
      <w:r w:rsidR="00683A26">
        <w:rPr>
          <w:rFonts w:ascii="Garamond" w:hAnsi="Garamond" w:cs="Times New Roman"/>
          <w:color w:val="000000"/>
          <w:sz w:val="24"/>
          <w:szCs w:val="24"/>
        </w:rPr>
        <w:t>“</w:t>
      </w:r>
      <w:r w:rsidRPr="007E449D">
        <w:rPr>
          <w:rFonts w:ascii="Garamond" w:hAnsi="Garamond" w:cs="Times New Roman"/>
          <w:color w:val="000000"/>
          <w:sz w:val="24"/>
          <w:szCs w:val="24"/>
        </w:rPr>
        <w:t>k</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të paraqitura në pikën 2 në </w:t>
      </w:r>
      <w:r w:rsidR="00683A26" w:rsidRPr="007E449D">
        <w:rPr>
          <w:rFonts w:ascii="Garamond" w:hAnsi="Garamond" w:cs="Times New Roman"/>
          <w:color w:val="000000"/>
          <w:sz w:val="24"/>
          <w:szCs w:val="24"/>
        </w:rPr>
        <w:t>vijim</w:t>
      </w:r>
      <w:r w:rsidRPr="007E449D">
        <w:rPr>
          <w:rFonts w:ascii="Garamond" w:hAnsi="Garamond" w:cs="Times New Roman"/>
          <w:color w:val="000000"/>
          <w:sz w:val="24"/>
          <w:szCs w:val="24"/>
        </w:rPr>
        <w:t>. Sekretariati i Komunitetit të Energjisë njoftohet për vlerat e parazgjedhura</w:t>
      </w:r>
      <w:r w:rsidR="00683A26">
        <w:rPr>
          <w:rFonts w:ascii="Garamond" w:hAnsi="Garamond" w:cs="Times New Roman"/>
          <w:color w:val="000000"/>
          <w:sz w:val="24"/>
          <w:szCs w:val="24"/>
        </w:rPr>
        <w:t>;</w:t>
      </w:r>
    </w:p>
    <w:p w14:paraId="647DE0CF" w14:textId="224043E3"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c) Nëse një pjesë e përmbajtjes së energjisë nga inputi i lëndëve djegëse në procesin e kogjenerimit rikuperohet në kimikate dhe riciklim, kjo pjesë mund të zbritet nga inputi i lëndëve djegëse para llogaritjes së efiçencës së përgjithshme</w:t>
      </w:r>
      <w:r w:rsidR="00683A26">
        <w:rPr>
          <w:rFonts w:ascii="Garamond" w:hAnsi="Garamond" w:cs="Times New Roman"/>
          <w:color w:val="000000"/>
          <w:sz w:val="24"/>
          <w:szCs w:val="24"/>
        </w:rPr>
        <w:t>;</w:t>
      </w:r>
    </w:p>
    <w:p w14:paraId="76F61EA2" w14:textId="1DCD7E5F" w:rsidR="001F2F1B" w:rsidRPr="007E449D" w:rsidRDefault="001F2F1B" w:rsidP="00683A26">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d) Ministria përgjegjëse për sektorin e energjisë mund të përcaktojë raportin energji elektrike–nxehtësi, si raport i energjisë elektrike ndaj nxehtësisë së dobishme kur operohet në modalitetin e kogjenerimit me kapacitet më të ulët, duke përdorur të dhënat operative të njësisë specifike.</w:t>
      </w:r>
    </w:p>
    <w:p w14:paraId="7A204AF1" w14:textId="6F75BD54" w:rsidR="001F2F1B" w:rsidRPr="007E449D" w:rsidRDefault="001F2F1B" w:rsidP="00683A26">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2. Teknologjitë e kogjenerimit janë:</w:t>
      </w:r>
    </w:p>
    <w:p w14:paraId="43E7EDFF" w14:textId="36562754"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a) turbina me gaz me cikël të kombinuar me rikuperim nxehtësie;</w:t>
      </w:r>
    </w:p>
    <w:p w14:paraId="33A21F96" w14:textId="132C147D"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b) turbinë avulli me kundërpresion;</w:t>
      </w:r>
    </w:p>
    <w:p w14:paraId="6DA29010" w14:textId="3053C2CE"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c) turbinë me nxjerrje të avullit të kondensuar</w:t>
      </w:r>
      <w:r w:rsidR="00683A26">
        <w:rPr>
          <w:rFonts w:ascii="Garamond" w:hAnsi="Garamond" w:cs="Times New Roman"/>
          <w:color w:val="000000"/>
          <w:sz w:val="24"/>
          <w:szCs w:val="24"/>
        </w:rPr>
        <w:t>;</w:t>
      </w:r>
    </w:p>
    <w:p w14:paraId="107D9619" w14:textId="0DC71487"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d) turbina gazi me rikuperim nxehtësie;</w:t>
      </w:r>
    </w:p>
    <w:p w14:paraId="3CF4004B" w14:textId="0F3358DD"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e) motor me djegie të brendshme;</w:t>
      </w:r>
    </w:p>
    <w:p w14:paraId="77BC1476" w14:textId="491418E1"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f) mikroturbinat</w:t>
      </w:r>
    </w:p>
    <w:p w14:paraId="0569DD32" w14:textId="1865256A"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g) motor </w:t>
      </w:r>
      <w:r w:rsidRPr="009C4864">
        <w:rPr>
          <w:rFonts w:ascii="Garamond" w:hAnsi="Garamond" w:cs="Times New Roman"/>
          <w:i/>
          <w:color w:val="000000"/>
          <w:sz w:val="24"/>
          <w:szCs w:val="24"/>
        </w:rPr>
        <w:t>stirling</w:t>
      </w:r>
      <w:r w:rsidR="00683A26">
        <w:rPr>
          <w:rFonts w:ascii="Garamond" w:hAnsi="Garamond" w:cs="Times New Roman"/>
          <w:color w:val="000000"/>
          <w:sz w:val="24"/>
          <w:szCs w:val="24"/>
        </w:rPr>
        <w:t>;</w:t>
      </w:r>
    </w:p>
    <w:p w14:paraId="4957710C" w14:textId="7B591F68"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h) qelizat e karburantit</w:t>
      </w:r>
      <w:r w:rsidR="00683A26">
        <w:rPr>
          <w:rFonts w:ascii="Garamond" w:hAnsi="Garamond" w:cs="Times New Roman"/>
          <w:color w:val="000000"/>
          <w:sz w:val="24"/>
          <w:szCs w:val="24"/>
        </w:rPr>
        <w:t>;</w:t>
      </w:r>
    </w:p>
    <w:p w14:paraId="3A98C7CE" w14:textId="2516D90F"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i) motor me avull</w:t>
      </w:r>
      <w:r w:rsidR="00683A26">
        <w:rPr>
          <w:rFonts w:ascii="Garamond" w:hAnsi="Garamond" w:cs="Times New Roman"/>
          <w:color w:val="000000"/>
          <w:sz w:val="24"/>
          <w:szCs w:val="24"/>
        </w:rPr>
        <w:t>;</w:t>
      </w:r>
    </w:p>
    <w:p w14:paraId="1235F9A3" w14:textId="241719BE"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j) </w:t>
      </w:r>
      <w:r w:rsidR="00683A26">
        <w:rPr>
          <w:rFonts w:ascii="Garamond" w:hAnsi="Garamond" w:cs="Times New Roman"/>
          <w:color w:val="000000"/>
          <w:sz w:val="24"/>
          <w:szCs w:val="24"/>
        </w:rPr>
        <w:t>r</w:t>
      </w:r>
      <w:r w:rsidR="00683A26" w:rsidRPr="007E449D">
        <w:rPr>
          <w:rFonts w:ascii="Garamond" w:hAnsi="Garamond" w:cs="Times New Roman"/>
          <w:color w:val="000000"/>
          <w:sz w:val="24"/>
          <w:szCs w:val="24"/>
        </w:rPr>
        <w:t>urbina</w:t>
      </w:r>
      <w:r w:rsidRPr="007E449D">
        <w:rPr>
          <w:rFonts w:ascii="Garamond" w:hAnsi="Garamond" w:cs="Times New Roman"/>
          <w:color w:val="000000"/>
          <w:sz w:val="24"/>
          <w:szCs w:val="24"/>
        </w:rPr>
        <w:t xml:space="preserve"> me cikël </w:t>
      </w:r>
      <w:r w:rsidR="00683A26">
        <w:rPr>
          <w:rFonts w:ascii="Garamond" w:hAnsi="Garamond" w:cs="Times New Roman"/>
          <w:color w:val="000000"/>
          <w:sz w:val="24"/>
          <w:szCs w:val="24"/>
        </w:rPr>
        <w:t>r</w:t>
      </w:r>
      <w:r w:rsidRPr="007E449D">
        <w:rPr>
          <w:rFonts w:ascii="Garamond" w:hAnsi="Garamond" w:cs="Times New Roman"/>
          <w:color w:val="000000"/>
          <w:sz w:val="24"/>
          <w:szCs w:val="24"/>
        </w:rPr>
        <w:t>ankin organik</w:t>
      </w:r>
      <w:r w:rsidR="00683A26">
        <w:rPr>
          <w:rFonts w:ascii="Garamond" w:hAnsi="Garamond" w:cs="Times New Roman"/>
          <w:color w:val="000000"/>
          <w:sz w:val="24"/>
          <w:szCs w:val="24"/>
        </w:rPr>
        <w:t>;</w:t>
      </w:r>
    </w:p>
    <w:p w14:paraId="3BB6A6DA" w14:textId="20D401DC"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k) çdo lloj tjetër teknologjie ose kombinim i tyre</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sipas përkufizimit në pikën 5, shkronja </w:t>
      </w:r>
      <w:r w:rsidR="00683A26">
        <w:rPr>
          <w:rFonts w:ascii="Garamond" w:hAnsi="Garamond" w:cs="Times New Roman"/>
          <w:color w:val="000000"/>
          <w:sz w:val="24"/>
          <w:szCs w:val="24"/>
        </w:rPr>
        <w:t>“</w:t>
      </w:r>
      <w:r w:rsidRPr="007E449D">
        <w:rPr>
          <w:rFonts w:ascii="Garamond" w:hAnsi="Garamond" w:cs="Times New Roman"/>
          <w:color w:val="000000"/>
          <w:sz w:val="24"/>
          <w:szCs w:val="24"/>
        </w:rPr>
        <w:t>c</w:t>
      </w:r>
      <w:r w:rsidR="00683A26">
        <w:rPr>
          <w:rFonts w:ascii="Garamond" w:hAnsi="Garamond" w:cs="Times New Roman"/>
          <w:color w:val="000000"/>
          <w:sz w:val="24"/>
          <w:szCs w:val="24"/>
        </w:rPr>
        <w:t>”</w:t>
      </w:r>
      <w:r w:rsidRPr="007E449D">
        <w:rPr>
          <w:rFonts w:ascii="Garamond" w:hAnsi="Garamond" w:cs="Times New Roman"/>
          <w:color w:val="000000"/>
          <w:sz w:val="24"/>
          <w:szCs w:val="24"/>
        </w:rPr>
        <w:t>.</w:t>
      </w:r>
    </w:p>
    <w:p w14:paraId="4D0342C9" w14:textId="77777777" w:rsidR="00D26F63" w:rsidRPr="007E449D" w:rsidRDefault="00D26F63" w:rsidP="00683A26">
      <w:pPr>
        <w:autoSpaceDE w:val="0"/>
        <w:autoSpaceDN w:val="0"/>
        <w:adjustRightInd w:val="0"/>
        <w:spacing w:after="0" w:line="310" w:lineRule="atLeast"/>
        <w:rPr>
          <w:rFonts w:ascii="Garamond" w:hAnsi="Garamond" w:cs="Times New Roman"/>
          <w:color w:val="000000"/>
          <w:sz w:val="24"/>
          <w:szCs w:val="24"/>
        </w:rPr>
      </w:pPr>
    </w:p>
    <w:p w14:paraId="726BBD3F"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color w:val="000000"/>
          <w:sz w:val="24"/>
          <w:szCs w:val="24"/>
        </w:rPr>
      </w:pPr>
      <w:r w:rsidRPr="007E449D">
        <w:rPr>
          <w:rFonts w:ascii="Garamond" w:hAnsi="Garamond" w:cs="Times New Roman"/>
          <w:color w:val="000000"/>
          <w:sz w:val="24"/>
          <w:szCs w:val="24"/>
        </w:rPr>
        <w:t>SHTOJCA II</w:t>
      </w:r>
    </w:p>
    <w:p w14:paraId="2A480915"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color w:val="000000"/>
          <w:sz w:val="24"/>
          <w:szCs w:val="24"/>
        </w:rPr>
      </w:pPr>
      <w:r w:rsidRPr="007E449D">
        <w:rPr>
          <w:rFonts w:ascii="Garamond" w:hAnsi="Garamond" w:cs="Times New Roman"/>
          <w:color w:val="000000"/>
          <w:sz w:val="24"/>
          <w:szCs w:val="24"/>
        </w:rPr>
        <w:t>METODOLOGJIA PËR PËRCAKTIMIN E EFIÇENCËS NGA PROCESI I KOGJENERIMIT</w:t>
      </w:r>
    </w:p>
    <w:p w14:paraId="28913363" w14:textId="77777777" w:rsidR="001F2F1B" w:rsidRPr="007E449D" w:rsidRDefault="001F2F1B" w:rsidP="001F2F1B">
      <w:pPr>
        <w:autoSpaceDE w:val="0"/>
        <w:autoSpaceDN w:val="0"/>
        <w:adjustRightInd w:val="0"/>
        <w:spacing w:after="0" w:line="310" w:lineRule="atLeast"/>
        <w:ind w:firstLine="284"/>
        <w:jc w:val="center"/>
        <w:rPr>
          <w:rFonts w:ascii="Garamond" w:hAnsi="Garamond" w:cs="Times New Roman"/>
          <w:color w:val="000000"/>
          <w:sz w:val="24"/>
          <w:szCs w:val="24"/>
        </w:rPr>
      </w:pPr>
    </w:p>
    <w:p w14:paraId="656D1EC0" w14:textId="77777777" w:rsidR="001F2F1B" w:rsidRPr="007E449D" w:rsidRDefault="001F2F1B" w:rsidP="001F2F1B">
      <w:pPr>
        <w:autoSpaceDE w:val="0"/>
        <w:autoSpaceDN w:val="0"/>
        <w:adjustRightInd w:val="0"/>
        <w:spacing w:after="0" w:line="310" w:lineRule="atLeast"/>
        <w:ind w:firstLine="284"/>
        <w:jc w:val="both"/>
        <w:rPr>
          <w:rFonts w:ascii="Garamond" w:hAnsi="Garamond" w:cs="Times New Roman"/>
          <w:color w:val="000000"/>
          <w:sz w:val="24"/>
          <w:szCs w:val="24"/>
        </w:rPr>
      </w:pPr>
      <w:r w:rsidRPr="007E449D">
        <w:rPr>
          <w:rFonts w:ascii="Garamond" w:hAnsi="Garamond" w:cs="Times New Roman"/>
          <w:color w:val="000000"/>
          <w:sz w:val="24"/>
          <w:szCs w:val="24"/>
        </w:rPr>
        <w:t>Vlerat e përdorura për llogaritjen e efiçencës së energjisë primare përcaktohen në bazë të funksionimit të pritshëm ose aktual të njësisë në kushte normale përdorimi.</w:t>
      </w:r>
    </w:p>
    <w:p w14:paraId="26419806" w14:textId="02D54185"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a) Kogjenerimi me efiçencë të lartë duhet të përmbushe këto kritere:</w:t>
      </w:r>
    </w:p>
    <w:p w14:paraId="3D71E3B7" w14:textId="1E155C23"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eastAsia="MS Mincho" w:hAnsi="Garamond" w:cs="MS Mincho"/>
          <w:color w:val="000000"/>
          <w:sz w:val="24"/>
          <w:szCs w:val="24"/>
        </w:rPr>
        <w:t xml:space="preserve">- </w:t>
      </w:r>
      <w:r w:rsidRPr="007E449D">
        <w:rPr>
          <w:rFonts w:ascii="Garamond" w:hAnsi="Garamond" w:cs="Times New Roman"/>
          <w:color w:val="000000"/>
          <w:sz w:val="24"/>
          <w:szCs w:val="24"/>
        </w:rPr>
        <w:t xml:space="preserve">Prodhimi nga njësitë e kogjenerimit duhet të sigurojë kursim të energjisë primare të llogaritur sipas pikës </w:t>
      </w:r>
      <w:r w:rsidR="00683A26">
        <w:rPr>
          <w:rFonts w:ascii="Garamond" w:hAnsi="Garamond" w:cs="Times New Roman"/>
          <w:color w:val="000000"/>
          <w:sz w:val="24"/>
          <w:szCs w:val="24"/>
        </w:rPr>
        <w:t>“</w:t>
      </w:r>
      <w:r w:rsidRPr="007E449D">
        <w:rPr>
          <w:rFonts w:ascii="Garamond" w:hAnsi="Garamond" w:cs="Times New Roman"/>
          <w:color w:val="000000"/>
          <w:sz w:val="24"/>
          <w:szCs w:val="24"/>
        </w:rPr>
        <w:t>b</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prej të paktën 10%, në krahasim me referencat për prodhimin e veçantë të energjisë termike dhe energjisë elektrike;</w:t>
      </w:r>
    </w:p>
    <w:p w14:paraId="5539AC89" w14:textId="2466D642"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eastAsia="MS Mincho" w:hAnsi="Garamond" w:cs="MS Mincho"/>
          <w:color w:val="000000"/>
          <w:sz w:val="24"/>
          <w:szCs w:val="24"/>
        </w:rPr>
        <w:t xml:space="preserve">- </w:t>
      </w:r>
      <w:r w:rsidRPr="007E449D">
        <w:rPr>
          <w:rFonts w:ascii="Garamond" w:hAnsi="Garamond" w:cs="Times New Roman"/>
          <w:color w:val="000000"/>
          <w:sz w:val="24"/>
          <w:szCs w:val="24"/>
        </w:rPr>
        <w:t>Prodhimi nga njësitë e vogla të kogjenerimit duhet të sigurojnë kursim t</w:t>
      </w:r>
      <w:r w:rsidR="00683A26">
        <w:rPr>
          <w:rFonts w:ascii="Garamond" w:hAnsi="Garamond" w:cs="Times New Roman"/>
          <w:color w:val="000000"/>
          <w:sz w:val="24"/>
          <w:szCs w:val="24"/>
        </w:rPr>
        <w:t>ë</w:t>
      </w:r>
      <w:r w:rsidRPr="007E449D">
        <w:rPr>
          <w:rFonts w:ascii="Garamond" w:hAnsi="Garamond" w:cs="Times New Roman"/>
          <w:color w:val="000000"/>
          <w:sz w:val="24"/>
          <w:szCs w:val="24"/>
        </w:rPr>
        <w:t xml:space="preserve"> energjisë primare dhe mund të kualifikohen si kogjenerim me efiçencë të lartë.</w:t>
      </w:r>
    </w:p>
    <w:p w14:paraId="209CE16F" w14:textId="74F11160" w:rsidR="001F2F1B" w:rsidRPr="007E449D" w:rsidRDefault="001F2F1B" w:rsidP="001F2F1B">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lastRenderedPageBreak/>
        <w:t>b) Sasia e kursimit të energjisë primare që sigurohet nga kogjenerimi përcaktohet në përputhje me parimet e përgjithshme për llogaritjen e energjisë elektrike nga kogjenerimi dhe llogaritet në bazë të kësaj formule:</w:t>
      </w:r>
    </w:p>
    <w:p w14:paraId="3D8114C0" w14:textId="1849D51F" w:rsidR="001F2F1B" w:rsidRPr="007E449D" w:rsidRDefault="007F35B9" w:rsidP="001F2F1B">
      <w:pPr>
        <w:autoSpaceDE w:val="0"/>
        <w:autoSpaceDN w:val="0"/>
        <w:adjustRightInd w:val="0"/>
        <w:spacing w:after="0" w:line="310" w:lineRule="atLeast"/>
        <w:ind w:firstLine="284"/>
        <w:jc w:val="both"/>
        <w:rPr>
          <w:rFonts w:ascii="Garamond" w:hAnsi="Garamond" w:cs="Times New Roman"/>
          <w:color w:val="000000"/>
          <w:sz w:val="24"/>
          <w:szCs w:val="24"/>
        </w:rPr>
      </w:pPr>
      <m:oMathPara>
        <m:oMath>
          <m:r>
            <w:rPr>
              <w:rFonts w:ascii="Cambria Math" w:hAnsi="Cambria Math" w:cs="Times New Roman"/>
              <w:sz w:val="24"/>
              <w:szCs w:val="24"/>
            </w:rPr>
            <m:t>PES=</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f>
                    <m:fPr>
                      <m:ctrlPr>
                        <w:rPr>
                          <w:rFonts w:ascii="Cambria Math" w:hAnsi="Cambria Math" w:cs="Times New Roman"/>
                          <w:i/>
                          <w:sz w:val="24"/>
                          <w:szCs w:val="24"/>
                        </w:rPr>
                      </m:ctrlPr>
                    </m:fPr>
                    <m:num>
                      <m:r>
                        <m:rPr>
                          <m:sty m:val="p"/>
                        </m:rPr>
                        <w:rPr>
                          <w:rFonts w:ascii="Cambria Math" w:hAnsi="Cambria Math" w:cs="Times New Roman"/>
                          <w:sz w:val="24"/>
                          <w:szCs w:val="24"/>
                        </w:rPr>
                        <m:t xml:space="preserve">CHP Hη </m:t>
                      </m:r>
                    </m:num>
                    <m:den>
                      <m:r>
                        <m:rPr>
                          <m:sty m:val="p"/>
                        </m:rPr>
                        <w:rPr>
                          <w:rFonts w:ascii="Cambria Math" w:hAnsi="Cambria Math" w:cs="Times New Roman"/>
                          <w:sz w:val="24"/>
                          <w:szCs w:val="24"/>
                        </w:rPr>
                        <m:t>Ref Hη</m:t>
                      </m:r>
                    </m:den>
                  </m:f>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CHP Eη</m:t>
                      </m:r>
                    </m:num>
                    <m:den>
                      <m:r>
                        <m:rPr>
                          <m:sty m:val="p"/>
                        </m:rPr>
                        <w:rPr>
                          <w:rFonts w:ascii="Cambria Math" w:hAnsi="Cambria Math" w:cs="Times New Roman"/>
                          <w:sz w:val="24"/>
                          <w:szCs w:val="24"/>
                        </w:rPr>
                        <m:t>Ref Eη</m:t>
                      </m:r>
                    </m:den>
                  </m:f>
                </m:den>
              </m:f>
            </m:e>
          </m:d>
          <m:r>
            <w:rPr>
              <w:rFonts w:ascii="Cambria Math" w:eastAsiaTheme="minorEastAsia" w:hAnsi="Cambria Math" w:cs="Times New Roman"/>
              <w:sz w:val="24"/>
              <w:szCs w:val="24"/>
            </w:rPr>
            <m:t>*100%</m:t>
          </m:r>
        </m:oMath>
      </m:oMathPara>
    </w:p>
    <w:p w14:paraId="6C123A2E" w14:textId="77777777" w:rsidR="007F35B9" w:rsidRPr="007E449D" w:rsidRDefault="007F35B9" w:rsidP="001F2F1B">
      <w:pPr>
        <w:autoSpaceDE w:val="0"/>
        <w:autoSpaceDN w:val="0"/>
        <w:adjustRightInd w:val="0"/>
        <w:spacing w:after="0" w:line="310" w:lineRule="atLeast"/>
        <w:ind w:firstLine="284"/>
        <w:jc w:val="both"/>
        <w:rPr>
          <w:rFonts w:ascii="Garamond" w:hAnsi="Garamond" w:cs="Times New Roman"/>
          <w:color w:val="000000"/>
          <w:sz w:val="24"/>
          <w:szCs w:val="24"/>
        </w:rPr>
      </w:pPr>
    </w:p>
    <w:p w14:paraId="5119E6E0" w14:textId="77777777"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ku:</w:t>
      </w:r>
    </w:p>
    <w:p w14:paraId="69BB02A7" w14:textId="18365707"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PES – është kursimi i energjisë primare</w:t>
      </w:r>
      <w:r w:rsidR="00683A26">
        <w:rPr>
          <w:rFonts w:ascii="Garamond" w:hAnsi="Garamond" w:cs="Times New Roman"/>
          <w:color w:val="000000"/>
          <w:sz w:val="24"/>
          <w:szCs w:val="24"/>
        </w:rPr>
        <w:t>;</w:t>
      </w:r>
    </w:p>
    <w:p w14:paraId="4661B45B" w14:textId="2320043A"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CHP Hη – </w:t>
      </w:r>
      <w:r w:rsidR="00683A26" w:rsidRPr="007E449D">
        <w:rPr>
          <w:rFonts w:ascii="Garamond" w:hAnsi="Garamond" w:cs="Times New Roman"/>
          <w:color w:val="000000"/>
          <w:sz w:val="24"/>
          <w:szCs w:val="24"/>
        </w:rPr>
        <w:t>është</w:t>
      </w:r>
      <w:r w:rsidRPr="007E449D">
        <w:rPr>
          <w:rFonts w:ascii="Garamond" w:hAnsi="Garamond" w:cs="Times New Roman"/>
          <w:color w:val="000000"/>
          <w:sz w:val="24"/>
          <w:szCs w:val="24"/>
        </w:rPr>
        <w:t xml:space="preserve"> efiçenca e energjisë termike nga kogjenerimi</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që përkufizohet si prodhim vjetor i dobishëm i energjisë termike pjesëtuar me inputin e lëndës djegëse që përdoret për të prodhuar shumën e prodhimit të dobishëm të energjisë termike dhe energjisë elektrike nga kogjenerimi;</w:t>
      </w:r>
    </w:p>
    <w:p w14:paraId="2D50F248" w14:textId="77777777"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Ref Hη – është vlera referuese e efiçencës për prodhimin e veçantë të energjisë termike;</w:t>
      </w:r>
    </w:p>
    <w:p w14:paraId="156B8B3A" w14:textId="520FC1F2"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CHP Eη – është efiçenca e energjisë elektrike nga kogjenerim</w:t>
      </w:r>
      <w:r w:rsidR="00683A26">
        <w:rPr>
          <w:rFonts w:ascii="Garamond" w:hAnsi="Garamond" w:cs="Times New Roman"/>
          <w:color w:val="000000"/>
          <w:sz w:val="24"/>
          <w:szCs w:val="24"/>
        </w:rPr>
        <w:t>i,</w:t>
      </w:r>
      <w:r w:rsidRPr="007E449D">
        <w:rPr>
          <w:rFonts w:ascii="Garamond" w:hAnsi="Garamond" w:cs="Times New Roman"/>
          <w:color w:val="000000"/>
          <w:sz w:val="24"/>
          <w:szCs w:val="24"/>
        </w:rPr>
        <w:t xml:space="preserve"> që përkufizohet si energjia elektrike vjetore nga kogjenerimi i pjesëtuar me inputin e lëndës djegëse për të prodhuar shumën e prodhimit të dobishëm të energjisë termike dhe energji elektrike nga kogjenerimi. Kur njësia e kogjenerimit prodhon energji mekanike, energjia elektrike vjetore nga kogjenerimi mund të rritet me një element shtesë që paraqet shumën e energjisë elektrike që është e barabartë me atë të energjisë mekanike. Ky element shtesë nuk krijon të drejtën për të nxjerrë garanci të origjinës;</w:t>
      </w:r>
    </w:p>
    <w:p w14:paraId="0B2FFF23" w14:textId="543F1A64" w:rsidR="001F2F1B" w:rsidRDefault="001F2F1B" w:rsidP="00683A26">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Ref Eη është vlera referuese e efiçencës për prodhimin e veçantë të energjisë elektrike.</w:t>
      </w:r>
    </w:p>
    <w:p w14:paraId="13E44061" w14:textId="77777777" w:rsidR="00683A26" w:rsidRPr="00683A26" w:rsidRDefault="00683A26" w:rsidP="00683A26">
      <w:pPr>
        <w:autoSpaceDE w:val="0"/>
        <w:autoSpaceDN w:val="0"/>
        <w:adjustRightInd w:val="0"/>
        <w:spacing w:after="0" w:line="240" w:lineRule="auto"/>
        <w:ind w:firstLine="284"/>
        <w:jc w:val="both"/>
        <w:rPr>
          <w:rFonts w:ascii="Garamond" w:hAnsi="Garamond" w:cs="Times New Roman"/>
          <w:color w:val="000000"/>
          <w:sz w:val="12"/>
          <w:szCs w:val="24"/>
        </w:rPr>
      </w:pPr>
    </w:p>
    <w:p w14:paraId="4B5BA214" w14:textId="081E090C"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c) Mund të përdoren llogaritje alternative të kursimit të energjisë primare nga prodhimi i energjisë termike, energjisë elektrike dhe </w:t>
      </w:r>
      <w:r w:rsidR="00683A26" w:rsidRPr="007E449D">
        <w:rPr>
          <w:rFonts w:ascii="Garamond" w:hAnsi="Garamond" w:cs="Times New Roman"/>
          <w:color w:val="000000"/>
          <w:sz w:val="24"/>
          <w:szCs w:val="24"/>
        </w:rPr>
        <w:t>energjisë</w:t>
      </w:r>
      <w:r w:rsidRPr="007E449D">
        <w:rPr>
          <w:rFonts w:ascii="Garamond" w:hAnsi="Garamond" w:cs="Times New Roman"/>
          <w:color w:val="000000"/>
          <w:sz w:val="24"/>
          <w:szCs w:val="24"/>
        </w:rPr>
        <w:t xml:space="preserve"> mekanike, </w:t>
      </w:r>
      <w:r w:rsidR="00683A26" w:rsidRPr="007E449D">
        <w:rPr>
          <w:rFonts w:ascii="Garamond" w:hAnsi="Garamond" w:cs="Times New Roman"/>
          <w:color w:val="000000"/>
          <w:sz w:val="24"/>
          <w:szCs w:val="24"/>
        </w:rPr>
        <w:t>siç</w:t>
      </w:r>
      <w:r w:rsidRPr="007E449D">
        <w:rPr>
          <w:rFonts w:ascii="Garamond" w:hAnsi="Garamond" w:cs="Times New Roman"/>
          <w:color w:val="000000"/>
          <w:sz w:val="24"/>
          <w:szCs w:val="24"/>
        </w:rPr>
        <w:t xml:space="preserve"> përcaktohet në </w:t>
      </w:r>
      <w:r w:rsidR="00683A26" w:rsidRPr="007E449D">
        <w:rPr>
          <w:rFonts w:ascii="Garamond" w:hAnsi="Garamond" w:cs="Times New Roman"/>
          <w:color w:val="000000"/>
          <w:sz w:val="24"/>
          <w:szCs w:val="24"/>
        </w:rPr>
        <w:t>paragrafin</w:t>
      </w:r>
      <w:r w:rsidRPr="007E449D">
        <w:rPr>
          <w:rFonts w:ascii="Garamond" w:hAnsi="Garamond" w:cs="Times New Roman"/>
          <w:color w:val="000000"/>
          <w:sz w:val="24"/>
          <w:szCs w:val="24"/>
        </w:rPr>
        <w:t xml:space="preserve"> e mëposhtëm, pa i zbatuar parimet e përgjithshme për llogaritjen e energjisë elektrike nga kogjenerimi për të përjashtuar pjesët e energjisë termike dhe energjisë elektrike të cilat nuk kogjenerohen nga i njëjti proces</w:t>
      </w:r>
      <w:r w:rsidR="00683A26">
        <w:rPr>
          <w:rFonts w:ascii="Garamond" w:hAnsi="Garamond" w:cs="Times New Roman"/>
          <w:color w:val="000000"/>
          <w:sz w:val="24"/>
          <w:szCs w:val="24"/>
        </w:rPr>
        <w:t>;</w:t>
      </w:r>
    </w:p>
    <w:p w14:paraId="1565B43B" w14:textId="6002E8E0"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d) Prodhimi</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sipas paragrafit 4 të këtij neni</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mund të konsiderohet si kogjenerim me efiçencë të lartë me kusht, nëse i plotëson kriteret </w:t>
      </w:r>
      <w:r w:rsidR="00683A26">
        <w:rPr>
          <w:rFonts w:ascii="Garamond" w:hAnsi="Garamond" w:cs="Times New Roman"/>
          <w:color w:val="000000"/>
          <w:sz w:val="24"/>
          <w:szCs w:val="24"/>
        </w:rPr>
        <w:t xml:space="preserve">e </w:t>
      </w:r>
      <w:r w:rsidRPr="007E449D">
        <w:rPr>
          <w:rFonts w:ascii="Garamond" w:hAnsi="Garamond" w:cs="Times New Roman"/>
          <w:color w:val="000000"/>
          <w:sz w:val="24"/>
          <w:szCs w:val="24"/>
        </w:rPr>
        <w:t>efiçencës nga paragrafi 2 i këtij neni</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ndërsa, për njësitë e kogjenerimit me kapacitet elektrik më të madh se 25 </w:t>
      </w:r>
      <w:r w:rsidR="00683A26" w:rsidRPr="007E449D">
        <w:rPr>
          <w:rFonts w:ascii="Garamond" w:hAnsi="Garamond" w:cs="Times New Roman"/>
          <w:color w:val="000000"/>
          <w:sz w:val="24"/>
          <w:szCs w:val="24"/>
        </w:rPr>
        <w:t>mw</w:t>
      </w:r>
      <w:r w:rsidRPr="007E449D">
        <w:rPr>
          <w:rFonts w:ascii="Garamond" w:hAnsi="Garamond" w:cs="Times New Roman"/>
          <w:color w:val="000000"/>
          <w:sz w:val="24"/>
          <w:szCs w:val="24"/>
        </w:rPr>
        <w:t>, efiçenca e përgjithshme është mbi 70%. Specifikimi i sasisë së energjisë elektrike nga kogjenerimi i prodhuar në një prodhim të tillë, për nxjerrjen e garancisë së origjinës dhe për qëllime statistikore, përcaktohet në përputhje me parimet e përgjithshme për llogaritjen e energjisë elektrike nga kogjenerimi</w:t>
      </w:r>
      <w:r w:rsidR="00683A26">
        <w:rPr>
          <w:rFonts w:ascii="Garamond" w:hAnsi="Garamond" w:cs="Times New Roman"/>
          <w:color w:val="000000"/>
          <w:sz w:val="24"/>
          <w:szCs w:val="24"/>
        </w:rPr>
        <w:t>;</w:t>
      </w:r>
    </w:p>
    <w:p w14:paraId="79C0028A" w14:textId="14B372F1"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e) Nëse kursimi i energjisë primare për një proces llogaritet duke përdorur llogaritjen alternative</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w:t>
      </w:r>
      <w:r w:rsidR="00683A26" w:rsidRPr="007E449D">
        <w:rPr>
          <w:rFonts w:ascii="Garamond" w:hAnsi="Garamond" w:cs="Times New Roman"/>
          <w:color w:val="000000"/>
          <w:sz w:val="24"/>
          <w:szCs w:val="24"/>
        </w:rPr>
        <w:t>siç</w:t>
      </w:r>
      <w:r w:rsidRPr="007E449D">
        <w:rPr>
          <w:rFonts w:ascii="Garamond" w:hAnsi="Garamond" w:cs="Times New Roman"/>
          <w:color w:val="000000"/>
          <w:sz w:val="24"/>
          <w:szCs w:val="24"/>
        </w:rPr>
        <w:t xml:space="preserve"> përcaktohet në paragrafin 4 të këtij neni, kursimi i energjisë primare llogaritet duke përdorur formulën në paragrafin 3 të këtij neni</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duke zëvendësuar: “CHP Hη” me “Hη” dhe “CHP Eη” me “Eη”, ku:</w:t>
      </w:r>
    </w:p>
    <w:p w14:paraId="562E506F" w14:textId="69B2D9C1" w:rsidR="001F2F1B" w:rsidRPr="007E449D" w:rsidRDefault="00B07BF4" w:rsidP="003E1242">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Wingdings"/>
          <w:color w:val="000000"/>
          <w:sz w:val="24"/>
          <w:szCs w:val="24"/>
        </w:rPr>
        <w:t>-</w:t>
      </w:r>
      <w:r w:rsidR="001F2F1B" w:rsidRPr="007E449D">
        <w:rPr>
          <w:rFonts w:ascii="Garamond" w:hAnsi="Garamond" w:cs="Wingdings"/>
          <w:color w:val="000000"/>
          <w:sz w:val="24"/>
          <w:szCs w:val="24"/>
        </w:rPr>
        <w:t xml:space="preserve"> </w:t>
      </w:r>
      <w:r w:rsidR="001F2F1B" w:rsidRPr="007E449D">
        <w:rPr>
          <w:rFonts w:ascii="Garamond" w:hAnsi="Garamond" w:cs="Times New Roman"/>
          <w:color w:val="000000"/>
          <w:sz w:val="24"/>
          <w:szCs w:val="24"/>
        </w:rPr>
        <w:t>Hη – nënkupton efiçencën e ngrohjes që përkufizohet si prodhimi vjetor i energjisë termike pjesëtuar me inputin e lëndës djegëse që përdoret për të prodhuar shumën e prodhimit të energjisë termike dhe të energjisë elektrike</w:t>
      </w:r>
      <w:r w:rsidR="00683A26">
        <w:rPr>
          <w:rFonts w:ascii="Garamond" w:hAnsi="Garamond" w:cs="Times New Roman"/>
          <w:color w:val="000000"/>
          <w:sz w:val="24"/>
          <w:szCs w:val="24"/>
        </w:rPr>
        <w:t>;</w:t>
      </w:r>
    </w:p>
    <w:p w14:paraId="49D0862B" w14:textId="1F39C667" w:rsidR="001F2F1B" w:rsidRPr="007E449D" w:rsidRDefault="00B07BF4" w:rsidP="003E1242">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Wingdings"/>
          <w:color w:val="000000"/>
          <w:sz w:val="24"/>
          <w:szCs w:val="24"/>
        </w:rPr>
        <w:t>-</w:t>
      </w:r>
      <w:bookmarkStart w:id="0" w:name="_GoBack"/>
      <w:bookmarkEnd w:id="0"/>
      <w:r w:rsidR="001F2F1B" w:rsidRPr="007E449D">
        <w:rPr>
          <w:rFonts w:ascii="Garamond" w:hAnsi="Garamond" w:cs="Wingdings"/>
          <w:color w:val="000000"/>
          <w:sz w:val="24"/>
          <w:szCs w:val="24"/>
        </w:rPr>
        <w:t xml:space="preserve"> </w:t>
      </w:r>
      <w:r w:rsidR="001F2F1B" w:rsidRPr="007E449D">
        <w:rPr>
          <w:rFonts w:ascii="Garamond" w:hAnsi="Garamond" w:cs="Times New Roman"/>
          <w:color w:val="000000"/>
          <w:sz w:val="24"/>
          <w:szCs w:val="24"/>
        </w:rPr>
        <w:t>Eη – nënkupton efiçenc</w:t>
      </w:r>
      <w:r w:rsidR="00683A26">
        <w:rPr>
          <w:rFonts w:ascii="Garamond" w:hAnsi="Garamond" w:cs="Times New Roman"/>
          <w:color w:val="000000"/>
          <w:sz w:val="24"/>
          <w:szCs w:val="24"/>
        </w:rPr>
        <w:t>ë</w:t>
      </w:r>
      <w:r w:rsidR="001F2F1B" w:rsidRPr="007E449D">
        <w:rPr>
          <w:rFonts w:ascii="Garamond" w:hAnsi="Garamond" w:cs="Times New Roman"/>
          <w:color w:val="000000"/>
          <w:sz w:val="24"/>
          <w:szCs w:val="24"/>
        </w:rPr>
        <w:t xml:space="preserve">n e energjisë elektrike të procesit që përkufizohet si prodhimi vjetor i energjisë elektrike pjesëtuar me lëndën djegëse që përdoret për të prodhuar shumën </w:t>
      </w:r>
      <w:r w:rsidR="00683A26">
        <w:rPr>
          <w:rFonts w:ascii="Garamond" w:hAnsi="Garamond" w:cs="Times New Roman"/>
          <w:color w:val="000000"/>
          <w:sz w:val="24"/>
          <w:szCs w:val="24"/>
        </w:rPr>
        <w:t xml:space="preserve">e </w:t>
      </w:r>
      <w:r w:rsidR="001F2F1B" w:rsidRPr="007E449D">
        <w:rPr>
          <w:rFonts w:ascii="Garamond" w:hAnsi="Garamond" w:cs="Times New Roman"/>
          <w:color w:val="000000"/>
          <w:sz w:val="24"/>
          <w:szCs w:val="24"/>
        </w:rPr>
        <w:t>prodhimit të energjisë termike dhe të energjisë elektrike. Kur njësia e kogjenerimit prodhon energji mekanike, energjia elektrike vjetore nga kogjenerimi mund të rritet me një element shtesë që paraqet shumën e energjisë elektrike që është e barabartë me atë të energjisë mekanike.</w:t>
      </w:r>
    </w:p>
    <w:p w14:paraId="5FB80346" w14:textId="1EFB5009"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f) Për njësitë e mikro-kogjenerimit, llogaritja e kursimit të energjisë primare mund të bazohet në të dhëna të certifikuara</w:t>
      </w:r>
      <w:r w:rsidR="00683A26">
        <w:rPr>
          <w:rFonts w:ascii="Garamond" w:hAnsi="Garamond" w:cs="Times New Roman"/>
          <w:color w:val="000000"/>
          <w:sz w:val="24"/>
          <w:szCs w:val="24"/>
        </w:rPr>
        <w:t>;</w:t>
      </w:r>
    </w:p>
    <w:p w14:paraId="31628499" w14:textId="17987592"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g) Vlerat referuese të harmonizuara të efiçencës për prodhimin e veçantë të energjisë termike dhe të energjisë elektrike duhet të përbehen nga një matricë e vlerave </w:t>
      </w:r>
      <w:r w:rsidR="00683A26">
        <w:rPr>
          <w:rFonts w:ascii="Garamond" w:hAnsi="Garamond" w:cs="Times New Roman"/>
          <w:color w:val="000000"/>
          <w:sz w:val="24"/>
          <w:szCs w:val="24"/>
        </w:rPr>
        <w:t>të</w:t>
      </w:r>
      <w:r w:rsidRPr="007E449D">
        <w:rPr>
          <w:rFonts w:ascii="Garamond" w:hAnsi="Garamond" w:cs="Times New Roman"/>
          <w:color w:val="000000"/>
          <w:sz w:val="24"/>
          <w:szCs w:val="24"/>
        </w:rPr>
        <w:t xml:space="preserve"> diferencuar nga faktorët relevant, duke përfshirë vitin e ndërtimit dhe llojet e lëndës djegëse, të jenë të bazuara në një analizë të mirëdokumentuar, duke marr</w:t>
      </w:r>
      <w:r w:rsidR="00683A26">
        <w:rPr>
          <w:rFonts w:ascii="Garamond" w:hAnsi="Garamond" w:cs="Times New Roman"/>
          <w:color w:val="000000"/>
          <w:sz w:val="24"/>
          <w:szCs w:val="24"/>
        </w:rPr>
        <w:t>ë</w:t>
      </w:r>
      <w:r w:rsidRPr="007E449D">
        <w:rPr>
          <w:rFonts w:ascii="Garamond" w:hAnsi="Garamond" w:cs="Times New Roman"/>
          <w:color w:val="000000"/>
          <w:sz w:val="24"/>
          <w:szCs w:val="24"/>
        </w:rPr>
        <w:t xml:space="preserve"> parasysh të dhëna nga përdorimi operativ nën kushte reale, përzierjen e lëndës djegëse dhe kushtet klimatike</w:t>
      </w:r>
      <w:r w:rsidR="00683A26">
        <w:rPr>
          <w:rFonts w:ascii="Garamond" w:hAnsi="Garamond" w:cs="Times New Roman"/>
          <w:color w:val="000000"/>
          <w:sz w:val="24"/>
          <w:szCs w:val="24"/>
        </w:rPr>
        <w:t xml:space="preserve">, </w:t>
      </w:r>
      <w:r w:rsidRPr="007E449D">
        <w:rPr>
          <w:rFonts w:ascii="Garamond" w:hAnsi="Garamond" w:cs="Times New Roman"/>
          <w:color w:val="000000"/>
          <w:sz w:val="24"/>
          <w:szCs w:val="24"/>
        </w:rPr>
        <w:t>si dhe teknologjitë e aplikuara të kogjenerimit</w:t>
      </w:r>
      <w:r w:rsidR="00683A26">
        <w:rPr>
          <w:rFonts w:ascii="Garamond" w:hAnsi="Garamond" w:cs="Times New Roman"/>
          <w:color w:val="000000"/>
          <w:sz w:val="24"/>
          <w:szCs w:val="24"/>
        </w:rPr>
        <w:t>;</w:t>
      </w:r>
    </w:p>
    <w:p w14:paraId="2B85B833" w14:textId="760B0A28"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h) Vlerat referuese të efiçencës për prodhimin e veçantë të energjisë termike dhe energjisë elektrike</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n</w:t>
      </w:r>
      <w:r w:rsidR="00683A26">
        <w:rPr>
          <w:rFonts w:ascii="Garamond" w:hAnsi="Garamond" w:cs="Times New Roman"/>
          <w:color w:val="000000"/>
          <w:sz w:val="24"/>
          <w:szCs w:val="24"/>
        </w:rPr>
        <w:t>ë</w:t>
      </w:r>
      <w:r w:rsidRPr="007E449D">
        <w:rPr>
          <w:rFonts w:ascii="Garamond" w:hAnsi="Garamond" w:cs="Times New Roman"/>
          <w:color w:val="000000"/>
          <w:sz w:val="24"/>
          <w:szCs w:val="24"/>
        </w:rPr>
        <w:t xml:space="preserve"> përputhje me formulën në paragrafin 3 të këtij neni</w:t>
      </w:r>
      <w:r w:rsidR="00683A26">
        <w:rPr>
          <w:rFonts w:ascii="Garamond" w:hAnsi="Garamond" w:cs="Times New Roman"/>
          <w:color w:val="000000"/>
          <w:sz w:val="24"/>
          <w:szCs w:val="24"/>
        </w:rPr>
        <w:t>,</w:t>
      </w:r>
      <w:r w:rsidRPr="007E449D">
        <w:rPr>
          <w:rFonts w:ascii="Garamond" w:hAnsi="Garamond" w:cs="Times New Roman"/>
          <w:color w:val="000000"/>
          <w:sz w:val="24"/>
          <w:szCs w:val="24"/>
        </w:rPr>
        <w:t xml:space="preserve"> përcaktojnë efiçencën operative të prodhimit të veçantë të energjisë termike dhe energjisë elektrike që kogjenerimi synon të zëvendësojë. Vlerat referuese të efi</w:t>
      </w:r>
      <w:r w:rsidR="00683A26">
        <w:rPr>
          <w:rFonts w:ascii="Garamond" w:hAnsi="Garamond" w:cs="Times New Roman"/>
          <w:color w:val="000000"/>
          <w:sz w:val="24"/>
          <w:szCs w:val="24"/>
        </w:rPr>
        <w:t>çe</w:t>
      </w:r>
      <w:r w:rsidRPr="007E449D">
        <w:rPr>
          <w:rFonts w:ascii="Garamond" w:hAnsi="Garamond" w:cs="Times New Roman"/>
          <w:color w:val="000000"/>
          <w:sz w:val="24"/>
          <w:szCs w:val="24"/>
        </w:rPr>
        <w:t>ncës llogariten sipas këtyre parimeve:</w:t>
      </w:r>
    </w:p>
    <w:p w14:paraId="43F85578" w14:textId="0C464FD7"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1. Për njësitë e kogjenerimit krahasimi me prodhimin e </w:t>
      </w:r>
      <w:r w:rsidR="00683A26" w:rsidRPr="007E449D">
        <w:rPr>
          <w:rFonts w:ascii="Garamond" w:hAnsi="Garamond" w:cs="Times New Roman"/>
          <w:color w:val="000000"/>
          <w:sz w:val="24"/>
          <w:szCs w:val="24"/>
        </w:rPr>
        <w:t>veçantë</w:t>
      </w:r>
      <w:r w:rsidRPr="007E449D">
        <w:rPr>
          <w:rFonts w:ascii="Garamond" w:hAnsi="Garamond" w:cs="Times New Roman"/>
          <w:color w:val="000000"/>
          <w:sz w:val="24"/>
          <w:szCs w:val="24"/>
        </w:rPr>
        <w:t xml:space="preserve"> të energjisë elektrike bazohet në parimin që krahasohen kategoritë e lëndëve djegëse të njëjta;</w:t>
      </w:r>
    </w:p>
    <w:p w14:paraId="28F3A760" w14:textId="22422747"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 xml:space="preserve">2. Secila njësi e kogjenerimit krahasohet me teknologjinë më të mirë në dispozicion dhe ekonomikisht të arsyeshme për prodhim të </w:t>
      </w:r>
      <w:r w:rsidR="00683A26" w:rsidRPr="007E449D">
        <w:rPr>
          <w:rFonts w:ascii="Garamond" w:hAnsi="Garamond" w:cs="Times New Roman"/>
          <w:color w:val="000000"/>
          <w:sz w:val="24"/>
          <w:szCs w:val="24"/>
        </w:rPr>
        <w:t>veçantë</w:t>
      </w:r>
      <w:r w:rsidRPr="007E449D">
        <w:rPr>
          <w:rFonts w:ascii="Garamond" w:hAnsi="Garamond" w:cs="Times New Roman"/>
          <w:color w:val="000000"/>
          <w:sz w:val="24"/>
          <w:szCs w:val="24"/>
        </w:rPr>
        <w:t xml:space="preserve"> të energjisë termike dhe energjisë elektrike në treg në vitin e ndërtimit të asaj njësie të kogjenerimit;</w:t>
      </w:r>
    </w:p>
    <w:p w14:paraId="2668CBFE" w14:textId="5A7C44D3"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3. Vlerat referuese të efiçencës për njësitë e kogjenerimit më të vjetra se 10 vjet do të fiksohen në vlerat referuese të njësive 10</w:t>
      </w:r>
      <w:r w:rsidR="00683A26">
        <w:rPr>
          <w:rFonts w:ascii="Garamond" w:hAnsi="Garamond" w:cs="Times New Roman"/>
          <w:color w:val="000000"/>
          <w:sz w:val="24"/>
          <w:szCs w:val="24"/>
        </w:rPr>
        <w:t>-</w:t>
      </w:r>
      <w:r w:rsidR="00683A26" w:rsidRPr="007E449D">
        <w:rPr>
          <w:rFonts w:ascii="Garamond" w:hAnsi="Garamond" w:cs="Times New Roman"/>
          <w:color w:val="000000"/>
          <w:sz w:val="24"/>
          <w:szCs w:val="24"/>
        </w:rPr>
        <w:t>vjeçare</w:t>
      </w:r>
      <w:r w:rsidRPr="007E449D">
        <w:rPr>
          <w:rFonts w:ascii="Garamond" w:hAnsi="Garamond" w:cs="Times New Roman"/>
          <w:color w:val="000000"/>
          <w:sz w:val="24"/>
          <w:szCs w:val="24"/>
        </w:rPr>
        <w:t>;</w:t>
      </w:r>
    </w:p>
    <w:p w14:paraId="1D669901" w14:textId="3D2F5820" w:rsidR="001F2F1B" w:rsidRPr="007E449D" w:rsidRDefault="001F2F1B" w:rsidP="003E1242">
      <w:pPr>
        <w:autoSpaceDE w:val="0"/>
        <w:autoSpaceDN w:val="0"/>
        <w:adjustRightInd w:val="0"/>
        <w:spacing w:after="0" w:line="240" w:lineRule="auto"/>
        <w:ind w:firstLine="284"/>
        <w:jc w:val="both"/>
        <w:rPr>
          <w:rFonts w:ascii="Garamond" w:hAnsi="Garamond" w:cs="Times New Roman"/>
          <w:color w:val="000000"/>
          <w:sz w:val="24"/>
          <w:szCs w:val="24"/>
        </w:rPr>
      </w:pPr>
      <w:r w:rsidRPr="007E449D">
        <w:rPr>
          <w:rFonts w:ascii="Garamond" w:hAnsi="Garamond" w:cs="Times New Roman"/>
          <w:color w:val="000000"/>
          <w:sz w:val="24"/>
          <w:szCs w:val="24"/>
        </w:rPr>
        <w:t>4. Vlerat referuese të efiçencës për prodhimin e veçantë të energjisë elektrike dhe të energjisë termike duhet t</w:t>
      </w:r>
      <w:r w:rsidR="006F211C">
        <w:rPr>
          <w:rFonts w:ascii="Garamond" w:hAnsi="Garamond" w:cs="Times New Roman"/>
          <w:color w:val="000000"/>
          <w:sz w:val="24"/>
          <w:szCs w:val="24"/>
        </w:rPr>
        <w:t>ë</w:t>
      </w:r>
      <w:r w:rsidRPr="007E449D">
        <w:rPr>
          <w:rFonts w:ascii="Garamond" w:hAnsi="Garamond" w:cs="Times New Roman"/>
          <w:color w:val="000000"/>
          <w:sz w:val="24"/>
          <w:szCs w:val="24"/>
        </w:rPr>
        <w:t xml:space="preserve"> reflektojnë kushtet klimatike të Shqipërisë.</w:t>
      </w:r>
    </w:p>
    <w:p w14:paraId="06FE16F2" w14:textId="1CB582A3" w:rsidR="00D060B7" w:rsidRPr="007E449D" w:rsidRDefault="00D060B7" w:rsidP="003E1242">
      <w:pPr>
        <w:spacing w:after="0" w:line="240" w:lineRule="auto"/>
        <w:ind w:firstLine="284"/>
        <w:rPr>
          <w:rFonts w:ascii="Garamond" w:hAnsi="Garamond"/>
          <w:sz w:val="24"/>
          <w:szCs w:val="24"/>
        </w:rPr>
      </w:pPr>
    </w:p>
    <w:sectPr w:rsidR="00D060B7" w:rsidRPr="007E449D" w:rsidSect="002C4459">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85E47" w14:textId="77777777" w:rsidR="00665417" w:rsidRDefault="00665417" w:rsidP="005A7CFA">
      <w:pPr>
        <w:spacing w:after="0" w:line="240" w:lineRule="auto"/>
      </w:pPr>
      <w:r>
        <w:separator/>
      </w:r>
    </w:p>
  </w:endnote>
  <w:endnote w:type="continuationSeparator" w:id="0">
    <w:p w14:paraId="0618B219" w14:textId="77777777" w:rsidR="00665417" w:rsidRDefault="00665417" w:rsidP="005A7CFA">
      <w:pPr>
        <w:spacing w:after="0" w:line="240" w:lineRule="auto"/>
      </w:pPr>
      <w:r>
        <w:continuationSeparator/>
      </w:r>
    </w:p>
  </w:endnote>
  <w:endnote w:type="continuationNotice" w:id="1">
    <w:p w14:paraId="339ECE14" w14:textId="77777777" w:rsidR="00665417" w:rsidRDefault="006654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475147" w14:textId="77777777" w:rsidR="00665417" w:rsidRDefault="00665417" w:rsidP="005A7CFA">
      <w:pPr>
        <w:spacing w:after="0" w:line="240" w:lineRule="auto"/>
      </w:pPr>
      <w:r>
        <w:separator/>
      </w:r>
    </w:p>
  </w:footnote>
  <w:footnote w:type="continuationSeparator" w:id="0">
    <w:p w14:paraId="6F55250D" w14:textId="77777777" w:rsidR="00665417" w:rsidRDefault="00665417" w:rsidP="005A7CFA">
      <w:pPr>
        <w:spacing w:after="0" w:line="240" w:lineRule="auto"/>
      </w:pPr>
      <w:r>
        <w:continuationSeparator/>
      </w:r>
    </w:p>
  </w:footnote>
  <w:footnote w:type="continuationNotice" w:id="1">
    <w:p w14:paraId="088D0EA9" w14:textId="77777777" w:rsidR="00665417" w:rsidRDefault="0066541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94E16" w14:textId="67929C02" w:rsidR="00665417" w:rsidRDefault="00665417" w:rsidP="002C4459">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A45BF"/>
    <w:multiLevelType w:val="hybridMultilevel"/>
    <w:tmpl w:val="8F88D62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2A022F"/>
    <w:multiLevelType w:val="hybridMultilevel"/>
    <w:tmpl w:val="CD246C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A7A69"/>
    <w:multiLevelType w:val="hybridMultilevel"/>
    <w:tmpl w:val="5350B416"/>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B9464E"/>
    <w:multiLevelType w:val="hybridMultilevel"/>
    <w:tmpl w:val="7772E9DE"/>
    <w:lvl w:ilvl="0" w:tplc="FFFFFFFF">
      <w:start w:val="1"/>
      <w:numFmt w:val="lowerLetter"/>
      <w:lvlText w:val="%1)"/>
      <w:lvlJc w:val="left"/>
      <w:pPr>
        <w:ind w:left="720" w:hanging="360"/>
      </w:pPr>
    </w:lvl>
    <w:lvl w:ilvl="1" w:tplc="FFFFFFFF">
      <w:start w:val="1"/>
      <w:numFmt w:val="decimal"/>
      <w:lvlText w:val="%2."/>
      <w:lvlJc w:val="left"/>
      <w:pPr>
        <w:ind w:left="3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C850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C1045E"/>
    <w:multiLevelType w:val="multilevel"/>
    <w:tmpl w:val="1A3A7398"/>
    <w:lvl w:ilvl="0">
      <w:start w:val="1"/>
      <w:numFmt w:val="lowerLetter"/>
      <w:lvlText w:val="%1)"/>
      <w:lvlJc w:val="left"/>
      <w:pPr>
        <w:ind w:left="900" w:hanging="360"/>
      </w:pPr>
      <w:rPr>
        <w:rFonts w:hint="default"/>
        <w:sz w:val="24"/>
        <w:szCs w:val="24"/>
      </w:rPr>
    </w:lvl>
    <w:lvl w:ilvl="1">
      <w:start w:val="42"/>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15424B90"/>
    <w:multiLevelType w:val="hybridMultilevel"/>
    <w:tmpl w:val="CCB4C24E"/>
    <w:lvl w:ilvl="0" w:tplc="FFFFFFFF">
      <w:start w:val="1"/>
      <w:numFmt w:val="lowerRoman"/>
      <w:lvlText w:val="%1."/>
      <w:lvlJc w:val="right"/>
      <w:pPr>
        <w:ind w:left="1530" w:hanging="360"/>
      </w:p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7" w15:restartNumberingAfterBreak="0">
    <w:nsid w:val="15E118FA"/>
    <w:multiLevelType w:val="hybridMultilevel"/>
    <w:tmpl w:val="50681206"/>
    <w:lvl w:ilvl="0" w:tplc="786C547C">
      <w:start w:val="1"/>
      <w:numFmt w:val="bullet"/>
      <w:lvlText w:val="-"/>
      <w:lvlJc w:val="left"/>
      <w:pPr>
        <w:ind w:left="1890" w:hanging="360"/>
      </w:pPr>
      <w:rPr>
        <w:rFonts w:ascii="Calibri" w:eastAsiaTheme="minorHAnsi" w:hAnsi="Calibri" w:cs="Calibr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B14117A"/>
    <w:multiLevelType w:val="multilevel"/>
    <w:tmpl w:val="1A3A7398"/>
    <w:lvl w:ilvl="0">
      <w:start w:val="1"/>
      <w:numFmt w:val="lowerLetter"/>
      <w:lvlText w:val="%1)"/>
      <w:lvlJc w:val="left"/>
      <w:pPr>
        <w:ind w:left="900" w:hanging="360"/>
      </w:pPr>
      <w:rPr>
        <w:rFonts w:hint="default"/>
        <w:sz w:val="24"/>
        <w:szCs w:val="24"/>
      </w:rPr>
    </w:lvl>
    <w:lvl w:ilvl="1">
      <w:start w:val="42"/>
      <w:numFmt w:val="decimal"/>
      <w:isLgl/>
      <w:lvlText w:val="%1.%2."/>
      <w:lvlJc w:val="left"/>
      <w:pPr>
        <w:ind w:left="1020" w:hanging="48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9" w15:restartNumberingAfterBreak="0">
    <w:nsid w:val="1C4B11D2"/>
    <w:multiLevelType w:val="hybridMultilevel"/>
    <w:tmpl w:val="BFEEA2F6"/>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1E554F6E"/>
    <w:multiLevelType w:val="hybridMultilevel"/>
    <w:tmpl w:val="E99E16AE"/>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1" w15:restartNumberingAfterBreak="0">
    <w:nsid w:val="2BDE1F51"/>
    <w:multiLevelType w:val="hybridMultilevel"/>
    <w:tmpl w:val="738A17B8"/>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2CD94BCD"/>
    <w:multiLevelType w:val="hybridMultilevel"/>
    <w:tmpl w:val="842050FA"/>
    <w:lvl w:ilvl="0" w:tplc="12C8C3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C44477"/>
    <w:multiLevelType w:val="hybridMultilevel"/>
    <w:tmpl w:val="A0E61444"/>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33685FA9"/>
    <w:multiLevelType w:val="hybridMultilevel"/>
    <w:tmpl w:val="CCB4C24E"/>
    <w:lvl w:ilvl="0" w:tplc="FFFFFFFF">
      <w:start w:val="1"/>
      <w:numFmt w:val="lowerRoman"/>
      <w:lvlText w:val="%1."/>
      <w:lvlJc w:val="righ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5" w15:restartNumberingAfterBreak="0">
    <w:nsid w:val="36C31CC6"/>
    <w:multiLevelType w:val="hybridMultilevel"/>
    <w:tmpl w:val="CCE4D1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2D1"/>
    <w:multiLevelType w:val="hybridMultilevel"/>
    <w:tmpl w:val="CCB4C24E"/>
    <w:lvl w:ilvl="0" w:tplc="FFFFFFFF">
      <w:start w:val="1"/>
      <w:numFmt w:val="lowerRoman"/>
      <w:lvlText w:val="%1."/>
      <w:lvlJc w:val="right"/>
      <w:pPr>
        <w:ind w:left="1530" w:hanging="360"/>
      </w:p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7" w15:restartNumberingAfterBreak="0">
    <w:nsid w:val="3CEE3928"/>
    <w:multiLevelType w:val="hybridMultilevel"/>
    <w:tmpl w:val="C650953C"/>
    <w:lvl w:ilvl="0" w:tplc="1A6022BA">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3D18795A"/>
    <w:multiLevelType w:val="hybridMultilevel"/>
    <w:tmpl w:val="CCB4C24E"/>
    <w:lvl w:ilvl="0" w:tplc="FFFFFFFF">
      <w:start w:val="1"/>
      <w:numFmt w:val="lowerRoman"/>
      <w:lvlText w:val="%1."/>
      <w:lvlJc w:val="right"/>
      <w:pPr>
        <w:ind w:left="126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9" w15:restartNumberingAfterBreak="0">
    <w:nsid w:val="42307A2A"/>
    <w:multiLevelType w:val="multilevel"/>
    <w:tmpl w:val="AF6A19EA"/>
    <w:lvl w:ilvl="0">
      <w:start w:val="1"/>
      <w:numFmt w:val="decimal"/>
      <w:pStyle w:val="Heading1"/>
      <w:suff w:val="space"/>
      <w:lvlText w:val="%1"/>
      <w:lvlJc w:val="left"/>
      <w:pPr>
        <w:ind w:left="0" w:firstLine="0"/>
      </w:pPr>
      <w:rPr>
        <w:rFonts w:hint="default"/>
      </w:rPr>
    </w:lvl>
    <w:lvl w:ilvl="1">
      <w:start w:val="1"/>
      <w:numFmt w:val="decimal"/>
      <w:pStyle w:val="Heading2"/>
      <w:lvlText w:val="%1.%2"/>
      <w:lvlJc w:val="left"/>
      <w:pPr>
        <w:ind w:left="0" w:firstLine="0"/>
      </w:pPr>
      <w:rPr>
        <w:rFonts w:hint="default"/>
        <w:color w:val="auto"/>
      </w:rPr>
    </w:lvl>
    <w:lvl w:ilvl="2">
      <w:start w:val="1"/>
      <w:numFmt w:val="decimal"/>
      <w:pStyle w:val="Heading3"/>
      <w:suff w:val="nothing"/>
      <w:lvlText w:val="%1.%2.%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0" w15:restartNumberingAfterBreak="0">
    <w:nsid w:val="4B786EA1"/>
    <w:multiLevelType w:val="hybridMultilevel"/>
    <w:tmpl w:val="E048E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189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891E45"/>
    <w:multiLevelType w:val="multilevel"/>
    <w:tmpl w:val="1A3A7398"/>
    <w:lvl w:ilvl="0">
      <w:start w:val="1"/>
      <w:numFmt w:val="lowerLetter"/>
      <w:lvlText w:val="%1)"/>
      <w:lvlJc w:val="left"/>
      <w:pPr>
        <w:ind w:left="900" w:hanging="360"/>
      </w:pPr>
      <w:rPr>
        <w:rFonts w:hint="default"/>
        <w:sz w:val="24"/>
        <w:szCs w:val="24"/>
      </w:rPr>
    </w:lvl>
    <w:lvl w:ilvl="1">
      <w:start w:val="42"/>
      <w:numFmt w:val="decimal"/>
      <w:isLgl/>
      <w:lvlText w:val="%1.%2."/>
      <w:lvlJc w:val="left"/>
      <w:pPr>
        <w:ind w:left="1020" w:hanging="48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2" w15:restartNumberingAfterBreak="0">
    <w:nsid w:val="5137711B"/>
    <w:multiLevelType w:val="hybridMultilevel"/>
    <w:tmpl w:val="C220C49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1C35FE3"/>
    <w:multiLevelType w:val="hybridMultilevel"/>
    <w:tmpl w:val="BFFE1888"/>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4" w15:restartNumberingAfterBreak="0">
    <w:nsid w:val="529E4FE0"/>
    <w:multiLevelType w:val="hybridMultilevel"/>
    <w:tmpl w:val="FCA6FE2C"/>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5" w15:restartNumberingAfterBreak="0">
    <w:nsid w:val="568741D2"/>
    <w:multiLevelType w:val="hybridMultilevel"/>
    <w:tmpl w:val="88FC97BA"/>
    <w:lvl w:ilvl="0" w:tplc="0409001B">
      <w:start w:val="1"/>
      <w:numFmt w:val="lowerRoman"/>
      <w:lvlText w:val="%1."/>
      <w:lvlJc w:val="right"/>
      <w:pPr>
        <w:ind w:left="207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15:restartNumberingAfterBreak="0">
    <w:nsid w:val="58A61395"/>
    <w:multiLevelType w:val="hybridMultilevel"/>
    <w:tmpl w:val="CCB4C24E"/>
    <w:lvl w:ilvl="0" w:tplc="08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 w15:restartNumberingAfterBreak="0">
    <w:nsid w:val="5C0324CC"/>
    <w:multiLevelType w:val="hybridMultilevel"/>
    <w:tmpl w:val="A93AA1FE"/>
    <w:lvl w:ilvl="0" w:tplc="6E9E402C">
      <w:start w:val="17"/>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CDE70A8"/>
    <w:multiLevelType w:val="hybridMultilevel"/>
    <w:tmpl w:val="7F1CF52C"/>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9" w15:restartNumberingAfterBreak="0">
    <w:nsid w:val="5DF55D09"/>
    <w:multiLevelType w:val="hybridMultilevel"/>
    <w:tmpl w:val="7772E9DE"/>
    <w:lvl w:ilvl="0" w:tplc="FFFFFFFF">
      <w:start w:val="1"/>
      <w:numFmt w:val="lowerLetter"/>
      <w:lvlText w:val="%1)"/>
      <w:lvlJc w:val="left"/>
      <w:pPr>
        <w:ind w:left="720" w:hanging="360"/>
      </w:pPr>
    </w:lvl>
    <w:lvl w:ilvl="1" w:tplc="FFFFFFFF">
      <w:start w:val="1"/>
      <w:numFmt w:val="decimal"/>
      <w:lvlText w:val="%2."/>
      <w:lvlJc w:val="left"/>
      <w:pPr>
        <w:ind w:left="3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09C7BC4"/>
    <w:multiLevelType w:val="hybridMultilevel"/>
    <w:tmpl w:val="CCB4C24E"/>
    <w:lvl w:ilvl="0" w:tplc="FFFFFFFF">
      <w:start w:val="1"/>
      <w:numFmt w:val="lowerRoman"/>
      <w:lvlText w:val="%1."/>
      <w:lvlJc w:val="right"/>
      <w:pPr>
        <w:ind w:left="1530" w:hanging="360"/>
      </w:p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31" w15:restartNumberingAfterBreak="0">
    <w:nsid w:val="682B135E"/>
    <w:multiLevelType w:val="hybridMultilevel"/>
    <w:tmpl w:val="CCB4C24E"/>
    <w:lvl w:ilvl="0" w:tplc="FFFFFFFF">
      <w:start w:val="1"/>
      <w:numFmt w:val="lowerRoman"/>
      <w:lvlText w:val="%1."/>
      <w:lvlJc w:val="right"/>
      <w:pPr>
        <w:ind w:left="1530" w:hanging="360"/>
      </w:p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32" w15:restartNumberingAfterBreak="0">
    <w:nsid w:val="692D3FE2"/>
    <w:multiLevelType w:val="multilevel"/>
    <w:tmpl w:val="1A3A7398"/>
    <w:lvl w:ilvl="0">
      <w:start w:val="1"/>
      <w:numFmt w:val="lowerLetter"/>
      <w:lvlText w:val="%1)"/>
      <w:lvlJc w:val="left"/>
      <w:pPr>
        <w:ind w:left="644" w:hanging="360"/>
      </w:pPr>
      <w:rPr>
        <w:rFonts w:hint="default"/>
        <w:sz w:val="24"/>
        <w:szCs w:val="24"/>
      </w:rPr>
    </w:lvl>
    <w:lvl w:ilvl="1">
      <w:start w:val="42"/>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3" w15:restartNumberingAfterBreak="0">
    <w:nsid w:val="6A202363"/>
    <w:multiLevelType w:val="hybridMultilevel"/>
    <w:tmpl w:val="746E2600"/>
    <w:lvl w:ilvl="0" w:tplc="6E9E402C">
      <w:start w:val="17"/>
      <w:numFmt w:val="bullet"/>
      <w:lvlText w:val="-"/>
      <w:lvlJc w:val="left"/>
      <w:pPr>
        <w:ind w:left="720" w:hanging="360"/>
      </w:pPr>
      <w:rPr>
        <w:rFonts w:ascii="Arial" w:eastAsia="Calibri" w:hAnsi="Arial" w:cs="Arial" w:hint="default"/>
      </w:rPr>
    </w:lvl>
    <w:lvl w:ilvl="1" w:tplc="6E9E402C">
      <w:start w:val="17"/>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8F1E2A"/>
    <w:multiLevelType w:val="hybridMultilevel"/>
    <w:tmpl w:val="4E348DE2"/>
    <w:lvl w:ilvl="0" w:tplc="0409001B">
      <w:start w:val="1"/>
      <w:numFmt w:val="lowerRoman"/>
      <w:lvlText w:val="%1."/>
      <w:lvlJc w:val="right"/>
      <w:pPr>
        <w:ind w:left="1350" w:hanging="360"/>
      </w:pPr>
      <w:rPr>
        <w:rFonts w:hint="default"/>
      </w:rPr>
    </w:lvl>
    <w:lvl w:ilvl="1" w:tplc="04090003" w:tentative="1">
      <w:start w:val="1"/>
      <w:numFmt w:val="bullet"/>
      <w:lvlText w:val="o"/>
      <w:lvlJc w:val="left"/>
      <w:pPr>
        <w:ind w:left="2354" w:hanging="360"/>
      </w:pPr>
      <w:rPr>
        <w:rFonts w:ascii="Courier New" w:hAnsi="Courier New" w:cs="Courier New" w:hint="default"/>
      </w:rPr>
    </w:lvl>
    <w:lvl w:ilvl="2" w:tplc="04090005" w:tentative="1">
      <w:start w:val="1"/>
      <w:numFmt w:val="bullet"/>
      <w:lvlText w:val=""/>
      <w:lvlJc w:val="left"/>
      <w:pPr>
        <w:ind w:left="3074" w:hanging="360"/>
      </w:pPr>
      <w:rPr>
        <w:rFonts w:ascii="Wingdings" w:hAnsi="Wingdings" w:hint="default"/>
      </w:rPr>
    </w:lvl>
    <w:lvl w:ilvl="3" w:tplc="04090001" w:tentative="1">
      <w:start w:val="1"/>
      <w:numFmt w:val="bullet"/>
      <w:lvlText w:val=""/>
      <w:lvlJc w:val="left"/>
      <w:pPr>
        <w:ind w:left="3794" w:hanging="360"/>
      </w:pPr>
      <w:rPr>
        <w:rFonts w:ascii="Symbol" w:hAnsi="Symbol" w:hint="default"/>
      </w:rPr>
    </w:lvl>
    <w:lvl w:ilvl="4" w:tplc="04090003" w:tentative="1">
      <w:start w:val="1"/>
      <w:numFmt w:val="bullet"/>
      <w:lvlText w:val="o"/>
      <w:lvlJc w:val="left"/>
      <w:pPr>
        <w:ind w:left="4514" w:hanging="360"/>
      </w:pPr>
      <w:rPr>
        <w:rFonts w:ascii="Courier New" w:hAnsi="Courier New" w:cs="Courier New" w:hint="default"/>
      </w:rPr>
    </w:lvl>
    <w:lvl w:ilvl="5" w:tplc="04090005" w:tentative="1">
      <w:start w:val="1"/>
      <w:numFmt w:val="bullet"/>
      <w:lvlText w:val=""/>
      <w:lvlJc w:val="left"/>
      <w:pPr>
        <w:ind w:left="5234" w:hanging="360"/>
      </w:pPr>
      <w:rPr>
        <w:rFonts w:ascii="Wingdings" w:hAnsi="Wingdings" w:hint="default"/>
      </w:rPr>
    </w:lvl>
    <w:lvl w:ilvl="6" w:tplc="04090001" w:tentative="1">
      <w:start w:val="1"/>
      <w:numFmt w:val="bullet"/>
      <w:lvlText w:val=""/>
      <w:lvlJc w:val="left"/>
      <w:pPr>
        <w:ind w:left="5954" w:hanging="360"/>
      </w:pPr>
      <w:rPr>
        <w:rFonts w:ascii="Symbol" w:hAnsi="Symbol" w:hint="default"/>
      </w:rPr>
    </w:lvl>
    <w:lvl w:ilvl="7" w:tplc="04090003" w:tentative="1">
      <w:start w:val="1"/>
      <w:numFmt w:val="bullet"/>
      <w:lvlText w:val="o"/>
      <w:lvlJc w:val="left"/>
      <w:pPr>
        <w:ind w:left="6674" w:hanging="360"/>
      </w:pPr>
      <w:rPr>
        <w:rFonts w:ascii="Courier New" w:hAnsi="Courier New" w:cs="Courier New" w:hint="default"/>
      </w:rPr>
    </w:lvl>
    <w:lvl w:ilvl="8" w:tplc="04090005" w:tentative="1">
      <w:start w:val="1"/>
      <w:numFmt w:val="bullet"/>
      <w:lvlText w:val=""/>
      <w:lvlJc w:val="left"/>
      <w:pPr>
        <w:ind w:left="7394" w:hanging="360"/>
      </w:pPr>
      <w:rPr>
        <w:rFonts w:ascii="Wingdings" w:hAnsi="Wingdings" w:hint="default"/>
      </w:rPr>
    </w:lvl>
  </w:abstractNum>
  <w:abstractNum w:abstractNumId="35" w15:restartNumberingAfterBreak="0">
    <w:nsid w:val="7169170E"/>
    <w:multiLevelType w:val="hybridMultilevel"/>
    <w:tmpl w:val="779AE12A"/>
    <w:lvl w:ilvl="0" w:tplc="D0E801D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3EE464A"/>
    <w:multiLevelType w:val="multilevel"/>
    <w:tmpl w:val="1A3A7398"/>
    <w:lvl w:ilvl="0">
      <w:start w:val="1"/>
      <w:numFmt w:val="lowerLetter"/>
      <w:lvlText w:val="%1)"/>
      <w:lvlJc w:val="left"/>
      <w:pPr>
        <w:ind w:left="644" w:hanging="360"/>
      </w:pPr>
      <w:rPr>
        <w:rFonts w:hint="default"/>
        <w:sz w:val="24"/>
        <w:szCs w:val="24"/>
      </w:rPr>
    </w:lvl>
    <w:lvl w:ilvl="1">
      <w:start w:val="42"/>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7" w15:restartNumberingAfterBreak="0">
    <w:nsid w:val="76DA6330"/>
    <w:multiLevelType w:val="multilevel"/>
    <w:tmpl w:val="1A3A7398"/>
    <w:lvl w:ilvl="0">
      <w:start w:val="1"/>
      <w:numFmt w:val="lowerLetter"/>
      <w:lvlText w:val="%1)"/>
      <w:lvlJc w:val="left"/>
      <w:pPr>
        <w:ind w:left="900" w:hanging="360"/>
      </w:pPr>
      <w:rPr>
        <w:rFonts w:hint="default"/>
        <w:sz w:val="24"/>
        <w:szCs w:val="24"/>
      </w:rPr>
    </w:lvl>
    <w:lvl w:ilvl="1">
      <w:start w:val="42"/>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8" w15:restartNumberingAfterBreak="0">
    <w:nsid w:val="7A666E02"/>
    <w:multiLevelType w:val="hybridMultilevel"/>
    <w:tmpl w:val="C220C4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CAA4A28"/>
    <w:multiLevelType w:val="hybridMultilevel"/>
    <w:tmpl w:val="3BA201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36"/>
  </w:num>
  <w:num w:numId="4">
    <w:abstractNumId w:val="5"/>
  </w:num>
  <w:num w:numId="5">
    <w:abstractNumId w:val="21"/>
  </w:num>
  <w:num w:numId="6">
    <w:abstractNumId w:val="34"/>
  </w:num>
  <w:num w:numId="7">
    <w:abstractNumId w:val="26"/>
  </w:num>
  <w:num w:numId="8">
    <w:abstractNumId w:val="0"/>
  </w:num>
  <w:num w:numId="9">
    <w:abstractNumId w:val="13"/>
  </w:num>
  <w:num w:numId="10">
    <w:abstractNumId w:val="3"/>
  </w:num>
  <w:num w:numId="11">
    <w:abstractNumId w:val="38"/>
  </w:num>
  <w:num w:numId="12">
    <w:abstractNumId w:val="15"/>
  </w:num>
  <w:num w:numId="13">
    <w:abstractNumId w:val="35"/>
  </w:num>
  <w:num w:numId="14">
    <w:abstractNumId w:val="29"/>
  </w:num>
  <w:num w:numId="15">
    <w:abstractNumId w:val="22"/>
  </w:num>
  <w:num w:numId="16">
    <w:abstractNumId w:val="23"/>
  </w:num>
  <w:num w:numId="17">
    <w:abstractNumId w:val="6"/>
  </w:num>
  <w:num w:numId="18">
    <w:abstractNumId w:val="12"/>
  </w:num>
  <w:num w:numId="19">
    <w:abstractNumId w:val="1"/>
  </w:num>
  <w:num w:numId="20">
    <w:abstractNumId w:val="33"/>
  </w:num>
  <w:num w:numId="21">
    <w:abstractNumId w:val="27"/>
  </w:num>
  <w:num w:numId="22">
    <w:abstractNumId w:val="39"/>
  </w:num>
  <w:num w:numId="23">
    <w:abstractNumId w:val="37"/>
  </w:num>
  <w:num w:numId="24">
    <w:abstractNumId w:val="7"/>
  </w:num>
  <w:num w:numId="25">
    <w:abstractNumId w:val="18"/>
  </w:num>
  <w:num w:numId="26">
    <w:abstractNumId w:val="32"/>
  </w:num>
  <w:num w:numId="27">
    <w:abstractNumId w:val="14"/>
  </w:num>
  <w:num w:numId="28">
    <w:abstractNumId w:val="30"/>
  </w:num>
  <w:num w:numId="29">
    <w:abstractNumId w:val="31"/>
  </w:num>
  <w:num w:numId="30">
    <w:abstractNumId w:val="16"/>
  </w:num>
  <w:num w:numId="31">
    <w:abstractNumId w:val="8"/>
  </w:num>
  <w:num w:numId="32">
    <w:abstractNumId w:val="2"/>
  </w:num>
  <w:num w:numId="33">
    <w:abstractNumId w:val="11"/>
  </w:num>
  <w:num w:numId="34">
    <w:abstractNumId w:val="9"/>
  </w:num>
  <w:num w:numId="35">
    <w:abstractNumId w:val="24"/>
  </w:num>
  <w:num w:numId="36">
    <w:abstractNumId w:val="28"/>
  </w:num>
  <w:num w:numId="37">
    <w:abstractNumId w:val="17"/>
  </w:num>
  <w:num w:numId="38">
    <w:abstractNumId w:val="10"/>
  </w:num>
  <w:num w:numId="39">
    <w:abstractNumId w:val="20"/>
  </w:num>
  <w:num w:numId="40">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283"/>
    <w:rsid w:val="00004E43"/>
    <w:rsid w:val="00020FA7"/>
    <w:rsid w:val="000248CE"/>
    <w:rsid w:val="0003216A"/>
    <w:rsid w:val="00036652"/>
    <w:rsid w:val="00047660"/>
    <w:rsid w:val="00050524"/>
    <w:rsid w:val="00060780"/>
    <w:rsid w:val="00067716"/>
    <w:rsid w:val="00075AA1"/>
    <w:rsid w:val="000B33F9"/>
    <w:rsid w:val="000C1C8F"/>
    <w:rsid w:val="000C4FFA"/>
    <w:rsid w:val="00120CEB"/>
    <w:rsid w:val="00132881"/>
    <w:rsid w:val="00171A75"/>
    <w:rsid w:val="00183850"/>
    <w:rsid w:val="00193EE2"/>
    <w:rsid w:val="0019553B"/>
    <w:rsid w:val="001A6370"/>
    <w:rsid w:val="001B357B"/>
    <w:rsid w:val="001C3D40"/>
    <w:rsid w:val="001F2F1B"/>
    <w:rsid w:val="002112AC"/>
    <w:rsid w:val="002159D2"/>
    <w:rsid w:val="00231150"/>
    <w:rsid w:val="002633E2"/>
    <w:rsid w:val="00270573"/>
    <w:rsid w:val="00270FF6"/>
    <w:rsid w:val="002A189C"/>
    <w:rsid w:val="002B0BAC"/>
    <w:rsid w:val="002B4838"/>
    <w:rsid w:val="002C4459"/>
    <w:rsid w:val="002C4478"/>
    <w:rsid w:val="002C4C2F"/>
    <w:rsid w:val="002D422B"/>
    <w:rsid w:val="002D5A1E"/>
    <w:rsid w:val="00312A28"/>
    <w:rsid w:val="00315F41"/>
    <w:rsid w:val="00320991"/>
    <w:rsid w:val="00321869"/>
    <w:rsid w:val="00343A11"/>
    <w:rsid w:val="0038725D"/>
    <w:rsid w:val="00395486"/>
    <w:rsid w:val="003A582F"/>
    <w:rsid w:val="003B61B8"/>
    <w:rsid w:val="003E1242"/>
    <w:rsid w:val="00411AA8"/>
    <w:rsid w:val="00424436"/>
    <w:rsid w:val="004444F7"/>
    <w:rsid w:val="004512E4"/>
    <w:rsid w:val="00474426"/>
    <w:rsid w:val="00493746"/>
    <w:rsid w:val="00494BB7"/>
    <w:rsid w:val="004953CA"/>
    <w:rsid w:val="004F37E1"/>
    <w:rsid w:val="0051029E"/>
    <w:rsid w:val="00532AE8"/>
    <w:rsid w:val="00535283"/>
    <w:rsid w:val="00541FD3"/>
    <w:rsid w:val="0056343E"/>
    <w:rsid w:val="00596D07"/>
    <w:rsid w:val="005A7CFA"/>
    <w:rsid w:val="005C6454"/>
    <w:rsid w:val="005E2927"/>
    <w:rsid w:val="005E7DC2"/>
    <w:rsid w:val="006178FC"/>
    <w:rsid w:val="006225CF"/>
    <w:rsid w:val="00632D1B"/>
    <w:rsid w:val="006427E7"/>
    <w:rsid w:val="0064289E"/>
    <w:rsid w:val="00665417"/>
    <w:rsid w:val="00676903"/>
    <w:rsid w:val="00683A26"/>
    <w:rsid w:val="00684682"/>
    <w:rsid w:val="00684F9C"/>
    <w:rsid w:val="006A11EE"/>
    <w:rsid w:val="006A416A"/>
    <w:rsid w:val="006B4B76"/>
    <w:rsid w:val="006C1A00"/>
    <w:rsid w:val="006E3499"/>
    <w:rsid w:val="006E7746"/>
    <w:rsid w:val="006F211C"/>
    <w:rsid w:val="007241F8"/>
    <w:rsid w:val="00726FD5"/>
    <w:rsid w:val="0073231A"/>
    <w:rsid w:val="007369C4"/>
    <w:rsid w:val="007414FF"/>
    <w:rsid w:val="00745398"/>
    <w:rsid w:val="00766EB4"/>
    <w:rsid w:val="00772D56"/>
    <w:rsid w:val="00775E28"/>
    <w:rsid w:val="00780581"/>
    <w:rsid w:val="007945DF"/>
    <w:rsid w:val="007A039D"/>
    <w:rsid w:val="007D2B17"/>
    <w:rsid w:val="007E449D"/>
    <w:rsid w:val="007F35B9"/>
    <w:rsid w:val="0081268A"/>
    <w:rsid w:val="00812A94"/>
    <w:rsid w:val="008508E9"/>
    <w:rsid w:val="00864C7B"/>
    <w:rsid w:val="00882F41"/>
    <w:rsid w:val="0088704F"/>
    <w:rsid w:val="0088796F"/>
    <w:rsid w:val="00905ACB"/>
    <w:rsid w:val="009231BE"/>
    <w:rsid w:val="009251A2"/>
    <w:rsid w:val="00926D0A"/>
    <w:rsid w:val="00992212"/>
    <w:rsid w:val="009A1558"/>
    <w:rsid w:val="009B620B"/>
    <w:rsid w:val="009C4864"/>
    <w:rsid w:val="009D5034"/>
    <w:rsid w:val="009E7746"/>
    <w:rsid w:val="00A002D5"/>
    <w:rsid w:val="00A206D9"/>
    <w:rsid w:val="00A33AB9"/>
    <w:rsid w:val="00A4304D"/>
    <w:rsid w:val="00A53546"/>
    <w:rsid w:val="00A603BC"/>
    <w:rsid w:val="00A72E91"/>
    <w:rsid w:val="00A84A03"/>
    <w:rsid w:val="00A84B5D"/>
    <w:rsid w:val="00A90F18"/>
    <w:rsid w:val="00AE3677"/>
    <w:rsid w:val="00AF2820"/>
    <w:rsid w:val="00B07BF4"/>
    <w:rsid w:val="00B147D8"/>
    <w:rsid w:val="00B217AD"/>
    <w:rsid w:val="00B41404"/>
    <w:rsid w:val="00B44F84"/>
    <w:rsid w:val="00B77DB4"/>
    <w:rsid w:val="00BD21AD"/>
    <w:rsid w:val="00BE4400"/>
    <w:rsid w:val="00BF0326"/>
    <w:rsid w:val="00C5050C"/>
    <w:rsid w:val="00C571D1"/>
    <w:rsid w:val="00C57A66"/>
    <w:rsid w:val="00C80AD1"/>
    <w:rsid w:val="00CE2613"/>
    <w:rsid w:val="00D0230B"/>
    <w:rsid w:val="00D060B7"/>
    <w:rsid w:val="00D26F63"/>
    <w:rsid w:val="00D55FDF"/>
    <w:rsid w:val="00D60131"/>
    <w:rsid w:val="00D64EE3"/>
    <w:rsid w:val="00DA5B80"/>
    <w:rsid w:val="00DB12F4"/>
    <w:rsid w:val="00DB6681"/>
    <w:rsid w:val="00DC2917"/>
    <w:rsid w:val="00DD2751"/>
    <w:rsid w:val="00DD36F6"/>
    <w:rsid w:val="00DD380A"/>
    <w:rsid w:val="00DD6DC3"/>
    <w:rsid w:val="00DD750D"/>
    <w:rsid w:val="00DF1C39"/>
    <w:rsid w:val="00E534EF"/>
    <w:rsid w:val="00E564F9"/>
    <w:rsid w:val="00E66FAC"/>
    <w:rsid w:val="00E76AF2"/>
    <w:rsid w:val="00E8452B"/>
    <w:rsid w:val="00E85463"/>
    <w:rsid w:val="00E92DE9"/>
    <w:rsid w:val="00EA5D4D"/>
    <w:rsid w:val="00ED7C67"/>
    <w:rsid w:val="00EE2C14"/>
    <w:rsid w:val="00EF3716"/>
    <w:rsid w:val="00F04327"/>
    <w:rsid w:val="00F21071"/>
    <w:rsid w:val="00F85912"/>
    <w:rsid w:val="00F86CD9"/>
    <w:rsid w:val="00FC0EA2"/>
    <w:rsid w:val="00FE4241"/>
    <w:rsid w:val="00FE46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D770DEB"/>
  <w15:docId w15:val="{B947E5E8-BC78-4AEC-9961-017959BA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DD36F6"/>
    <w:pPr>
      <w:keepNext/>
      <w:keepLines/>
      <w:numPr>
        <w:numId w:val="1"/>
      </w:numPr>
      <w:spacing w:before="240" w:after="0"/>
      <w:outlineLvl w:val="0"/>
    </w:pPr>
    <w:rPr>
      <w:rFonts w:ascii="Times New Roman" w:eastAsiaTheme="majorEastAsia" w:hAnsi="Times New Roman" w:cstheme="majorBidi"/>
      <w:sz w:val="32"/>
      <w:szCs w:val="32"/>
      <w:lang w:val="en-GB"/>
    </w:rPr>
  </w:style>
  <w:style w:type="paragraph" w:styleId="Heading2">
    <w:name w:val="heading 2"/>
    <w:basedOn w:val="Normal"/>
    <w:next w:val="Normal"/>
    <w:link w:val="Heading2Char"/>
    <w:uiPriority w:val="9"/>
    <w:unhideWhenUsed/>
    <w:qFormat/>
    <w:rsid w:val="00DD36F6"/>
    <w:pPr>
      <w:keepNext/>
      <w:keepLines/>
      <w:numPr>
        <w:ilvl w:val="1"/>
        <w:numId w:val="1"/>
      </w:numPr>
      <w:spacing w:before="40" w:after="0"/>
      <w:outlineLvl w:val="1"/>
    </w:pPr>
    <w:rPr>
      <w:rFonts w:ascii="Times New Roman" w:eastAsiaTheme="majorEastAsia" w:hAnsi="Times New Roman" w:cstheme="majorBidi"/>
      <w:color w:val="000000" w:themeColor="text1"/>
      <w:sz w:val="26"/>
      <w:szCs w:val="26"/>
      <w:lang w:val="en-GB"/>
    </w:rPr>
  </w:style>
  <w:style w:type="paragraph" w:styleId="Heading3">
    <w:name w:val="heading 3"/>
    <w:basedOn w:val="Normal"/>
    <w:next w:val="Normal"/>
    <w:link w:val="Heading3Char"/>
    <w:uiPriority w:val="9"/>
    <w:unhideWhenUsed/>
    <w:qFormat/>
    <w:rsid w:val="00DD36F6"/>
    <w:pPr>
      <w:keepNext/>
      <w:keepLines/>
      <w:numPr>
        <w:ilvl w:val="2"/>
        <w:numId w:val="1"/>
      </w:numPr>
      <w:spacing w:before="40" w:after="0"/>
      <w:outlineLvl w:val="2"/>
    </w:pPr>
    <w:rPr>
      <w:rFonts w:ascii="Times New Roman" w:eastAsiaTheme="majorEastAsia" w:hAnsi="Times New Roman" w:cstheme="majorBidi"/>
      <w:sz w:val="24"/>
      <w:szCs w:val="24"/>
      <w:lang w:val="en-GB"/>
    </w:rPr>
  </w:style>
  <w:style w:type="paragraph" w:styleId="Heading4">
    <w:name w:val="heading 4"/>
    <w:basedOn w:val="Normal"/>
    <w:next w:val="Normal"/>
    <w:link w:val="Heading4Char"/>
    <w:uiPriority w:val="9"/>
    <w:semiHidden/>
    <w:unhideWhenUsed/>
    <w:qFormat/>
    <w:rsid w:val="00DD36F6"/>
    <w:pPr>
      <w:keepNext/>
      <w:keepLines/>
      <w:numPr>
        <w:ilvl w:val="3"/>
        <w:numId w:val="1"/>
      </w:numPr>
      <w:spacing w:before="40" w:after="0"/>
      <w:outlineLvl w:val="3"/>
    </w:pPr>
    <w:rPr>
      <w:rFonts w:asciiTheme="majorHAnsi" w:eastAsiaTheme="majorEastAsia" w:hAnsiTheme="majorHAnsi" w:cstheme="majorBidi"/>
      <w:i/>
      <w:iCs/>
      <w:color w:val="2E74B5" w:themeColor="accent1" w:themeShade="BF"/>
      <w:lang w:val="en-GB"/>
    </w:rPr>
  </w:style>
  <w:style w:type="paragraph" w:styleId="Heading5">
    <w:name w:val="heading 5"/>
    <w:basedOn w:val="Normal"/>
    <w:next w:val="Normal"/>
    <w:link w:val="Heading5Char"/>
    <w:uiPriority w:val="9"/>
    <w:semiHidden/>
    <w:unhideWhenUsed/>
    <w:qFormat/>
    <w:rsid w:val="00DD36F6"/>
    <w:pPr>
      <w:keepNext/>
      <w:keepLines/>
      <w:numPr>
        <w:ilvl w:val="4"/>
        <w:numId w:val="1"/>
      </w:numPr>
      <w:spacing w:before="40" w:after="0"/>
      <w:outlineLvl w:val="4"/>
    </w:pPr>
    <w:rPr>
      <w:rFonts w:asciiTheme="majorHAnsi" w:eastAsiaTheme="majorEastAsia" w:hAnsiTheme="majorHAnsi" w:cstheme="majorBidi"/>
      <w:color w:val="2E74B5" w:themeColor="accent1" w:themeShade="BF"/>
      <w:lang w:val="en-GB"/>
    </w:rPr>
  </w:style>
  <w:style w:type="paragraph" w:styleId="Heading6">
    <w:name w:val="heading 6"/>
    <w:basedOn w:val="Normal"/>
    <w:next w:val="Normal"/>
    <w:link w:val="Heading6Char"/>
    <w:uiPriority w:val="9"/>
    <w:semiHidden/>
    <w:unhideWhenUsed/>
    <w:qFormat/>
    <w:rsid w:val="00DD36F6"/>
    <w:pPr>
      <w:keepNext/>
      <w:keepLines/>
      <w:numPr>
        <w:ilvl w:val="5"/>
        <w:numId w:val="1"/>
      </w:numPr>
      <w:spacing w:before="40" w:after="0"/>
      <w:outlineLvl w:val="5"/>
    </w:pPr>
    <w:rPr>
      <w:rFonts w:asciiTheme="majorHAnsi" w:eastAsiaTheme="majorEastAsia" w:hAnsiTheme="majorHAnsi" w:cstheme="majorBidi"/>
      <w:color w:val="1F4D78" w:themeColor="accent1" w:themeShade="7F"/>
      <w:lang w:val="en-GB"/>
    </w:rPr>
  </w:style>
  <w:style w:type="paragraph" w:styleId="Heading7">
    <w:name w:val="heading 7"/>
    <w:basedOn w:val="Normal"/>
    <w:next w:val="Normal"/>
    <w:link w:val="Heading7Char"/>
    <w:uiPriority w:val="9"/>
    <w:semiHidden/>
    <w:unhideWhenUsed/>
    <w:qFormat/>
    <w:rsid w:val="00DD36F6"/>
    <w:pPr>
      <w:keepNext/>
      <w:keepLines/>
      <w:numPr>
        <w:ilvl w:val="6"/>
        <w:numId w:val="1"/>
      </w:numPr>
      <w:spacing w:before="40" w:after="0"/>
      <w:outlineLvl w:val="6"/>
    </w:pPr>
    <w:rPr>
      <w:rFonts w:asciiTheme="majorHAnsi" w:eastAsiaTheme="majorEastAsia" w:hAnsiTheme="majorHAnsi" w:cstheme="majorBidi"/>
      <w:i/>
      <w:iCs/>
      <w:color w:val="1F4D78" w:themeColor="accent1" w:themeShade="7F"/>
      <w:lang w:val="en-GB"/>
    </w:rPr>
  </w:style>
  <w:style w:type="paragraph" w:styleId="Heading8">
    <w:name w:val="heading 8"/>
    <w:basedOn w:val="Normal"/>
    <w:next w:val="Normal"/>
    <w:link w:val="Heading8Char"/>
    <w:uiPriority w:val="9"/>
    <w:semiHidden/>
    <w:unhideWhenUsed/>
    <w:qFormat/>
    <w:rsid w:val="00DD36F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DD36F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DD6DC3"/>
    <w:pPr>
      <w:ind w:left="720"/>
      <w:contextualSpacing/>
    </w:pPr>
  </w:style>
  <w:style w:type="character" w:customStyle="1" w:styleId="viiyi">
    <w:name w:val="viiyi"/>
    <w:basedOn w:val="DefaultParagraphFont"/>
    <w:rsid w:val="00726FD5"/>
  </w:style>
  <w:style w:type="character" w:customStyle="1" w:styleId="q4iawc">
    <w:name w:val="q4iawc"/>
    <w:basedOn w:val="DefaultParagraphFont"/>
    <w:rsid w:val="00726FD5"/>
  </w:style>
  <w:style w:type="character" w:customStyle="1" w:styleId="ListParagraphChar">
    <w:name w:val="List Paragraph Char"/>
    <w:aliases w:val="List Paragraph2 Char"/>
    <w:link w:val="ListParagraph"/>
    <w:uiPriority w:val="34"/>
    <w:locked/>
    <w:rsid w:val="00DC2917"/>
  </w:style>
  <w:style w:type="table" w:styleId="TableGrid">
    <w:name w:val="Table Grid"/>
    <w:basedOn w:val="TableNormal"/>
    <w:uiPriority w:val="39"/>
    <w:rsid w:val="00DC291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76AF2"/>
    <w:rPr>
      <w:sz w:val="16"/>
      <w:szCs w:val="16"/>
    </w:rPr>
  </w:style>
  <w:style w:type="paragraph" w:styleId="CommentText">
    <w:name w:val="annotation text"/>
    <w:basedOn w:val="Normal"/>
    <w:link w:val="CommentTextChar"/>
    <w:uiPriority w:val="99"/>
    <w:semiHidden/>
    <w:unhideWhenUsed/>
    <w:rsid w:val="00E76AF2"/>
    <w:pPr>
      <w:spacing w:line="240" w:lineRule="auto"/>
    </w:pPr>
    <w:rPr>
      <w:sz w:val="20"/>
      <w:szCs w:val="20"/>
    </w:rPr>
  </w:style>
  <w:style w:type="character" w:customStyle="1" w:styleId="CommentTextChar">
    <w:name w:val="Comment Text Char"/>
    <w:basedOn w:val="DefaultParagraphFont"/>
    <w:link w:val="CommentText"/>
    <w:uiPriority w:val="99"/>
    <w:semiHidden/>
    <w:rsid w:val="00E76AF2"/>
    <w:rPr>
      <w:sz w:val="20"/>
      <w:szCs w:val="20"/>
    </w:rPr>
  </w:style>
  <w:style w:type="paragraph" w:styleId="CommentSubject">
    <w:name w:val="annotation subject"/>
    <w:basedOn w:val="CommentText"/>
    <w:next w:val="CommentText"/>
    <w:link w:val="CommentSubjectChar"/>
    <w:uiPriority w:val="99"/>
    <w:semiHidden/>
    <w:unhideWhenUsed/>
    <w:rsid w:val="00E76AF2"/>
    <w:rPr>
      <w:b/>
      <w:bCs/>
    </w:rPr>
  </w:style>
  <w:style w:type="character" w:customStyle="1" w:styleId="CommentSubjectChar">
    <w:name w:val="Comment Subject Char"/>
    <w:basedOn w:val="CommentTextChar"/>
    <w:link w:val="CommentSubject"/>
    <w:uiPriority w:val="99"/>
    <w:semiHidden/>
    <w:rsid w:val="00E76AF2"/>
    <w:rPr>
      <w:b/>
      <w:bCs/>
      <w:sz w:val="20"/>
      <w:szCs w:val="20"/>
    </w:rPr>
  </w:style>
  <w:style w:type="paragraph" w:styleId="BalloonText">
    <w:name w:val="Balloon Text"/>
    <w:basedOn w:val="Normal"/>
    <w:link w:val="BalloonTextChar"/>
    <w:uiPriority w:val="99"/>
    <w:semiHidden/>
    <w:unhideWhenUsed/>
    <w:rsid w:val="00E76A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AF2"/>
    <w:rPr>
      <w:rFonts w:ascii="Segoe UI" w:hAnsi="Segoe UI" w:cs="Segoe UI"/>
      <w:sz w:val="18"/>
      <w:szCs w:val="18"/>
    </w:rPr>
  </w:style>
  <w:style w:type="paragraph" w:styleId="BodyText">
    <w:name w:val="Body Text"/>
    <w:basedOn w:val="Normal"/>
    <w:link w:val="BodyTextChar"/>
    <w:uiPriority w:val="1"/>
    <w:qFormat/>
    <w:rsid w:val="002A189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A189C"/>
    <w:rPr>
      <w:rFonts w:ascii="Times New Roman" w:eastAsia="Times New Roman" w:hAnsi="Times New Roman" w:cs="Times New Roman"/>
      <w:sz w:val="24"/>
      <w:szCs w:val="24"/>
      <w:lang w:val="sq-AL"/>
    </w:rPr>
  </w:style>
  <w:style w:type="paragraph" w:styleId="NoSpacing">
    <w:name w:val="No Spacing"/>
    <w:link w:val="NoSpacingChar"/>
    <w:uiPriority w:val="1"/>
    <w:qFormat/>
    <w:rsid w:val="001A6370"/>
    <w:pPr>
      <w:spacing w:after="0" w:line="240" w:lineRule="auto"/>
      <w:ind w:firstLine="284"/>
      <w:jc w:val="both"/>
    </w:pPr>
    <w:rPr>
      <w:rFonts w:ascii="Calibri" w:eastAsia="Calibri" w:hAnsi="Calibri" w:cs="Times New Roman"/>
    </w:rPr>
  </w:style>
  <w:style w:type="character" w:customStyle="1" w:styleId="NoSpacingChar">
    <w:name w:val="No Spacing Char"/>
    <w:basedOn w:val="DefaultParagraphFont"/>
    <w:link w:val="NoSpacing"/>
    <w:uiPriority w:val="1"/>
    <w:rsid w:val="001A6370"/>
    <w:rPr>
      <w:rFonts w:ascii="Calibri" w:eastAsia="Calibri" w:hAnsi="Calibri" w:cs="Times New Roman"/>
    </w:rPr>
  </w:style>
  <w:style w:type="character" w:customStyle="1" w:styleId="Heading1Char">
    <w:name w:val="Heading 1 Char"/>
    <w:basedOn w:val="DefaultParagraphFont"/>
    <w:link w:val="Heading1"/>
    <w:uiPriority w:val="9"/>
    <w:rsid w:val="00DD36F6"/>
    <w:rPr>
      <w:rFonts w:ascii="Times New Roman" w:eastAsiaTheme="majorEastAsia" w:hAnsi="Times New Roman" w:cstheme="majorBidi"/>
      <w:sz w:val="32"/>
      <w:szCs w:val="32"/>
      <w:lang w:val="en-GB"/>
    </w:rPr>
  </w:style>
  <w:style w:type="character" w:customStyle="1" w:styleId="Heading2Char">
    <w:name w:val="Heading 2 Char"/>
    <w:basedOn w:val="DefaultParagraphFont"/>
    <w:link w:val="Heading2"/>
    <w:uiPriority w:val="9"/>
    <w:rsid w:val="00DD36F6"/>
    <w:rPr>
      <w:rFonts w:ascii="Times New Roman" w:eastAsiaTheme="majorEastAsia" w:hAnsi="Times New Roman" w:cstheme="majorBidi"/>
      <w:color w:val="000000" w:themeColor="text1"/>
      <w:sz w:val="26"/>
      <w:szCs w:val="26"/>
      <w:lang w:val="en-GB"/>
    </w:rPr>
  </w:style>
  <w:style w:type="character" w:customStyle="1" w:styleId="Heading3Char">
    <w:name w:val="Heading 3 Char"/>
    <w:basedOn w:val="DefaultParagraphFont"/>
    <w:link w:val="Heading3"/>
    <w:uiPriority w:val="9"/>
    <w:rsid w:val="00DD36F6"/>
    <w:rPr>
      <w:rFonts w:ascii="Times New Roman" w:eastAsiaTheme="majorEastAsia" w:hAnsi="Times New Roman" w:cstheme="majorBidi"/>
      <w:sz w:val="24"/>
      <w:szCs w:val="24"/>
      <w:lang w:val="en-GB"/>
    </w:rPr>
  </w:style>
  <w:style w:type="character" w:customStyle="1" w:styleId="Heading4Char">
    <w:name w:val="Heading 4 Char"/>
    <w:basedOn w:val="DefaultParagraphFont"/>
    <w:link w:val="Heading4"/>
    <w:uiPriority w:val="9"/>
    <w:semiHidden/>
    <w:rsid w:val="00DD36F6"/>
    <w:rPr>
      <w:rFonts w:asciiTheme="majorHAnsi" w:eastAsiaTheme="majorEastAsia" w:hAnsiTheme="majorHAnsi"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DD36F6"/>
    <w:rPr>
      <w:rFonts w:asciiTheme="majorHAnsi" w:eastAsiaTheme="majorEastAsia" w:hAnsiTheme="majorHAnsi" w:cstheme="majorBidi"/>
      <w:color w:val="2E74B5" w:themeColor="accent1" w:themeShade="BF"/>
      <w:lang w:val="en-GB"/>
    </w:rPr>
  </w:style>
  <w:style w:type="character" w:customStyle="1" w:styleId="Heading6Char">
    <w:name w:val="Heading 6 Char"/>
    <w:basedOn w:val="DefaultParagraphFont"/>
    <w:link w:val="Heading6"/>
    <w:uiPriority w:val="9"/>
    <w:semiHidden/>
    <w:rsid w:val="00DD36F6"/>
    <w:rPr>
      <w:rFonts w:asciiTheme="majorHAnsi" w:eastAsiaTheme="majorEastAsia" w:hAnsiTheme="majorHAnsi" w:cstheme="majorBidi"/>
      <w:color w:val="1F4D78" w:themeColor="accent1" w:themeShade="7F"/>
      <w:lang w:val="en-GB"/>
    </w:rPr>
  </w:style>
  <w:style w:type="character" w:customStyle="1" w:styleId="Heading7Char">
    <w:name w:val="Heading 7 Char"/>
    <w:basedOn w:val="DefaultParagraphFont"/>
    <w:link w:val="Heading7"/>
    <w:uiPriority w:val="9"/>
    <w:semiHidden/>
    <w:rsid w:val="00DD36F6"/>
    <w:rPr>
      <w:rFonts w:asciiTheme="majorHAnsi" w:eastAsiaTheme="majorEastAsia" w:hAnsiTheme="majorHAnsi" w:cstheme="majorBidi"/>
      <w:i/>
      <w:iCs/>
      <w:color w:val="1F4D78" w:themeColor="accent1" w:themeShade="7F"/>
      <w:lang w:val="en-GB"/>
    </w:rPr>
  </w:style>
  <w:style w:type="character" w:customStyle="1" w:styleId="Heading8Char">
    <w:name w:val="Heading 8 Char"/>
    <w:basedOn w:val="DefaultParagraphFont"/>
    <w:link w:val="Heading8"/>
    <w:uiPriority w:val="9"/>
    <w:semiHidden/>
    <w:rsid w:val="00DD36F6"/>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DD36F6"/>
    <w:rPr>
      <w:rFonts w:asciiTheme="majorHAnsi" w:eastAsiaTheme="majorEastAsia" w:hAnsiTheme="majorHAnsi" w:cstheme="majorBidi"/>
      <w:i/>
      <w:iCs/>
      <w:color w:val="272727" w:themeColor="text1" w:themeTint="D8"/>
      <w:sz w:val="21"/>
      <w:szCs w:val="21"/>
      <w:lang w:val="en-GB"/>
    </w:rPr>
  </w:style>
  <w:style w:type="table" w:customStyle="1" w:styleId="GridTable1Light-Accent11">
    <w:name w:val="Grid Table 1 Light - Accent 11"/>
    <w:basedOn w:val="TableNormal"/>
    <w:uiPriority w:val="46"/>
    <w:rsid w:val="00DD36F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Indent">
    <w:name w:val="Body Text Indent"/>
    <w:basedOn w:val="Normal"/>
    <w:link w:val="BodyTextIndentChar"/>
    <w:uiPriority w:val="99"/>
    <w:semiHidden/>
    <w:unhideWhenUsed/>
    <w:rsid w:val="002112AC"/>
    <w:pPr>
      <w:spacing w:after="120"/>
      <w:ind w:left="360"/>
    </w:pPr>
  </w:style>
  <w:style w:type="character" w:customStyle="1" w:styleId="BodyTextIndentChar">
    <w:name w:val="Body Text Indent Char"/>
    <w:basedOn w:val="DefaultParagraphFont"/>
    <w:link w:val="BodyTextIndent"/>
    <w:uiPriority w:val="99"/>
    <w:semiHidden/>
    <w:rsid w:val="002112AC"/>
  </w:style>
  <w:style w:type="paragraph" w:styleId="Caption">
    <w:name w:val="caption"/>
    <w:basedOn w:val="Normal"/>
    <w:next w:val="Normal"/>
    <w:uiPriority w:val="35"/>
    <w:unhideWhenUsed/>
    <w:qFormat/>
    <w:rsid w:val="00E534EF"/>
    <w:pPr>
      <w:spacing w:after="200" w:line="240" w:lineRule="auto"/>
    </w:pPr>
    <w:rPr>
      <w:i/>
      <w:iCs/>
      <w:color w:val="44546A" w:themeColor="text2"/>
      <w:sz w:val="18"/>
      <w:szCs w:val="18"/>
      <w:lang w:val="en-GB"/>
    </w:rPr>
  </w:style>
  <w:style w:type="paragraph" w:styleId="Revision">
    <w:name w:val="Revision"/>
    <w:hidden/>
    <w:uiPriority w:val="99"/>
    <w:semiHidden/>
    <w:rsid w:val="006427E7"/>
    <w:pPr>
      <w:spacing w:after="0" w:line="240" w:lineRule="auto"/>
    </w:pPr>
  </w:style>
  <w:style w:type="paragraph" w:styleId="FootnoteText">
    <w:name w:val="footnote text"/>
    <w:basedOn w:val="Normal"/>
    <w:link w:val="FootnoteTextChar"/>
    <w:uiPriority w:val="99"/>
    <w:semiHidden/>
    <w:unhideWhenUsed/>
    <w:rsid w:val="005A7CFA"/>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5A7CFA"/>
    <w:rPr>
      <w:sz w:val="20"/>
      <w:szCs w:val="20"/>
      <w:lang w:val="en-GB"/>
    </w:rPr>
  </w:style>
  <w:style w:type="character" w:styleId="FootnoteReference">
    <w:name w:val="footnote reference"/>
    <w:basedOn w:val="DefaultParagraphFont"/>
    <w:uiPriority w:val="99"/>
    <w:semiHidden/>
    <w:unhideWhenUsed/>
    <w:rsid w:val="005A7CFA"/>
    <w:rPr>
      <w:vertAlign w:val="superscript"/>
    </w:rPr>
  </w:style>
  <w:style w:type="paragraph" w:styleId="Header">
    <w:name w:val="header"/>
    <w:basedOn w:val="Normal"/>
    <w:link w:val="HeaderChar"/>
    <w:uiPriority w:val="99"/>
    <w:unhideWhenUsed/>
    <w:rsid w:val="002C4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459"/>
  </w:style>
  <w:style w:type="paragraph" w:styleId="Footer">
    <w:name w:val="footer"/>
    <w:basedOn w:val="Normal"/>
    <w:link w:val="FooterChar"/>
    <w:uiPriority w:val="99"/>
    <w:unhideWhenUsed/>
    <w:rsid w:val="002C4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459"/>
  </w:style>
  <w:style w:type="character" w:customStyle="1" w:styleId="normaltextrun">
    <w:name w:val="normaltextrun"/>
    <w:basedOn w:val="DefaultParagraphFont"/>
    <w:rsid w:val="00D060B7"/>
  </w:style>
  <w:style w:type="paragraph" w:styleId="Title">
    <w:name w:val="Title"/>
    <w:basedOn w:val="Normal"/>
    <w:next w:val="Normal"/>
    <w:link w:val="TitleChar"/>
    <w:uiPriority w:val="10"/>
    <w:qFormat/>
    <w:rsid w:val="00D060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0B7"/>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D060B7"/>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D060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767149">
      <w:bodyDiv w:val="1"/>
      <w:marLeft w:val="0"/>
      <w:marRight w:val="0"/>
      <w:marTop w:val="0"/>
      <w:marBottom w:val="0"/>
      <w:divBdr>
        <w:top w:val="none" w:sz="0" w:space="0" w:color="auto"/>
        <w:left w:val="none" w:sz="0" w:space="0" w:color="auto"/>
        <w:bottom w:val="none" w:sz="0" w:space="0" w:color="auto"/>
        <w:right w:val="none" w:sz="0" w:space="0" w:color="auto"/>
      </w:divBdr>
      <w:divsChild>
        <w:div w:id="65614380">
          <w:marLeft w:val="547"/>
          <w:marRight w:val="0"/>
          <w:marTop w:val="200"/>
          <w:marBottom w:val="0"/>
          <w:divBdr>
            <w:top w:val="none" w:sz="0" w:space="0" w:color="auto"/>
            <w:left w:val="none" w:sz="0" w:space="0" w:color="auto"/>
            <w:bottom w:val="none" w:sz="0" w:space="0" w:color="auto"/>
            <w:right w:val="none" w:sz="0" w:space="0" w:color="auto"/>
          </w:divBdr>
        </w:div>
        <w:div w:id="128519722">
          <w:marLeft w:val="547"/>
          <w:marRight w:val="0"/>
          <w:marTop w:val="200"/>
          <w:marBottom w:val="0"/>
          <w:divBdr>
            <w:top w:val="none" w:sz="0" w:space="0" w:color="auto"/>
            <w:left w:val="none" w:sz="0" w:space="0" w:color="auto"/>
            <w:bottom w:val="none" w:sz="0" w:space="0" w:color="auto"/>
            <w:right w:val="none" w:sz="0" w:space="0" w:color="auto"/>
          </w:divBdr>
        </w:div>
        <w:div w:id="538517619">
          <w:marLeft w:val="1166"/>
          <w:marRight w:val="0"/>
          <w:marTop w:val="200"/>
          <w:marBottom w:val="0"/>
          <w:divBdr>
            <w:top w:val="none" w:sz="0" w:space="0" w:color="auto"/>
            <w:left w:val="none" w:sz="0" w:space="0" w:color="auto"/>
            <w:bottom w:val="none" w:sz="0" w:space="0" w:color="auto"/>
            <w:right w:val="none" w:sz="0" w:space="0" w:color="auto"/>
          </w:divBdr>
        </w:div>
        <w:div w:id="558134614">
          <w:marLeft w:val="1166"/>
          <w:marRight w:val="0"/>
          <w:marTop w:val="200"/>
          <w:marBottom w:val="0"/>
          <w:divBdr>
            <w:top w:val="none" w:sz="0" w:space="0" w:color="auto"/>
            <w:left w:val="none" w:sz="0" w:space="0" w:color="auto"/>
            <w:bottom w:val="none" w:sz="0" w:space="0" w:color="auto"/>
            <w:right w:val="none" w:sz="0" w:space="0" w:color="auto"/>
          </w:divBdr>
        </w:div>
        <w:div w:id="566494296">
          <w:marLeft w:val="547"/>
          <w:marRight w:val="0"/>
          <w:marTop w:val="200"/>
          <w:marBottom w:val="0"/>
          <w:divBdr>
            <w:top w:val="none" w:sz="0" w:space="0" w:color="auto"/>
            <w:left w:val="none" w:sz="0" w:space="0" w:color="auto"/>
            <w:bottom w:val="none" w:sz="0" w:space="0" w:color="auto"/>
            <w:right w:val="none" w:sz="0" w:space="0" w:color="auto"/>
          </w:divBdr>
        </w:div>
        <w:div w:id="628441516">
          <w:marLeft w:val="1166"/>
          <w:marRight w:val="0"/>
          <w:marTop w:val="200"/>
          <w:marBottom w:val="0"/>
          <w:divBdr>
            <w:top w:val="none" w:sz="0" w:space="0" w:color="auto"/>
            <w:left w:val="none" w:sz="0" w:space="0" w:color="auto"/>
            <w:bottom w:val="none" w:sz="0" w:space="0" w:color="auto"/>
            <w:right w:val="none" w:sz="0" w:space="0" w:color="auto"/>
          </w:divBdr>
        </w:div>
        <w:div w:id="906309344">
          <w:marLeft w:val="1166"/>
          <w:marRight w:val="0"/>
          <w:marTop w:val="200"/>
          <w:marBottom w:val="0"/>
          <w:divBdr>
            <w:top w:val="none" w:sz="0" w:space="0" w:color="auto"/>
            <w:left w:val="none" w:sz="0" w:space="0" w:color="auto"/>
            <w:bottom w:val="none" w:sz="0" w:space="0" w:color="auto"/>
            <w:right w:val="none" w:sz="0" w:space="0" w:color="auto"/>
          </w:divBdr>
        </w:div>
        <w:div w:id="915938384">
          <w:marLeft w:val="1166"/>
          <w:marRight w:val="0"/>
          <w:marTop w:val="200"/>
          <w:marBottom w:val="0"/>
          <w:divBdr>
            <w:top w:val="none" w:sz="0" w:space="0" w:color="auto"/>
            <w:left w:val="none" w:sz="0" w:space="0" w:color="auto"/>
            <w:bottom w:val="none" w:sz="0" w:space="0" w:color="auto"/>
            <w:right w:val="none" w:sz="0" w:space="0" w:color="auto"/>
          </w:divBdr>
        </w:div>
        <w:div w:id="1371104906">
          <w:marLeft w:val="547"/>
          <w:marRight w:val="0"/>
          <w:marTop w:val="200"/>
          <w:marBottom w:val="0"/>
          <w:divBdr>
            <w:top w:val="none" w:sz="0" w:space="0" w:color="auto"/>
            <w:left w:val="none" w:sz="0" w:space="0" w:color="auto"/>
            <w:bottom w:val="none" w:sz="0" w:space="0" w:color="auto"/>
            <w:right w:val="none" w:sz="0" w:space="0" w:color="auto"/>
          </w:divBdr>
        </w:div>
        <w:div w:id="1593661877">
          <w:marLeft w:val="1166"/>
          <w:marRight w:val="0"/>
          <w:marTop w:val="200"/>
          <w:marBottom w:val="0"/>
          <w:divBdr>
            <w:top w:val="none" w:sz="0" w:space="0" w:color="auto"/>
            <w:left w:val="none" w:sz="0" w:space="0" w:color="auto"/>
            <w:bottom w:val="none" w:sz="0" w:space="0" w:color="auto"/>
            <w:right w:val="none" w:sz="0" w:space="0" w:color="auto"/>
          </w:divBdr>
        </w:div>
      </w:divsChild>
    </w:div>
    <w:div w:id="1221595396">
      <w:bodyDiv w:val="1"/>
      <w:marLeft w:val="0"/>
      <w:marRight w:val="0"/>
      <w:marTop w:val="0"/>
      <w:marBottom w:val="0"/>
      <w:divBdr>
        <w:top w:val="none" w:sz="0" w:space="0" w:color="auto"/>
        <w:left w:val="none" w:sz="0" w:space="0" w:color="auto"/>
        <w:bottom w:val="none" w:sz="0" w:space="0" w:color="auto"/>
        <w:right w:val="none" w:sz="0" w:space="0" w:color="auto"/>
      </w:divBdr>
      <w:divsChild>
        <w:div w:id="142167504">
          <w:marLeft w:val="547"/>
          <w:marRight w:val="0"/>
          <w:marTop w:val="0"/>
          <w:marBottom w:val="0"/>
          <w:divBdr>
            <w:top w:val="none" w:sz="0" w:space="0" w:color="auto"/>
            <w:left w:val="none" w:sz="0" w:space="0" w:color="auto"/>
            <w:bottom w:val="none" w:sz="0" w:space="0" w:color="auto"/>
            <w:right w:val="none" w:sz="0" w:space="0" w:color="auto"/>
          </w:divBdr>
        </w:div>
        <w:div w:id="556429552">
          <w:marLeft w:val="547"/>
          <w:marRight w:val="0"/>
          <w:marTop w:val="0"/>
          <w:marBottom w:val="0"/>
          <w:divBdr>
            <w:top w:val="none" w:sz="0" w:space="0" w:color="auto"/>
            <w:left w:val="none" w:sz="0" w:space="0" w:color="auto"/>
            <w:bottom w:val="none" w:sz="0" w:space="0" w:color="auto"/>
            <w:right w:val="none" w:sz="0" w:space="0" w:color="auto"/>
          </w:divBdr>
        </w:div>
        <w:div w:id="678653895">
          <w:marLeft w:val="547"/>
          <w:marRight w:val="0"/>
          <w:marTop w:val="0"/>
          <w:marBottom w:val="0"/>
          <w:divBdr>
            <w:top w:val="none" w:sz="0" w:space="0" w:color="auto"/>
            <w:left w:val="none" w:sz="0" w:space="0" w:color="auto"/>
            <w:bottom w:val="none" w:sz="0" w:space="0" w:color="auto"/>
            <w:right w:val="none" w:sz="0" w:space="0" w:color="auto"/>
          </w:divBdr>
        </w:div>
        <w:div w:id="1576863009">
          <w:marLeft w:val="547"/>
          <w:marRight w:val="0"/>
          <w:marTop w:val="0"/>
          <w:marBottom w:val="0"/>
          <w:divBdr>
            <w:top w:val="none" w:sz="0" w:space="0" w:color="auto"/>
            <w:left w:val="none" w:sz="0" w:space="0" w:color="auto"/>
            <w:bottom w:val="none" w:sz="0" w:space="0" w:color="auto"/>
            <w:right w:val="none" w:sz="0" w:space="0" w:color="auto"/>
          </w:divBdr>
        </w:div>
        <w:div w:id="1953172852">
          <w:marLeft w:val="547"/>
          <w:marRight w:val="0"/>
          <w:marTop w:val="0"/>
          <w:marBottom w:val="0"/>
          <w:divBdr>
            <w:top w:val="none" w:sz="0" w:space="0" w:color="auto"/>
            <w:left w:val="none" w:sz="0" w:space="0" w:color="auto"/>
            <w:bottom w:val="none" w:sz="0" w:space="0" w:color="auto"/>
            <w:right w:val="none" w:sz="0" w:space="0" w:color="auto"/>
          </w:divBdr>
        </w:div>
      </w:divsChild>
    </w:div>
    <w:div w:id="1557352510">
      <w:bodyDiv w:val="1"/>
      <w:marLeft w:val="0"/>
      <w:marRight w:val="0"/>
      <w:marTop w:val="0"/>
      <w:marBottom w:val="0"/>
      <w:divBdr>
        <w:top w:val="none" w:sz="0" w:space="0" w:color="auto"/>
        <w:left w:val="none" w:sz="0" w:space="0" w:color="auto"/>
        <w:bottom w:val="none" w:sz="0" w:space="0" w:color="auto"/>
        <w:right w:val="none" w:sz="0" w:space="0" w:color="auto"/>
      </w:divBdr>
      <w:divsChild>
        <w:div w:id="14307212">
          <w:marLeft w:val="547"/>
          <w:marRight w:val="0"/>
          <w:marTop w:val="0"/>
          <w:marBottom w:val="0"/>
          <w:divBdr>
            <w:top w:val="none" w:sz="0" w:space="0" w:color="auto"/>
            <w:left w:val="none" w:sz="0" w:space="0" w:color="auto"/>
            <w:bottom w:val="none" w:sz="0" w:space="0" w:color="auto"/>
            <w:right w:val="none" w:sz="0" w:space="0" w:color="auto"/>
          </w:divBdr>
        </w:div>
        <w:div w:id="820510927">
          <w:marLeft w:val="547"/>
          <w:marRight w:val="0"/>
          <w:marTop w:val="0"/>
          <w:marBottom w:val="0"/>
          <w:divBdr>
            <w:top w:val="none" w:sz="0" w:space="0" w:color="auto"/>
            <w:left w:val="none" w:sz="0" w:space="0" w:color="auto"/>
            <w:bottom w:val="none" w:sz="0" w:space="0" w:color="auto"/>
            <w:right w:val="none" w:sz="0" w:space="0" w:color="auto"/>
          </w:divBdr>
        </w:div>
        <w:div w:id="1081757998">
          <w:marLeft w:val="547"/>
          <w:marRight w:val="0"/>
          <w:marTop w:val="0"/>
          <w:marBottom w:val="0"/>
          <w:divBdr>
            <w:top w:val="none" w:sz="0" w:space="0" w:color="auto"/>
            <w:left w:val="none" w:sz="0" w:space="0" w:color="auto"/>
            <w:bottom w:val="none" w:sz="0" w:space="0" w:color="auto"/>
            <w:right w:val="none" w:sz="0" w:space="0" w:color="auto"/>
          </w:divBdr>
        </w:div>
        <w:div w:id="1318075331">
          <w:marLeft w:val="547"/>
          <w:marRight w:val="0"/>
          <w:marTop w:val="0"/>
          <w:marBottom w:val="0"/>
          <w:divBdr>
            <w:top w:val="none" w:sz="0" w:space="0" w:color="auto"/>
            <w:left w:val="none" w:sz="0" w:space="0" w:color="auto"/>
            <w:bottom w:val="none" w:sz="0" w:space="0" w:color="auto"/>
            <w:right w:val="none" w:sz="0" w:space="0" w:color="auto"/>
          </w:divBdr>
        </w:div>
        <w:div w:id="2029137768">
          <w:marLeft w:val="547"/>
          <w:marRight w:val="0"/>
          <w:marTop w:val="0"/>
          <w:marBottom w:val="0"/>
          <w:divBdr>
            <w:top w:val="none" w:sz="0" w:space="0" w:color="auto"/>
            <w:left w:val="none" w:sz="0" w:space="0" w:color="auto"/>
            <w:bottom w:val="none" w:sz="0" w:space="0" w:color="auto"/>
            <w:right w:val="none" w:sz="0" w:space="0" w:color="auto"/>
          </w:divBdr>
        </w:div>
      </w:divsChild>
    </w:div>
    <w:div w:id="1617249719">
      <w:bodyDiv w:val="1"/>
      <w:marLeft w:val="0"/>
      <w:marRight w:val="0"/>
      <w:marTop w:val="0"/>
      <w:marBottom w:val="0"/>
      <w:divBdr>
        <w:top w:val="none" w:sz="0" w:space="0" w:color="auto"/>
        <w:left w:val="none" w:sz="0" w:space="0" w:color="auto"/>
        <w:bottom w:val="none" w:sz="0" w:space="0" w:color="auto"/>
        <w:right w:val="none" w:sz="0" w:space="0" w:color="auto"/>
      </w:divBdr>
      <w:divsChild>
        <w:div w:id="391462088">
          <w:marLeft w:val="547"/>
          <w:marRight w:val="0"/>
          <w:marTop w:val="0"/>
          <w:marBottom w:val="0"/>
          <w:divBdr>
            <w:top w:val="none" w:sz="0" w:space="0" w:color="auto"/>
            <w:left w:val="none" w:sz="0" w:space="0" w:color="auto"/>
            <w:bottom w:val="none" w:sz="0" w:space="0" w:color="auto"/>
            <w:right w:val="none" w:sz="0" w:space="0" w:color="auto"/>
          </w:divBdr>
        </w:div>
        <w:div w:id="568616784">
          <w:marLeft w:val="547"/>
          <w:marRight w:val="0"/>
          <w:marTop w:val="0"/>
          <w:marBottom w:val="0"/>
          <w:divBdr>
            <w:top w:val="none" w:sz="0" w:space="0" w:color="auto"/>
            <w:left w:val="none" w:sz="0" w:space="0" w:color="auto"/>
            <w:bottom w:val="none" w:sz="0" w:space="0" w:color="auto"/>
            <w:right w:val="none" w:sz="0" w:space="0" w:color="auto"/>
          </w:divBdr>
        </w:div>
        <w:div w:id="956063051">
          <w:marLeft w:val="547"/>
          <w:marRight w:val="0"/>
          <w:marTop w:val="0"/>
          <w:marBottom w:val="0"/>
          <w:divBdr>
            <w:top w:val="none" w:sz="0" w:space="0" w:color="auto"/>
            <w:left w:val="none" w:sz="0" w:space="0" w:color="auto"/>
            <w:bottom w:val="none" w:sz="0" w:space="0" w:color="auto"/>
            <w:right w:val="none" w:sz="0" w:space="0" w:color="auto"/>
          </w:divBdr>
        </w:div>
        <w:div w:id="1048069213">
          <w:marLeft w:val="547"/>
          <w:marRight w:val="0"/>
          <w:marTop w:val="0"/>
          <w:marBottom w:val="0"/>
          <w:divBdr>
            <w:top w:val="none" w:sz="0" w:space="0" w:color="auto"/>
            <w:left w:val="none" w:sz="0" w:space="0" w:color="auto"/>
            <w:bottom w:val="none" w:sz="0" w:space="0" w:color="auto"/>
            <w:right w:val="none" w:sz="0" w:space="0" w:color="auto"/>
          </w:divBdr>
        </w:div>
        <w:div w:id="187172540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F199CE904CA42519B4C05786837B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2023-08-31T08:36:10Z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2023-08-29T22:00:00Z</Date_x0020_protokolli>
    <Titulli xmlns="0e656187-b300-4fb0-8bf4-3a50f872073c">Për elementet, kërkesat dhe parimet e përgjithshme të analizës së kostos dhe përfitimit, për vlerësimin e potencialit të aplikimit të kogjenerimit me efiçencë të lartë, si dhe të ngrohjes e ftohjes efiçente</Titulli>
    <Modifikuesi xmlns="0e656187-b300-4fb0-8bf4-3a50f872073c">Fjora.Cahani</Modifikuesi>
    <Nr_x002e__x0020_prot_x0020_QBZ xmlns="0e656187-b300-4fb0-8bf4-3a50f872073c">1308/2</Nr_x002e__x0020_prot_x0020_QBZ>
    <Data_x0020_e_x0020_Modifikimit xmlns="0e656187-b300-4fb0-8bf4-3a50f872073c">2023-08-31T10:34:20Z</Data_x0020_e_x0020_Modifikimit>
    <Dekretuar xmlns="0e656187-b300-4fb0-8bf4-3a50f872073c">false</Dekretuar>
    <Data xmlns="0e656187-b300-4fb0-8bf4-3a50f872073c">2023-01-31T23:00:00Z</Data>
    <Nr_x002e__x0020_protokolli_x0020_i_x0020_aktit xmlns="0e656187-b300-4fb0-8bf4-3a50f872073c">1264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F199CE904CA42519B4C05786837B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3C28E77-82DF-4903-8C25-D8FFEC53E025}">
  <ds:schemaRefs>
    <ds:schemaRef ds:uri="http://schemas.microsoft.com/sharepoint/v3/contenttype/forms"/>
  </ds:schemaRefs>
</ds:datastoreItem>
</file>

<file path=customXml/itemProps2.xml><?xml version="1.0" encoding="utf-8"?>
<ds:datastoreItem xmlns:ds="http://schemas.openxmlformats.org/officeDocument/2006/customXml" ds:itemID="{6D26186C-CA6C-4500-A506-CBF540B79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7657446-F388-453C-82FF-83DC0BC74626}">
  <ds:schemaRefs>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77FB55D9-5936-47A2-ADDB-5CEAD84CF1AC}">
  <ds:schemaRefs>
    <ds:schemaRef ds:uri="http://schemas.microsoft.com/sharepoint/v3/contenttype/forms"/>
  </ds:schemaRefs>
</ds:datastoreItem>
</file>

<file path=customXml/itemProps5.xml><?xml version="1.0" encoding="utf-8"?>
<ds:datastoreItem xmlns:ds="http://schemas.openxmlformats.org/officeDocument/2006/customXml" ds:itemID="{9DB8BEE7-0430-4C6E-993C-EE9AE36B6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67C0E9-0509-4F1A-8CD9-0D3EDE30D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3091</Words>
  <Characters>17619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Për elementet, kërkesat dhe parimet e përgjithshme të analizës së kostos dhe përfitimit, për vlerësimin e potencialit të aplikimit të kogjenerimit me efiçencë të lartë, si dhe të ngrohjes e ftohjes efiçente</vt:lpstr>
    </vt:vector>
  </TitlesOfParts>
  <Company/>
  <LinksUpToDate>false</LinksUpToDate>
  <CharactersWithSpaces>20669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elementet, kërkesat dhe parimet e përgjithshme të analizës së kostos dhe përfitimit, për vlerësimin e potencialit të aplikimit të kogjenerimit me efiçencë të lartë, si dhe të ngrohjes e ftohjes efiçente</dc:title>
  <dc:creator>Sindi Lilo</dc:creator>
  <cp:lastModifiedBy>Entela Suli</cp:lastModifiedBy>
  <cp:revision>14</cp:revision>
  <dcterms:created xsi:type="dcterms:W3CDTF">2023-08-31T08:43:00Z</dcterms:created>
  <dcterms:modified xsi:type="dcterms:W3CDTF">2023-09-01T08:55:00Z</dcterms:modified>
</cp:coreProperties>
</file>