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00FC" w14:textId="77777777" w:rsidR="00C263EE" w:rsidRPr="008F3A28" w:rsidRDefault="00C263EE" w:rsidP="00C26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3A28">
        <w:rPr>
          <w:rFonts w:ascii="Garamond" w:hAnsi="Garamond"/>
          <w:b/>
          <w:sz w:val="24"/>
        </w:rPr>
        <w:t>UDHËZIM</w:t>
      </w:r>
    </w:p>
    <w:p w14:paraId="029AA02A" w14:textId="77777777" w:rsidR="00C263EE" w:rsidRPr="008F3A28" w:rsidRDefault="00C263EE" w:rsidP="00C26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3A28">
        <w:rPr>
          <w:rFonts w:ascii="Garamond" w:hAnsi="Garamond"/>
          <w:b/>
          <w:sz w:val="24"/>
        </w:rPr>
        <w:t>Nr. 4, datë 24.6.2024</w:t>
      </w:r>
    </w:p>
    <w:p w14:paraId="00FF0BDB" w14:textId="77777777" w:rsidR="00C263EE" w:rsidRPr="008F3A28" w:rsidRDefault="00C263EE" w:rsidP="00C26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376848F" w14:textId="77777777" w:rsidR="00C263EE" w:rsidRPr="008F3A28" w:rsidRDefault="00C263EE" w:rsidP="00C26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3A28">
        <w:rPr>
          <w:rFonts w:ascii="Garamond" w:hAnsi="Garamond"/>
          <w:b/>
          <w:sz w:val="24"/>
        </w:rPr>
        <w:t>PËR RREGULLAT E PËRCAKTIMIT TË KONSUMIT TË ENERGJISË TER</w:t>
      </w:r>
      <w:r w:rsidR="00C15C70" w:rsidRPr="008F3A28">
        <w:rPr>
          <w:rFonts w:ascii="Garamond" w:hAnsi="Garamond"/>
          <w:b/>
          <w:sz w:val="24"/>
        </w:rPr>
        <w:t>M</w:t>
      </w:r>
      <w:r w:rsidRPr="008F3A28">
        <w:rPr>
          <w:rFonts w:ascii="Garamond" w:hAnsi="Garamond"/>
          <w:b/>
          <w:sz w:val="24"/>
        </w:rPr>
        <w:t>IKE</w:t>
      </w:r>
    </w:p>
    <w:p w14:paraId="04C8550A" w14:textId="77777777" w:rsidR="00C263EE" w:rsidRPr="008F3A28" w:rsidRDefault="00C263EE" w:rsidP="00C26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4730101" w14:textId="0F2E1753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Në mbështetje të </w:t>
      </w:r>
      <w:r w:rsidR="008F3A28" w:rsidRPr="008F3A28">
        <w:rPr>
          <w:rFonts w:ascii="Garamond" w:hAnsi="Garamond"/>
          <w:sz w:val="24"/>
        </w:rPr>
        <w:t>pikës</w:t>
      </w:r>
      <w:r w:rsidRPr="008F3A28">
        <w:rPr>
          <w:rFonts w:ascii="Garamond" w:hAnsi="Garamond"/>
          <w:sz w:val="24"/>
        </w:rPr>
        <w:t xml:space="preserve"> 4, të nenit 102 të Kushtetutës dhe të pikës 3, të nenit 14, të ligjit nr. 124/2015, </w:t>
      </w:r>
      <w:r w:rsidR="008F3A28">
        <w:rPr>
          <w:rFonts w:ascii="Garamond" w:hAnsi="Garamond"/>
          <w:sz w:val="24"/>
        </w:rPr>
        <w:t>“</w:t>
      </w:r>
      <w:r w:rsidRPr="008F3A28">
        <w:rPr>
          <w:rFonts w:ascii="Garamond" w:hAnsi="Garamond"/>
          <w:sz w:val="24"/>
        </w:rPr>
        <w:t xml:space="preserve">Për </w:t>
      </w:r>
      <w:r w:rsidR="008F3A28">
        <w:rPr>
          <w:rFonts w:ascii="Garamond" w:hAnsi="Garamond"/>
          <w:sz w:val="24"/>
        </w:rPr>
        <w:t>e</w:t>
      </w:r>
      <w:r w:rsidRPr="008F3A28">
        <w:rPr>
          <w:rFonts w:ascii="Garamond" w:hAnsi="Garamond"/>
          <w:sz w:val="24"/>
        </w:rPr>
        <w:t>fi</w:t>
      </w:r>
      <w:r w:rsidR="008F3A28">
        <w:rPr>
          <w:rFonts w:ascii="Garamond" w:hAnsi="Garamond"/>
          <w:sz w:val="24"/>
        </w:rPr>
        <w:t>ci</w:t>
      </w:r>
      <w:r w:rsidRPr="008F3A28">
        <w:rPr>
          <w:rFonts w:ascii="Garamond" w:hAnsi="Garamond"/>
          <w:sz w:val="24"/>
        </w:rPr>
        <w:t>encën</w:t>
      </w:r>
      <w:r w:rsidRPr="008F3A28">
        <w:rPr>
          <w:rFonts w:ascii="Garamond" w:hAnsi="Garamond"/>
          <w:sz w:val="24"/>
        </w:rPr>
        <w:t xml:space="preserve"> e </w:t>
      </w:r>
      <w:r w:rsidR="008F3A28">
        <w:rPr>
          <w:rFonts w:ascii="Garamond" w:hAnsi="Garamond"/>
          <w:sz w:val="24"/>
        </w:rPr>
        <w:t>e</w:t>
      </w:r>
      <w:r w:rsidRPr="008F3A28">
        <w:rPr>
          <w:rFonts w:ascii="Garamond" w:hAnsi="Garamond"/>
          <w:sz w:val="24"/>
        </w:rPr>
        <w:t>nergjisë</w:t>
      </w:r>
      <w:r w:rsidR="008F3A28">
        <w:rPr>
          <w:rFonts w:ascii="Garamond" w:hAnsi="Garamond"/>
          <w:sz w:val="24"/>
        </w:rPr>
        <w:t>”</w:t>
      </w:r>
      <w:r w:rsidRPr="008F3A28">
        <w:rPr>
          <w:rFonts w:ascii="Garamond" w:hAnsi="Garamond"/>
          <w:sz w:val="24"/>
        </w:rPr>
        <w:t>,</w:t>
      </w:r>
      <w:r w:rsidRPr="008F3A28">
        <w:rPr>
          <w:rFonts w:ascii="Garamond" w:hAnsi="Garamond"/>
          <w:sz w:val="24"/>
        </w:rPr>
        <w:t xml:space="preserve"> të ndryshuar, </w:t>
      </w:r>
    </w:p>
    <w:p w14:paraId="1AFA48D3" w14:textId="77777777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C888BE" w14:textId="77777777" w:rsidR="00C263EE" w:rsidRPr="008F3A28" w:rsidRDefault="00C263EE" w:rsidP="00C263E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>UDHËZOJ:</w:t>
      </w:r>
    </w:p>
    <w:p w14:paraId="3E329C71" w14:textId="77777777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A87677" w14:textId="77777777" w:rsidR="00C263EE" w:rsidRPr="00952DBC" w:rsidRDefault="00C263EE" w:rsidP="00C263E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952DBC">
        <w:rPr>
          <w:rFonts w:ascii="Garamond" w:hAnsi="Garamond"/>
          <w:b/>
          <w:sz w:val="24"/>
        </w:rPr>
        <w:t xml:space="preserve">I. Qëllimi dhe fushëveprimi </w:t>
      </w:r>
    </w:p>
    <w:p w14:paraId="77D57DC8" w14:textId="0AFF393B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1. Qëllimi kryesor i rregullave të përcaktimit të konsumit të energjisë termike (në vijim </w:t>
      </w:r>
      <w:r w:rsidR="008F3A28">
        <w:rPr>
          <w:rFonts w:ascii="Garamond" w:hAnsi="Garamond"/>
          <w:sz w:val="24"/>
        </w:rPr>
        <w:t>“</w:t>
      </w:r>
      <w:r w:rsidRPr="008F3A28">
        <w:rPr>
          <w:rFonts w:ascii="Garamond" w:hAnsi="Garamond"/>
          <w:sz w:val="24"/>
        </w:rPr>
        <w:t>Metodologjia</w:t>
      </w:r>
      <w:r w:rsidR="008F3A28">
        <w:rPr>
          <w:rFonts w:ascii="Garamond" w:hAnsi="Garamond"/>
          <w:sz w:val="24"/>
        </w:rPr>
        <w:t>”</w:t>
      </w:r>
      <w:r w:rsidRPr="008F3A28">
        <w:rPr>
          <w:rFonts w:ascii="Garamond" w:hAnsi="Garamond"/>
          <w:sz w:val="24"/>
        </w:rPr>
        <w:t>)</w:t>
      </w:r>
      <w:r w:rsidRPr="008F3A28">
        <w:rPr>
          <w:rFonts w:ascii="Garamond" w:hAnsi="Garamond"/>
          <w:sz w:val="24"/>
        </w:rPr>
        <w:t xml:space="preserve"> është të zbatojë faturimin e bazuar në konsum, nëpërmjet përcaktimit të rregullave të llogaritjes së faturës së energjisë termike për klientët që banojnë në ndërtesat me shumë njësi.</w:t>
      </w:r>
    </w:p>
    <w:p w14:paraId="54475798" w14:textId="77F2D61E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2. Metodologjia zbatohet nga kompanitë e </w:t>
      </w:r>
      <w:r w:rsidR="008F3A28">
        <w:rPr>
          <w:rFonts w:ascii="Garamond" w:hAnsi="Garamond"/>
          <w:sz w:val="24"/>
        </w:rPr>
        <w:t>l</w:t>
      </w:r>
      <w:r w:rsidRPr="008F3A28">
        <w:rPr>
          <w:rFonts w:ascii="Garamond" w:hAnsi="Garamond"/>
          <w:sz w:val="24"/>
        </w:rPr>
        <w:t>i</w:t>
      </w:r>
      <w:r w:rsidR="008F3A28">
        <w:rPr>
          <w:rFonts w:ascii="Garamond" w:hAnsi="Garamond"/>
          <w:sz w:val="24"/>
        </w:rPr>
        <w:t>c</w:t>
      </w:r>
      <w:r w:rsidRPr="008F3A28">
        <w:rPr>
          <w:rFonts w:ascii="Garamond" w:hAnsi="Garamond"/>
          <w:sz w:val="24"/>
        </w:rPr>
        <w:t>encuara</w:t>
      </w:r>
      <w:r w:rsidRPr="008F3A28">
        <w:rPr>
          <w:rFonts w:ascii="Garamond" w:hAnsi="Garamond"/>
          <w:sz w:val="24"/>
        </w:rPr>
        <w:t xml:space="preserve"> për furnizim me energji termike dhe do të zbatohet për llogaritjen e faturës së ngrohje</w:t>
      </w:r>
      <w:r w:rsidR="00D949E1">
        <w:rPr>
          <w:rFonts w:ascii="Garamond" w:hAnsi="Garamond"/>
          <w:sz w:val="24"/>
        </w:rPr>
        <w:t>s</w:t>
      </w:r>
      <w:r w:rsidRPr="008F3A28">
        <w:rPr>
          <w:rFonts w:ascii="Garamond" w:hAnsi="Garamond"/>
          <w:sz w:val="24"/>
        </w:rPr>
        <w:t xml:space="preserve">/ftohjes për klientët që banojnë në ndërtesa individuale ose me shumë njësi të lidhura me sistemin </w:t>
      </w:r>
      <w:r w:rsidR="008F3A28" w:rsidRPr="008F3A28">
        <w:rPr>
          <w:rFonts w:ascii="Garamond" w:hAnsi="Garamond"/>
          <w:sz w:val="24"/>
        </w:rPr>
        <w:t>qendror</w:t>
      </w:r>
      <w:r w:rsidRPr="008F3A28">
        <w:rPr>
          <w:rFonts w:ascii="Garamond" w:hAnsi="Garamond"/>
          <w:sz w:val="24"/>
        </w:rPr>
        <w:t xml:space="preserve"> të ngrohje-ftohjes.</w:t>
      </w:r>
    </w:p>
    <w:p w14:paraId="4FF83876" w14:textId="3AEE66A8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>3.</w:t>
      </w:r>
      <w:r w:rsidR="008F3A28">
        <w:rPr>
          <w:rFonts w:ascii="Garamond" w:hAnsi="Garamond"/>
          <w:sz w:val="24"/>
        </w:rPr>
        <w:t xml:space="preserve"> </w:t>
      </w:r>
      <w:r w:rsidRPr="008F3A28">
        <w:rPr>
          <w:rFonts w:ascii="Garamond" w:hAnsi="Garamond"/>
          <w:sz w:val="24"/>
        </w:rPr>
        <w:t>Metodologjia do të zbatohet për të gjitha ndërtesat me shumë njësi (kolektive), nëpërmjet matjes funksionale të ngrohjes/ftohjes në nivel të nënstacionit të ndërtesës dhe në nivel të njësisë.</w:t>
      </w:r>
    </w:p>
    <w:p w14:paraId="009AE355" w14:textId="0C783B74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4. Pavarësisht nga lloji i instalimeve të ngrohjes/ftohjes </w:t>
      </w:r>
      <w:r w:rsidR="008F3A28" w:rsidRPr="008F3A28">
        <w:rPr>
          <w:rFonts w:ascii="Garamond" w:hAnsi="Garamond"/>
          <w:sz w:val="24"/>
        </w:rPr>
        <w:t>qendrore</w:t>
      </w:r>
      <w:r w:rsidRPr="008F3A28">
        <w:rPr>
          <w:rFonts w:ascii="Garamond" w:hAnsi="Garamond"/>
          <w:sz w:val="24"/>
        </w:rPr>
        <w:t xml:space="preserve"> të ndërtesave (instalimi i ngrohjes/ftohjes </w:t>
      </w:r>
      <w:r w:rsidR="008F3A28" w:rsidRPr="008F3A28">
        <w:rPr>
          <w:rFonts w:ascii="Garamond" w:hAnsi="Garamond"/>
          <w:sz w:val="24"/>
        </w:rPr>
        <w:t>qendrore</w:t>
      </w:r>
      <w:r w:rsidRPr="008F3A28">
        <w:rPr>
          <w:rFonts w:ascii="Garamond" w:hAnsi="Garamond"/>
          <w:sz w:val="24"/>
        </w:rPr>
        <w:t xml:space="preserve"> </w:t>
      </w:r>
      <w:r w:rsidR="008F3A28">
        <w:rPr>
          <w:rFonts w:ascii="Garamond" w:hAnsi="Garamond"/>
          <w:sz w:val="24"/>
        </w:rPr>
        <w:t>‘</w:t>
      </w:r>
      <w:r w:rsidRPr="008F3A28">
        <w:rPr>
          <w:rFonts w:ascii="Garamond" w:hAnsi="Garamond"/>
          <w:sz w:val="24"/>
        </w:rPr>
        <w:t>vertikale</w:t>
      </w:r>
      <w:r w:rsidR="008F3A28">
        <w:rPr>
          <w:rFonts w:ascii="Garamond" w:hAnsi="Garamond"/>
          <w:sz w:val="24"/>
        </w:rPr>
        <w:t>’</w:t>
      </w:r>
      <w:r w:rsidRPr="008F3A28">
        <w:rPr>
          <w:rFonts w:ascii="Garamond" w:hAnsi="Garamond"/>
          <w:sz w:val="24"/>
        </w:rPr>
        <w:t xml:space="preserve"> ose </w:t>
      </w:r>
      <w:r w:rsidR="008F3A28">
        <w:rPr>
          <w:rFonts w:ascii="Garamond" w:hAnsi="Garamond"/>
          <w:sz w:val="24"/>
        </w:rPr>
        <w:t>‘</w:t>
      </w:r>
      <w:r w:rsidRPr="008F3A28">
        <w:rPr>
          <w:rFonts w:ascii="Garamond" w:hAnsi="Garamond"/>
          <w:sz w:val="24"/>
        </w:rPr>
        <w:t>horizontale</w:t>
      </w:r>
      <w:r w:rsidR="008F3A28">
        <w:rPr>
          <w:rFonts w:ascii="Garamond" w:hAnsi="Garamond"/>
          <w:sz w:val="24"/>
        </w:rPr>
        <w:t>’</w:t>
      </w:r>
      <w:r w:rsidRPr="008F3A28">
        <w:rPr>
          <w:rFonts w:ascii="Garamond" w:hAnsi="Garamond"/>
          <w:sz w:val="24"/>
        </w:rPr>
        <w:t xml:space="preserve">) dhe rregullimet përkatëse të matjes së nxehtësisë në nivelin e njësisë (HCA ose matësi individual i ngrohjes </w:t>
      </w:r>
      <w:r w:rsidR="008F3A28">
        <w:rPr>
          <w:rFonts w:ascii="Garamond" w:hAnsi="Garamond"/>
          <w:sz w:val="24"/>
        </w:rPr>
        <w:t>së</w:t>
      </w:r>
      <w:r w:rsidRPr="008F3A28">
        <w:rPr>
          <w:rFonts w:ascii="Garamond" w:hAnsi="Garamond"/>
          <w:sz w:val="24"/>
        </w:rPr>
        <w:t xml:space="preserve"> njësive), metodologjia do të zbatohet për të dyja rastet.</w:t>
      </w:r>
    </w:p>
    <w:p w14:paraId="510FECE6" w14:textId="7B8D819E" w:rsidR="00C263EE" w:rsidRPr="00952DBC" w:rsidRDefault="008F3A28" w:rsidP="00C263E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952DBC">
        <w:rPr>
          <w:rFonts w:ascii="Garamond" w:hAnsi="Garamond"/>
          <w:b/>
          <w:sz w:val="24"/>
        </w:rPr>
        <w:t xml:space="preserve">II. </w:t>
      </w:r>
      <w:r w:rsidR="00C263EE" w:rsidRPr="00952DBC">
        <w:rPr>
          <w:rFonts w:ascii="Garamond" w:hAnsi="Garamond"/>
          <w:b/>
          <w:sz w:val="24"/>
        </w:rPr>
        <w:t xml:space="preserve">Parimet kryesore të </w:t>
      </w:r>
      <w:r w:rsidRPr="00952DBC">
        <w:rPr>
          <w:rFonts w:ascii="Garamond" w:hAnsi="Garamond"/>
          <w:b/>
          <w:sz w:val="24"/>
        </w:rPr>
        <w:t>m</w:t>
      </w:r>
      <w:r w:rsidR="00C263EE" w:rsidRPr="00952DBC">
        <w:rPr>
          <w:rFonts w:ascii="Garamond" w:hAnsi="Garamond"/>
          <w:b/>
          <w:sz w:val="24"/>
        </w:rPr>
        <w:t>etodologjisë</w:t>
      </w:r>
      <w:r w:rsidR="00C263EE" w:rsidRPr="00952DBC">
        <w:rPr>
          <w:rFonts w:ascii="Garamond" w:hAnsi="Garamond"/>
          <w:b/>
          <w:sz w:val="24"/>
        </w:rPr>
        <w:t xml:space="preserve"> </w:t>
      </w:r>
    </w:p>
    <w:p w14:paraId="6B001629" w14:textId="7EB2783D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5. Parimet kryesore të mëposhtme do të rregullojnë këtë </w:t>
      </w:r>
      <w:r w:rsidR="008F3A28">
        <w:rPr>
          <w:rFonts w:ascii="Garamond" w:hAnsi="Garamond"/>
          <w:sz w:val="24"/>
        </w:rPr>
        <w:t>m</w:t>
      </w:r>
      <w:r w:rsidRPr="008F3A28">
        <w:rPr>
          <w:rFonts w:ascii="Garamond" w:hAnsi="Garamond"/>
          <w:sz w:val="24"/>
        </w:rPr>
        <w:t>etodologji</w:t>
      </w:r>
      <w:r w:rsidRPr="008F3A28">
        <w:rPr>
          <w:rFonts w:ascii="Garamond" w:hAnsi="Garamond"/>
          <w:sz w:val="24"/>
        </w:rPr>
        <w:t xml:space="preserve">: </w:t>
      </w:r>
    </w:p>
    <w:p w14:paraId="7D5F09B1" w14:textId="0C4CC6D6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a) Fatura e </w:t>
      </w:r>
      <w:r w:rsidR="008F3A28" w:rsidRPr="008F3A28">
        <w:rPr>
          <w:rFonts w:ascii="Garamond" w:hAnsi="Garamond"/>
          <w:sz w:val="24"/>
        </w:rPr>
        <w:t>energjisë</w:t>
      </w:r>
      <w:r w:rsidRPr="008F3A28">
        <w:rPr>
          <w:rFonts w:ascii="Garamond" w:hAnsi="Garamond"/>
          <w:sz w:val="24"/>
        </w:rPr>
        <w:t xml:space="preserve"> termike </w:t>
      </w:r>
      <w:r w:rsidR="00D949E1" w:rsidRPr="008F3A28">
        <w:rPr>
          <w:rFonts w:ascii="Garamond" w:hAnsi="Garamond"/>
          <w:sz w:val="24"/>
        </w:rPr>
        <w:t>të</w:t>
      </w:r>
      <w:r w:rsidRPr="008F3A28">
        <w:rPr>
          <w:rFonts w:ascii="Garamond" w:hAnsi="Garamond"/>
          <w:sz w:val="24"/>
        </w:rPr>
        <w:t xml:space="preserve"> konsumatorit duhet të jetë e drejtë dhe transparente</w:t>
      </w:r>
      <w:r w:rsidR="008F3A28">
        <w:rPr>
          <w:rFonts w:ascii="Garamond" w:hAnsi="Garamond"/>
          <w:sz w:val="24"/>
        </w:rPr>
        <w:t>,</w:t>
      </w:r>
      <w:r w:rsidRPr="008F3A28">
        <w:rPr>
          <w:rFonts w:ascii="Garamond" w:hAnsi="Garamond"/>
          <w:sz w:val="24"/>
        </w:rPr>
        <w:t xml:space="preserve"> duke reflektuar konsumin aktual të matur dhe të vlerësuar të ngrohjes-ftohjes së njësisë në pronësi të çdo konsumatori; </w:t>
      </w:r>
    </w:p>
    <w:p w14:paraId="4203D398" w14:textId="130C5952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b) Faturimi bazohet në konsumin e matur në nivelin e nënstacionit termik dhe duke marrë parasysh matjet në nivel të njësisë dhe rregullimet e tjera specifike që pasqyrojnë nxehtësinë e pa matur në nivelin e njësisë, siç është transmetimi i nxehtësisë nga rrjeti i përbashkët i tubacioneve të ndërtesave dhe nga transmetimi i nxehtësisë nga muret/tavanet ndërmjet njësive të ndërtesës. Për këtë qëllim, bilanci i furnizimit/konsumit të energjisë termike të ndërtesës do të jetë baza për alokimin e kostove të ngrohjes/ftohjes dhe llogaritjen e mëtejshme të faturave </w:t>
      </w:r>
      <w:r w:rsidR="008F3A28">
        <w:rPr>
          <w:rFonts w:ascii="Garamond" w:hAnsi="Garamond"/>
          <w:sz w:val="24"/>
        </w:rPr>
        <w:t>t</w:t>
      </w:r>
      <w:r w:rsidRPr="008F3A28">
        <w:rPr>
          <w:rFonts w:ascii="Garamond" w:hAnsi="Garamond"/>
          <w:sz w:val="24"/>
        </w:rPr>
        <w:t>ë</w:t>
      </w:r>
      <w:r w:rsidRPr="008F3A28">
        <w:rPr>
          <w:rFonts w:ascii="Garamond" w:hAnsi="Garamond"/>
          <w:sz w:val="24"/>
        </w:rPr>
        <w:t xml:space="preserve"> konsumatorëve;</w:t>
      </w:r>
    </w:p>
    <w:p w14:paraId="27D957A5" w14:textId="5D70DE85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c) Matja kryesore e energjisë termike bëhet në nënstacionin termik të ndërtesës, i cili është pika ndarëse (kufizuese) ndërmjet furnizuesit dhe konsumatorit; matja e energjisë termike në nivelin e nënstacionit është matja referente për kompaninë e furnizimit me ngrohje/ftohje që duhet të kompensohet për ngrohjen/ftohjen e furnizuar në një ndërtesë. Për faturimin e bazuar në konsum do të zbatohet e ashtuquajtura </w:t>
      </w:r>
      <w:r w:rsidR="008F3A28">
        <w:rPr>
          <w:rFonts w:ascii="Garamond" w:hAnsi="Garamond"/>
          <w:sz w:val="24"/>
        </w:rPr>
        <w:t>‘</w:t>
      </w:r>
      <w:r w:rsidRPr="008F3A28">
        <w:rPr>
          <w:rFonts w:ascii="Garamond" w:hAnsi="Garamond"/>
          <w:sz w:val="24"/>
        </w:rPr>
        <w:t xml:space="preserve">tarifa për konsumatorët me </w:t>
      </w:r>
      <w:r w:rsidRPr="008F3A28">
        <w:rPr>
          <w:rFonts w:ascii="Garamond" w:hAnsi="Garamond"/>
          <w:sz w:val="24"/>
        </w:rPr>
        <w:t>matje</w:t>
      </w:r>
      <w:r w:rsidR="008F3A28">
        <w:rPr>
          <w:rFonts w:ascii="Garamond" w:hAnsi="Garamond"/>
          <w:sz w:val="24"/>
        </w:rPr>
        <w:t>’</w:t>
      </w:r>
      <w:r w:rsidRPr="008F3A28">
        <w:rPr>
          <w:rFonts w:ascii="Garamond" w:hAnsi="Garamond"/>
          <w:sz w:val="24"/>
        </w:rPr>
        <w:t xml:space="preserve"> sipas legjislacionit në fuqi; kjo </w:t>
      </w:r>
      <w:r w:rsidRPr="008F3A28">
        <w:rPr>
          <w:rFonts w:ascii="Garamond" w:hAnsi="Garamond"/>
          <w:sz w:val="24"/>
        </w:rPr>
        <w:t>tarif</w:t>
      </w:r>
      <w:r w:rsidR="008F3A28">
        <w:rPr>
          <w:rFonts w:ascii="Garamond" w:hAnsi="Garamond"/>
          <w:sz w:val="24"/>
        </w:rPr>
        <w:t>ë</w:t>
      </w:r>
      <w:r w:rsidRPr="008F3A28">
        <w:rPr>
          <w:rFonts w:ascii="Garamond" w:hAnsi="Garamond"/>
          <w:sz w:val="24"/>
        </w:rPr>
        <w:t xml:space="preserve"> përbëhet nga komponenti i </w:t>
      </w:r>
      <w:r w:rsidR="008F3A28" w:rsidRPr="008F3A28">
        <w:rPr>
          <w:rFonts w:ascii="Garamond" w:hAnsi="Garamond"/>
          <w:sz w:val="24"/>
        </w:rPr>
        <w:t>tarifës</w:t>
      </w:r>
      <w:r w:rsidRPr="008F3A28">
        <w:rPr>
          <w:rFonts w:ascii="Garamond" w:hAnsi="Garamond"/>
          <w:sz w:val="24"/>
        </w:rPr>
        <w:t xml:space="preserve"> së kapacitetit dhe komponenti i energjisë. </w:t>
      </w:r>
    </w:p>
    <w:p w14:paraId="58041E38" w14:textId="3AB79457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6. Fatura e energjisë termike </w:t>
      </w:r>
      <w:r w:rsidR="008F3A28">
        <w:rPr>
          <w:rFonts w:ascii="Garamond" w:hAnsi="Garamond"/>
          <w:sz w:val="24"/>
        </w:rPr>
        <w:t>të</w:t>
      </w:r>
      <w:r w:rsidRPr="008F3A28">
        <w:rPr>
          <w:rFonts w:ascii="Garamond" w:hAnsi="Garamond"/>
          <w:sz w:val="24"/>
        </w:rPr>
        <w:t xml:space="preserve"> konsumatorëve që banojnë në ndërtesat kolektive do të përbëhet nga: a) komponentët fiks që m</w:t>
      </w:r>
      <w:r w:rsidR="00D949E1">
        <w:rPr>
          <w:rFonts w:ascii="Garamond" w:hAnsi="Garamond"/>
          <w:sz w:val="24"/>
        </w:rPr>
        <w:t>a</w:t>
      </w:r>
      <w:r w:rsidRPr="008F3A28">
        <w:rPr>
          <w:rFonts w:ascii="Garamond" w:hAnsi="Garamond"/>
          <w:sz w:val="24"/>
        </w:rPr>
        <w:t>rr</w:t>
      </w:r>
      <w:r w:rsidR="00D949E1">
        <w:rPr>
          <w:rFonts w:ascii="Garamond" w:hAnsi="Garamond"/>
          <w:sz w:val="24"/>
        </w:rPr>
        <w:t>in</w:t>
      </w:r>
      <w:r w:rsidRPr="008F3A28">
        <w:rPr>
          <w:rFonts w:ascii="Garamond" w:hAnsi="Garamond"/>
          <w:sz w:val="24"/>
        </w:rPr>
        <w:t xml:space="preserve"> parasysh kapacitetin termik të konsumatorit dhe konsumin e përbashkët të energjisë termike të ndërtesës dhe do </w:t>
      </w:r>
      <w:r w:rsidRPr="008F3A28">
        <w:rPr>
          <w:rFonts w:ascii="Garamond" w:hAnsi="Garamond"/>
          <w:sz w:val="24"/>
        </w:rPr>
        <w:t>t</w:t>
      </w:r>
      <w:r w:rsidR="008F3A28">
        <w:rPr>
          <w:rFonts w:ascii="Garamond" w:hAnsi="Garamond"/>
          <w:sz w:val="24"/>
        </w:rPr>
        <w:t>’</w:t>
      </w:r>
      <w:r w:rsidRPr="008F3A28">
        <w:rPr>
          <w:rFonts w:ascii="Garamond" w:hAnsi="Garamond"/>
          <w:sz w:val="24"/>
        </w:rPr>
        <w:t>u</w:t>
      </w:r>
      <w:r w:rsidRPr="008F3A28">
        <w:rPr>
          <w:rFonts w:ascii="Garamond" w:hAnsi="Garamond"/>
          <w:sz w:val="24"/>
        </w:rPr>
        <w:t xml:space="preserve"> tarifohen konsumatorëve pavarësisht nga sasia e energjisë së konsumuar; b) komponenti variabël që do të </w:t>
      </w:r>
      <w:r w:rsidR="008F3A28">
        <w:rPr>
          <w:rFonts w:ascii="Garamond" w:hAnsi="Garamond"/>
          <w:sz w:val="24"/>
        </w:rPr>
        <w:t>ll</w:t>
      </w:r>
      <w:r w:rsidRPr="008F3A28">
        <w:rPr>
          <w:rFonts w:ascii="Garamond" w:hAnsi="Garamond"/>
          <w:sz w:val="24"/>
        </w:rPr>
        <w:t>ogaritet</w:t>
      </w:r>
      <w:r w:rsidRPr="008F3A28">
        <w:rPr>
          <w:rFonts w:ascii="Garamond" w:hAnsi="Garamond"/>
          <w:sz w:val="24"/>
        </w:rPr>
        <w:t xml:space="preserve"> në bazë të sasisë së matur të energjisë termike të konsumuar.</w:t>
      </w:r>
    </w:p>
    <w:p w14:paraId="31083CE9" w14:textId="672E8D76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>7. Metodologjia shfrytëzon qasjen që bazohet në bilancin e konsumit të energjisë termike (ngrohjes/ftohjes) për ndërtesën si tërësi, e cila merr parasysh si në vijim:</w:t>
      </w:r>
    </w:p>
    <w:p w14:paraId="24158612" w14:textId="17002CC9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t>a) Ngrohja/ftohja e matur në nivelin e nënstacionit termik është matja kryesore referente e ngrohjes/ftohjes së furnizuar në ndërtesë</w:t>
      </w:r>
      <w:r w:rsidR="008F3A28">
        <w:rPr>
          <w:rFonts w:ascii="Garamond" w:hAnsi="Garamond"/>
          <w:sz w:val="24"/>
        </w:rPr>
        <w:t>,</w:t>
      </w:r>
      <w:r w:rsidRPr="008F3A28">
        <w:rPr>
          <w:rFonts w:ascii="Garamond" w:hAnsi="Garamond"/>
          <w:sz w:val="24"/>
        </w:rPr>
        <w:t xml:space="preserve"> për të cilën kompania e furnizimit me energji termike duhet të kompensohet;</w:t>
      </w:r>
    </w:p>
    <w:p w14:paraId="68C528B1" w14:textId="590BF8AE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b) Diferenca ndërmjet sasisë së energjisë termike të matur në nivelin e nënstacionit të ndërtesës dhe konsumit të përbashkët të të gjitha njësive të ndërtesës (matur në nivel njësie) do të shpërndahet proporcionalisht me sipërfaqen e ngrohjes/ftohjes </w:t>
      </w:r>
      <w:r w:rsidR="00D949E1">
        <w:rPr>
          <w:rFonts w:ascii="Garamond" w:hAnsi="Garamond"/>
          <w:sz w:val="24"/>
        </w:rPr>
        <w:t>s</w:t>
      </w:r>
      <w:r w:rsidRPr="008F3A28">
        <w:rPr>
          <w:rFonts w:ascii="Garamond" w:hAnsi="Garamond"/>
          <w:sz w:val="24"/>
        </w:rPr>
        <w:t xml:space="preserve">ë </w:t>
      </w:r>
      <w:r w:rsidR="008F3A28" w:rsidRPr="008F3A28">
        <w:rPr>
          <w:rFonts w:ascii="Garamond" w:hAnsi="Garamond"/>
          <w:sz w:val="24"/>
        </w:rPr>
        <w:t>secilës</w:t>
      </w:r>
      <w:r w:rsidRPr="008F3A28">
        <w:rPr>
          <w:rFonts w:ascii="Garamond" w:hAnsi="Garamond"/>
          <w:sz w:val="24"/>
        </w:rPr>
        <w:t xml:space="preserve"> njësi;</w:t>
      </w:r>
    </w:p>
    <w:p w14:paraId="6EB70B6E" w14:textId="5CA55D50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c) Sipas kësaj, fatura individuale e energjisë termike e çdo konsumatori — pronari të njësisë duhet të marrë parasysh konsumin e energjisë termike të matur në nivel njësie dhe pjesën përkatëse të konsumit të përbashkët të ndërtesës, e cila përfaqëson diferencën ndërmjet konsumit të energjisë </w:t>
      </w:r>
      <w:r w:rsidR="008F3A28">
        <w:rPr>
          <w:rFonts w:ascii="Garamond" w:hAnsi="Garamond"/>
          <w:sz w:val="24"/>
        </w:rPr>
        <w:t>s</w:t>
      </w:r>
      <w:r w:rsidRPr="008F3A28">
        <w:rPr>
          <w:rFonts w:ascii="Garamond" w:hAnsi="Garamond"/>
          <w:sz w:val="24"/>
        </w:rPr>
        <w:t>ë</w:t>
      </w:r>
      <w:r w:rsidRPr="008F3A28">
        <w:rPr>
          <w:rFonts w:ascii="Garamond" w:hAnsi="Garamond"/>
          <w:sz w:val="24"/>
        </w:rPr>
        <w:t xml:space="preserve"> matur në nivel të nënstacionit dhe konsumit të përbashkët të energjisë së të gjitha njësive të matura në nivelin e njësisë;</w:t>
      </w:r>
    </w:p>
    <w:p w14:paraId="7F3E61D5" w14:textId="5D131B4D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 ç) Pjesa e konsumit të përbashkët të ndërtesës ndahet për njësitë e ndërtesës në proporcion me sipërfaqen e ngrohur/ftohur të secilës njësi.</w:t>
      </w:r>
    </w:p>
    <w:p w14:paraId="173C37B8" w14:textId="68FC17F4" w:rsidR="00C263EE" w:rsidRPr="00D949E1" w:rsidRDefault="00C263EE" w:rsidP="00C263E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D949E1">
        <w:rPr>
          <w:rFonts w:ascii="Garamond" w:hAnsi="Garamond"/>
          <w:b/>
          <w:sz w:val="24"/>
        </w:rPr>
        <w:t xml:space="preserve">III. Bilanci i konsumit të energjisë termike të një ndërtese me </w:t>
      </w:r>
      <w:r w:rsidRPr="00D949E1">
        <w:rPr>
          <w:rFonts w:ascii="Garamond" w:hAnsi="Garamond"/>
          <w:b/>
          <w:sz w:val="24"/>
        </w:rPr>
        <w:t>shu</w:t>
      </w:r>
      <w:r w:rsidR="008F3A28" w:rsidRPr="00D949E1">
        <w:rPr>
          <w:rFonts w:ascii="Garamond" w:hAnsi="Garamond"/>
          <w:b/>
          <w:sz w:val="24"/>
        </w:rPr>
        <w:t>m</w:t>
      </w:r>
      <w:r w:rsidRPr="00D949E1">
        <w:rPr>
          <w:rFonts w:ascii="Garamond" w:hAnsi="Garamond"/>
          <w:b/>
          <w:sz w:val="24"/>
        </w:rPr>
        <w:t>ë</w:t>
      </w:r>
      <w:r w:rsidRPr="00D949E1">
        <w:rPr>
          <w:rFonts w:ascii="Garamond" w:hAnsi="Garamond"/>
          <w:b/>
          <w:sz w:val="24"/>
        </w:rPr>
        <w:t xml:space="preserve"> njësi</w:t>
      </w:r>
    </w:p>
    <w:p w14:paraId="7C3253C0" w14:textId="1C67ADFC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8. Në bazë të fushëveprimit të </w:t>
      </w:r>
      <w:r w:rsidR="008F3A28">
        <w:rPr>
          <w:rFonts w:ascii="Garamond" w:hAnsi="Garamond"/>
          <w:sz w:val="24"/>
        </w:rPr>
        <w:t>m</w:t>
      </w:r>
      <w:r w:rsidRPr="008F3A28">
        <w:rPr>
          <w:rFonts w:ascii="Garamond" w:hAnsi="Garamond"/>
          <w:sz w:val="24"/>
        </w:rPr>
        <w:t>etodologjisë</w:t>
      </w:r>
      <w:r w:rsidRPr="008F3A28">
        <w:rPr>
          <w:rFonts w:ascii="Garamond" w:hAnsi="Garamond"/>
          <w:sz w:val="24"/>
        </w:rPr>
        <w:t xml:space="preserve"> së parimeve kryesore dhe qasjes për hartimin e </w:t>
      </w:r>
      <w:r w:rsidR="008F3A28">
        <w:rPr>
          <w:rFonts w:ascii="Garamond" w:hAnsi="Garamond"/>
          <w:sz w:val="24"/>
        </w:rPr>
        <w:t>m</w:t>
      </w:r>
      <w:r w:rsidRPr="008F3A28">
        <w:rPr>
          <w:rFonts w:ascii="Garamond" w:hAnsi="Garamond"/>
          <w:sz w:val="24"/>
        </w:rPr>
        <w:t>etodologjisë</w:t>
      </w:r>
      <w:r w:rsidRPr="008F3A28">
        <w:rPr>
          <w:rFonts w:ascii="Garamond" w:hAnsi="Garamond"/>
          <w:sz w:val="24"/>
        </w:rPr>
        <w:t>, bilanci i konsumit të nxehtësisë së një ndërtese kolektive përgatitet në çdo muaj para përgatitjes së faturave</w:t>
      </w:r>
      <w:r w:rsidR="008F3A28">
        <w:rPr>
          <w:rFonts w:ascii="Garamond" w:hAnsi="Garamond"/>
          <w:sz w:val="24"/>
        </w:rPr>
        <w:t>,</w:t>
      </w:r>
      <w:r w:rsidRPr="008F3A28">
        <w:rPr>
          <w:rFonts w:ascii="Garamond" w:hAnsi="Garamond"/>
          <w:sz w:val="24"/>
        </w:rPr>
        <w:t xml:space="preserve"> sipas shtojcës 1 bashkëlidhur këtij udhëzimi dhe është pjesë përbërëse e tij.</w:t>
      </w:r>
    </w:p>
    <w:p w14:paraId="31C3D8A6" w14:textId="527B4CC9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>9. Bilanci i konsumit të ngrohjes/ftohjes së ndërtesës me shumë njësi duhet të kryhet për shkak të specifikave të dizajnit teknik dhe konfigurimit të instalimeve të ngrohjes/ftohjes qendrore</w:t>
      </w:r>
      <w:r w:rsidR="008F3A28">
        <w:rPr>
          <w:rFonts w:ascii="Garamond" w:hAnsi="Garamond"/>
          <w:sz w:val="24"/>
        </w:rPr>
        <w:t>,</w:t>
      </w:r>
      <w:r w:rsidRPr="008F3A28">
        <w:rPr>
          <w:rFonts w:ascii="Garamond" w:hAnsi="Garamond"/>
          <w:sz w:val="24"/>
        </w:rPr>
        <w:t xml:space="preserve"> dhe aranzhimeve përkatëse të matjes së ngrohjes/ftohjes, të përmbledhura si më poshtë:</w:t>
      </w:r>
    </w:p>
    <w:p w14:paraId="415B215C" w14:textId="1B7E5B4D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a) Konsumi i energjisë termike </w:t>
      </w:r>
      <w:r w:rsidR="00D949E1" w:rsidRPr="008F3A28">
        <w:rPr>
          <w:rFonts w:ascii="Garamond" w:hAnsi="Garamond"/>
          <w:sz w:val="24"/>
        </w:rPr>
        <w:t>të</w:t>
      </w:r>
      <w:r w:rsidRPr="008F3A28">
        <w:rPr>
          <w:rFonts w:ascii="Garamond" w:hAnsi="Garamond"/>
          <w:sz w:val="24"/>
        </w:rPr>
        <w:t xml:space="preserve"> të gjithë ndërtesës me shumë njësi (kolektive) matet në nivelin e nënstacionit nga matësi i ngrohjes/ftohjes</w:t>
      </w:r>
      <w:r w:rsidR="00D949E1">
        <w:rPr>
          <w:rFonts w:ascii="Garamond" w:hAnsi="Garamond"/>
          <w:sz w:val="24"/>
        </w:rPr>
        <w:t>;</w:t>
      </w:r>
    </w:p>
    <w:p w14:paraId="601BA415" w14:textId="11CC0F4B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b) Në ndërtesat me shumë njësi me instalime të ngrohjes qendrore </w:t>
      </w:r>
      <w:r w:rsidR="008F3A28">
        <w:rPr>
          <w:rFonts w:ascii="Garamond" w:hAnsi="Garamond"/>
          <w:sz w:val="24"/>
        </w:rPr>
        <w:t>‘</w:t>
      </w:r>
      <w:r w:rsidRPr="008F3A28">
        <w:rPr>
          <w:rFonts w:ascii="Garamond" w:hAnsi="Garamond"/>
          <w:sz w:val="24"/>
        </w:rPr>
        <w:t>vertikale</w:t>
      </w:r>
      <w:r w:rsidR="008F3A28">
        <w:rPr>
          <w:rFonts w:ascii="Garamond" w:hAnsi="Garamond"/>
          <w:sz w:val="24"/>
        </w:rPr>
        <w:t>’</w:t>
      </w:r>
      <w:r w:rsidRPr="008F3A28">
        <w:rPr>
          <w:rFonts w:ascii="Garamond" w:hAnsi="Garamond"/>
          <w:sz w:val="24"/>
        </w:rPr>
        <w:t>, konsumi i nxehtësisë së njësisë vlerësohet (llogaritet) duke përdorur alokatorët e kostos së ngrohjes të montuar në çdo radiator që llogarisin nxehtësinë e transmetuar nga radiatorët;</w:t>
      </w:r>
    </w:p>
    <w:p w14:paraId="1F72956B" w14:textId="2971CCBB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c) Në ndërtesat me shumë njësi me instalime të ngrohjes qendrore </w:t>
      </w:r>
      <w:r w:rsidR="008F3A28">
        <w:rPr>
          <w:rFonts w:ascii="Garamond" w:hAnsi="Garamond"/>
          <w:sz w:val="24"/>
        </w:rPr>
        <w:t>‘</w:t>
      </w:r>
      <w:r w:rsidRPr="008F3A28">
        <w:rPr>
          <w:rFonts w:ascii="Garamond" w:hAnsi="Garamond"/>
          <w:sz w:val="24"/>
        </w:rPr>
        <w:t>horizontale</w:t>
      </w:r>
      <w:r w:rsidR="008F3A28">
        <w:rPr>
          <w:rFonts w:ascii="Garamond" w:hAnsi="Garamond"/>
          <w:sz w:val="24"/>
        </w:rPr>
        <w:t>’</w:t>
      </w:r>
      <w:r w:rsidRPr="008F3A28">
        <w:rPr>
          <w:rFonts w:ascii="Garamond" w:hAnsi="Garamond"/>
          <w:sz w:val="24"/>
        </w:rPr>
        <w:t xml:space="preserve"> dhe ftohjes qendrore, konsumi i ngrohjes/ftohjes së njësisë matet duke përdorur matësin e ngrohjes/ftohjes të instaluar në pikën e lidhjes që hyn në njësi, i cili mat konsumin e ngrohjes/ftohjes në njësi;</w:t>
      </w:r>
    </w:p>
    <w:p w14:paraId="09DAF0E8" w14:textId="0DC7E9B8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ç) Në ndërtesën me shumë njësi, krahas konsumit të ngrohjes/ftohjes së njësive është prezent edhe </w:t>
      </w:r>
      <w:r w:rsidR="008F3A28">
        <w:rPr>
          <w:rFonts w:ascii="Garamond" w:hAnsi="Garamond"/>
          <w:sz w:val="24"/>
        </w:rPr>
        <w:t>“</w:t>
      </w:r>
      <w:r w:rsidRPr="008F3A28">
        <w:rPr>
          <w:rFonts w:ascii="Garamond" w:hAnsi="Garamond"/>
          <w:sz w:val="24"/>
        </w:rPr>
        <w:t>konsumimi i përbashkët</w:t>
      </w:r>
      <w:r w:rsidR="008F3A28">
        <w:rPr>
          <w:rFonts w:ascii="Garamond" w:hAnsi="Garamond"/>
          <w:sz w:val="24"/>
        </w:rPr>
        <w:t>”</w:t>
      </w:r>
      <w:r w:rsidRPr="008F3A28">
        <w:rPr>
          <w:rFonts w:ascii="Garamond" w:hAnsi="Garamond"/>
          <w:sz w:val="24"/>
        </w:rPr>
        <w:t>,</w:t>
      </w:r>
      <w:r w:rsidRPr="008F3A28">
        <w:rPr>
          <w:rFonts w:ascii="Garamond" w:hAnsi="Garamond"/>
          <w:sz w:val="24"/>
        </w:rPr>
        <w:t xml:space="preserve"> në formën e: i. transmetimit të nxehtësisë nga tubat që kalojnë nëpër hapësirat e përbashkëta të ndërtesave (korridoret, shkallët etj.); ii. transmetimit të nxehtësisë nga tubat që kalojnë nëpër njësi (në rastin e përdorimit të HCA-ve të </w:t>
      </w:r>
      <w:r w:rsidRPr="008F3A28">
        <w:rPr>
          <w:rFonts w:ascii="Garamond" w:hAnsi="Garamond"/>
          <w:sz w:val="24"/>
        </w:rPr>
        <w:t>montuar</w:t>
      </w:r>
      <w:r w:rsidR="008F3A28">
        <w:rPr>
          <w:rFonts w:ascii="Garamond" w:hAnsi="Garamond"/>
          <w:sz w:val="24"/>
        </w:rPr>
        <w:t>a</w:t>
      </w:r>
      <w:r w:rsidRPr="008F3A28">
        <w:rPr>
          <w:rFonts w:ascii="Garamond" w:hAnsi="Garamond"/>
          <w:sz w:val="24"/>
        </w:rPr>
        <w:t xml:space="preserve"> në radiatorë); iii. transmetimit </w:t>
      </w:r>
      <w:r w:rsidR="008F3A28" w:rsidRPr="008F3A28">
        <w:rPr>
          <w:rFonts w:ascii="Garamond" w:hAnsi="Garamond"/>
          <w:sz w:val="24"/>
        </w:rPr>
        <w:t>të</w:t>
      </w:r>
      <w:r w:rsidRPr="008F3A28">
        <w:rPr>
          <w:rFonts w:ascii="Garamond" w:hAnsi="Garamond"/>
          <w:sz w:val="24"/>
        </w:rPr>
        <w:t xml:space="preserve"> nxehtësisë ndërmjet mureve dhe tavaneve të njësive ngjitur.</w:t>
      </w:r>
    </w:p>
    <w:p w14:paraId="2F58AF40" w14:textId="15C40030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Ky </w:t>
      </w:r>
      <w:r w:rsidR="008F3A28" w:rsidRPr="008F3A28">
        <w:rPr>
          <w:rFonts w:ascii="Garamond" w:hAnsi="Garamond"/>
          <w:sz w:val="24"/>
        </w:rPr>
        <w:t>udhëzim</w:t>
      </w:r>
      <w:r w:rsidRPr="008F3A28">
        <w:rPr>
          <w:rFonts w:ascii="Garamond" w:hAnsi="Garamond"/>
          <w:sz w:val="24"/>
        </w:rPr>
        <w:t xml:space="preserve"> hyn në fuqi pas botimit në Fletoren Zyrtare.</w:t>
      </w:r>
    </w:p>
    <w:p w14:paraId="78480236" w14:textId="77777777" w:rsidR="00C263EE" w:rsidRPr="008F3A28" w:rsidRDefault="00C263EE" w:rsidP="00C263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89DB42" w14:textId="1B47F626" w:rsidR="00C263EE" w:rsidRPr="008F3A28" w:rsidRDefault="008F3A28" w:rsidP="00C263E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>ZËVENDËSKRYEMINIST</w:t>
      </w:r>
      <w:bookmarkStart w:id="0" w:name="_GoBack"/>
      <w:bookmarkEnd w:id="0"/>
      <w:r w:rsidRPr="008F3A28">
        <w:rPr>
          <w:rFonts w:ascii="Garamond" w:hAnsi="Garamond"/>
          <w:sz w:val="24"/>
        </w:rPr>
        <w:t>ËR</w:t>
      </w:r>
      <w:r w:rsidR="00C263EE" w:rsidRPr="008F3A28">
        <w:rPr>
          <w:rFonts w:ascii="Garamond" w:hAnsi="Garamond"/>
          <w:sz w:val="24"/>
        </w:rPr>
        <w:t xml:space="preserve"> DHE MINISTËR</w:t>
      </w:r>
    </w:p>
    <w:p w14:paraId="2CAD66BE" w14:textId="77777777" w:rsidR="00C263EE" w:rsidRPr="008F3A28" w:rsidRDefault="00C263EE" w:rsidP="00C263E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t xml:space="preserve"> I INFRASTRUKTURËS DHE ENERGJISË</w:t>
      </w:r>
    </w:p>
    <w:p w14:paraId="134B52EE" w14:textId="77777777" w:rsidR="00C263EE" w:rsidRPr="008F3A28" w:rsidRDefault="00C263EE" w:rsidP="00C263E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F3A28">
        <w:rPr>
          <w:rFonts w:ascii="Garamond" w:hAnsi="Garamond"/>
          <w:b/>
          <w:sz w:val="24"/>
        </w:rPr>
        <w:t>Belinda Balluku</w:t>
      </w:r>
    </w:p>
    <w:p w14:paraId="4BB92803" w14:textId="77777777" w:rsidR="00FF11BA" w:rsidRPr="008F3A28" w:rsidRDefault="00FF11BA" w:rsidP="00C263E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1940D3BC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1761ABCF" wp14:editId="1908E0F8">
            <wp:extent cx="5943600" cy="74322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kanimet e udhezimit_Page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483" cy="743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78233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1AD37E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04AB497D" wp14:editId="3A2EE726">
            <wp:extent cx="5935980" cy="7520026"/>
            <wp:effectExtent l="0" t="0" r="762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animet e udhezimit_Page_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806" cy="752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05100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A07119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34667320" wp14:editId="595B4FB1">
            <wp:extent cx="5912485" cy="76224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kanimet e udhezimit_Page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931" cy="762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FAEE9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1F0D1491" wp14:editId="53DABB4B">
            <wp:extent cx="5943600" cy="7249363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kanimet e udhezimit_Page_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576" cy="725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610E3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42B233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09500411" wp14:editId="5DB8AF28">
            <wp:extent cx="5856549" cy="7651699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kanimet e udhezimit_Page_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364" cy="765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B3148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5E806D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1124671A" wp14:editId="3C94148E">
            <wp:extent cx="5702935" cy="74980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kanimet e udhezimit_Page_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4493" cy="750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DDAB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451BD92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17E569B3" wp14:editId="5714B0E6">
            <wp:extent cx="5943600" cy="746881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kanimet e udhezimit_Page_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320" cy="747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2325A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B275E5" w14:textId="77777777" w:rsidR="00D27422" w:rsidRPr="008F3A28" w:rsidRDefault="00D27422" w:rsidP="00D2742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3A28">
        <w:rPr>
          <w:rFonts w:ascii="Garamond" w:hAnsi="Garamond"/>
          <w:sz w:val="24"/>
        </w:rPr>
        <w:lastRenderedPageBreak/>
        <w:drawing>
          <wp:inline distT="0" distB="0" distL="0" distR="0" wp14:anchorId="4FD33C39" wp14:editId="75BA3A49">
            <wp:extent cx="5865876" cy="5582412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kanimet e udhezimit_Page_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876" cy="558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7422" w:rsidRPr="008F3A28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EE"/>
    <w:rsid w:val="0052448A"/>
    <w:rsid w:val="006F7F4C"/>
    <w:rsid w:val="008030A1"/>
    <w:rsid w:val="008F3A28"/>
    <w:rsid w:val="00952DBC"/>
    <w:rsid w:val="00B73CD8"/>
    <w:rsid w:val="00C15C70"/>
    <w:rsid w:val="00C263EE"/>
    <w:rsid w:val="00D27422"/>
    <w:rsid w:val="00D949E1"/>
    <w:rsid w:val="00E26722"/>
    <w:rsid w:val="00E82C7D"/>
    <w:rsid w:val="00FD310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919FF"/>
  <w15:chartTrackingRefBased/>
  <w15:docId w15:val="{D6B1C943-4633-49FA-A3CE-F483148CA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5B849BEB04A5DB149E6616E72D0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2024-07-15T09:27:10Z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2024-07-12T00:00:00Z</Date_x0020_protokolli>
    <Titulli xmlns="0e656187-b300-4fb0-8bf4-3a50f872073c">Për rregullat e përcaktimit të konsumit të energjisë termike</Titulli>
    <Modifikuesi xmlns="0e656187-b300-4fb0-8bf4-3a50f872073c">ermira.bukaci</Modifikuesi>
    <Nr_x002e__x0020_prot_x0020_QBZ xmlns="0e656187-b300-4fb0-8bf4-3a50f872073c">1251/1</Nr_x002e__x0020_prot_x0020_QBZ>
    <Data_x0020_e_x0020_Modifikimit xmlns="0e656187-b300-4fb0-8bf4-3a50f872073c">2024-07-15T12:29:48Z</Data_x0020_e_x0020_Modifikimit>
    <Dekretuar xmlns="0e656187-b300-4fb0-8bf4-3a50f872073c">false</Dekretuar>
    <Data xmlns="0e656187-b300-4fb0-8bf4-3a50f872073c">2024-06-24T00:00:00Z</Data>
    <Nr_x002e__x0020_protokolli_x0020_i_x0020_aktit xmlns="0e656187-b300-4fb0-8bf4-3a50f872073c">5371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5B849BEB04A5DB149E6616E72D0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2024-07-15T09:27:10Z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2024-07-12T00:00:00Z</Date_x0020_protokolli>
    <Titulli xmlns="0e656187-b300-4fb0-8bf4-3a50f872073c">Për rregullat e përcaktimit të konsumit të energjisë termike</Titulli>
    <Modifikuesi xmlns="0e656187-b300-4fb0-8bf4-3a50f872073c">ermira.bukaci</Modifikuesi>
    <Nr_x002e__x0020_prot_x0020_QBZ xmlns="0e656187-b300-4fb0-8bf4-3a50f872073c">1251/1</Nr_x002e__x0020_prot_x0020_QBZ>
    <Data_x0020_e_x0020_Modifikimit xmlns="0e656187-b300-4fb0-8bf4-3a50f872073c">2024-07-15T12:29:48Z</Data_x0020_e_x0020_Modifikimit>
    <Dekretuar xmlns="0e656187-b300-4fb0-8bf4-3a50f872073c">false</Dekretuar>
    <Data xmlns="0e656187-b300-4fb0-8bf4-3a50f872073c">2024-06-24T00:00:00Z</Data>
    <Nr_x002e__x0020_protokolli_x0020_i_x0020_aktit xmlns="0e656187-b300-4fb0-8bf4-3a50f872073c">5371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4F684AA-42F2-4987-B7C4-6D31A1A548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193C5E-FBC8-4229-8C09-0903CB817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C0FEB9-DE19-451A-88C3-8D58437422F5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DC9C744-1B34-4CCC-BCF4-D99914C3CE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73AAEC-13DC-459F-9AE5-ABDD83856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CC60BA-0B1B-444D-9858-011376496E3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9</cp:revision>
  <dcterms:created xsi:type="dcterms:W3CDTF">2024-07-15T11:18:00Z</dcterms:created>
  <dcterms:modified xsi:type="dcterms:W3CDTF">2024-07-16T09:46:00Z</dcterms:modified>
</cp:coreProperties>
</file>