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6D982" w14:textId="77777777" w:rsidR="00797B29" w:rsidRPr="00FA17F9" w:rsidRDefault="00797B29" w:rsidP="00FA17F9">
      <w:pPr>
        <w:shd w:val="clear" w:color="auto" w:fill="FFFFFF"/>
        <w:tabs>
          <w:tab w:val="left" w:pos="0"/>
        </w:tabs>
        <w:spacing w:after="0" w:line="240" w:lineRule="auto"/>
        <w:ind w:firstLine="284"/>
        <w:jc w:val="center"/>
        <w:rPr>
          <w:rFonts w:ascii="Garamond" w:hAnsi="Garamond" w:cs="Times New Roman"/>
          <w:b/>
          <w:sz w:val="24"/>
          <w:szCs w:val="24"/>
        </w:rPr>
      </w:pPr>
      <w:r w:rsidRPr="00FA17F9">
        <w:rPr>
          <w:rFonts w:ascii="Garamond" w:hAnsi="Garamond" w:cs="Times New Roman"/>
          <w:b/>
          <w:sz w:val="24"/>
          <w:szCs w:val="24"/>
        </w:rPr>
        <w:t xml:space="preserve">UDHËZIM </w:t>
      </w:r>
    </w:p>
    <w:p w14:paraId="34334493" w14:textId="2B7D2235" w:rsidR="00797B29" w:rsidRPr="00FA17F9" w:rsidRDefault="00797B29" w:rsidP="00FA17F9">
      <w:pPr>
        <w:shd w:val="clear" w:color="auto" w:fill="FFFFFF"/>
        <w:spacing w:after="0" w:line="240" w:lineRule="auto"/>
        <w:ind w:firstLine="284"/>
        <w:jc w:val="center"/>
        <w:rPr>
          <w:rFonts w:ascii="Garamond" w:hAnsi="Garamond" w:cs="Times New Roman"/>
          <w:b/>
          <w:sz w:val="24"/>
          <w:szCs w:val="24"/>
        </w:rPr>
      </w:pPr>
      <w:r w:rsidRPr="00FA17F9">
        <w:rPr>
          <w:rFonts w:ascii="Garamond" w:hAnsi="Garamond" w:cs="Times New Roman"/>
          <w:b/>
          <w:sz w:val="24"/>
          <w:szCs w:val="24"/>
        </w:rPr>
        <w:t xml:space="preserve">Nr. </w:t>
      </w:r>
      <w:r w:rsidR="002A6B7C" w:rsidRPr="00FA17F9">
        <w:rPr>
          <w:rFonts w:ascii="Garamond" w:hAnsi="Garamond" w:cs="Times New Roman"/>
          <w:b/>
          <w:sz w:val="24"/>
          <w:szCs w:val="24"/>
        </w:rPr>
        <w:t>10</w:t>
      </w:r>
      <w:r w:rsidRPr="00FA17F9">
        <w:rPr>
          <w:rFonts w:ascii="Garamond" w:hAnsi="Garamond" w:cs="Times New Roman"/>
          <w:b/>
          <w:sz w:val="24"/>
          <w:szCs w:val="24"/>
        </w:rPr>
        <w:t xml:space="preserve">, datë </w:t>
      </w:r>
      <w:r w:rsidR="002A6B7C" w:rsidRPr="00FA17F9">
        <w:rPr>
          <w:rFonts w:ascii="Garamond" w:hAnsi="Garamond" w:cs="Times New Roman"/>
          <w:b/>
          <w:sz w:val="24"/>
          <w:szCs w:val="24"/>
        </w:rPr>
        <w:t>23.12</w:t>
      </w:r>
      <w:r w:rsidRPr="00FA17F9">
        <w:rPr>
          <w:rFonts w:ascii="Garamond" w:hAnsi="Garamond" w:cs="Times New Roman"/>
          <w:b/>
          <w:sz w:val="24"/>
          <w:szCs w:val="24"/>
        </w:rPr>
        <w:t>.2024</w:t>
      </w:r>
    </w:p>
    <w:p w14:paraId="2DDA7972" w14:textId="77777777" w:rsidR="00797B29" w:rsidRPr="00FA17F9" w:rsidRDefault="00797B29" w:rsidP="00FA17F9">
      <w:pPr>
        <w:shd w:val="clear" w:color="auto" w:fill="FFFFFF"/>
        <w:spacing w:after="0" w:line="240" w:lineRule="auto"/>
        <w:ind w:firstLine="284"/>
        <w:rPr>
          <w:rFonts w:ascii="Garamond" w:hAnsi="Garamond" w:cs="Times New Roman"/>
          <w:b/>
          <w:sz w:val="24"/>
          <w:szCs w:val="24"/>
        </w:rPr>
      </w:pPr>
    </w:p>
    <w:p w14:paraId="4A948DFC" w14:textId="03C78D8F"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 xml:space="preserve">PËR ZHVILLIMIN E PRAKTIKAVE TË MIRA BAZUAR NË </w:t>
      </w:r>
      <w:r w:rsidRPr="0004401B">
        <w:rPr>
          <w:rFonts w:ascii="Garamond" w:hAnsi="Garamond" w:cs="Times New Roman"/>
          <w:b/>
          <w:bCs/>
          <w:i/>
          <w:iCs/>
          <w:color w:val="000000"/>
          <w:sz w:val="24"/>
          <w:szCs w:val="24"/>
        </w:rPr>
        <w:t>TOOLBOX</w:t>
      </w:r>
      <w:r w:rsidRPr="00FA17F9">
        <w:rPr>
          <w:rFonts w:ascii="Garamond" w:hAnsi="Garamond" w:cs="Times New Roman"/>
          <w:b/>
          <w:bCs/>
          <w:color w:val="000000"/>
          <w:sz w:val="24"/>
          <w:szCs w:val="24"/>
        </w:rPr>
        <w:t>-IN E PËRBASHKËT TË BASHKIMIT EVROPIAN “PËR REDUKTIMIN E KOSTOVE TË APLIKIMIT PËR RRJETET ME KAPACITET SHUMË TË LARTË DHE MJEDISIN MIQËSOR TË INVESTIMEVE PËR RRJETET 5G”</w:t>
      </w:r>
      <w:r w:rsidR="00BF4FC8">
        <w:rPr>
          <w:rStyle w:val="FootnoteReference"/>
          <w:rFonts w:ascii="Garamond" w:hAnsi="Garamond" w:cs="Times New Roman"/>
          <w:b/>
          <w:bCs/>
          <w:color w:val="000000"/>
          <w:sz w:val="24"/>
          <w:szCs w:val="24"/>
        </w:rPr>
        <w:footnoteReference w:id="2"/>
      </w:r>
    </w:p>
    <w:p w14:paraId="4017CB4C" w14:textId="77777777" w:rsidR="00FA17F9" w:rsidRPr="00FA17F9" w:rsidRDefault="00FA17F9" w:rsidP="00FA17F9">
      <w:pPr>
        <w:autoSpaceDE w:val="0"/>
        <w:autoSpaceDN w:val="0"/>
        <w:adjustRightInd w:val="0"/>
        <w:spacing w:after="0" w:line="240" w:lineRule="auto"/>
        <w:ind w:firstLine="284"/>
        <w:rPr>
          <w:rFonts w:ascii="Garamond" w:hAnsi="Garamond" w:cs="Times New Roman"/>
          <w:color w:val="000000"/>
          <w:sz w:val="24"/>
          <w:szCs w:val="24"/>
        </w:rPr>
      </w:pPr>
    </w:p>
    <w:p w14:paraId="259C659A" w14:textId="2EE8E826"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Në mbështetje të nenit 102, pika 4</w:t>
      </w:r>
      <w:r w:rsidR="00B357B5">
        <w:rPr>
          <w:rFonts w:ascii="Garamond" w:hAnsi="Garamond" w:cs="Times New Roman"/>
          <w:color w:val="000000"/>
          <w:sz w:val="24"/>
          <w:szCs w:val="24"/>
        </w:rPr>
        <w:t>,</w:t>
      </w:r>
      <w:r w:rsidRPr="00FA17F9">
        <w:rPr>
          <w:rFonts w:ascii="Garamond" w:hAnsi="Garamond" w:cs="Times New Roman"/>
          <w:color w:val="000000"/>
          <w:sz w:val="24"/>
          <w:szCs w:val="24"/>
        </w:rPr>
        <w:t xml:space="preserve"> të Kushtetutës</w:t>
      </w:r>
      <w:r w:rsidR="00B357B5">
        <w:rPr>
          <w:rFonts w:ascii="Garamond" w:hAnsi="Garamond" w:cs="Times New Roman"/>
          <w:color w:val="000000"/>
          <w:sz w:val="24"/>
          <w:szCs w:val="24"/>
        </w:rPr>
        <w:t>;</w:t>
      </w:r>
      <w:r w:rsidRPr="00FA17F9">
        <w:rPr>
          <w:rFonts w:ascii="Garamond" w:hAnsi="Garamond" w:cs="Times New Roman"/>
          <w:color w:val="000000"/>
          <w:sz w:val="24"/>
          <w:szCs w:val="24"/>
        </w:rPr>
        <w:t xml:space="preserve"> nenit 9, të </w:t>
      </w:r>
      <w:r w:rsidR="00273BFC" w:rsidRPr="00FA17F9">
        <w:rPr>
          <w:rFonts w:ascii="Garamond" w:hAnsi="Garamond" w:cs="Times New Roman"/>
          <w:color w:val="000000"/>
          <w:sz w:val="24"/>
          <w:szCs w:val="24"/>
        </w:rPr>
        <w:t>ligjit nr</w:t>
      </w:r>
      <w:r w:rsidRPr="00FA17F9">
        <w:rPr>
          <w:rFonts w:ascii="Garamond" w:hAnsi="Garamond" w:cs="Times New Roman"/>
          <w:color w:val="000000"/>
          <w:sz w:val="24"/>
          <w:szCs w:val="24"/>
        </w:rPr>
        <w:t>. 54/2024</w:t>
      </w:r>
      <w:r w:rsidR="00B357B5">
        <w:rPr>
          <w:rFonts w:ascii="Garamond" w:hAnsi="Garamond" w:cs="Times New Roman"/>
          <w:color w:val="000000"/>
          <w:sz w:val="24"/>
          <w:szCs w:val="24"/>
        </w:rPr>
        <w:t>,</w:t>
      </w:r>
      <w:r w:rsidRPr="00FA17F9">
        <w:rPr>
          <w:rFonts w:ascii="Garamond" w:hAnsi="Garamond" w:cs="Times New Roman"/>
          <w:color w:val="000000"/>
          <w:sz w:val="24"/>
          <w:szCs w:val="24"/>
        </w:rPr>
        <w:t xml:space="preserve"> “Për komunikimet elektronike në Republikën e Shqipërisë”</w:t>
      </w:r>
      <w:r w:rsidR="00B357B5">
        <w:rPr>
          <w:rFonts w:ascii="Garamond" w:hAnsi="Garamond" w:cs="Times New Roman"/>
          <w:color w:val="000000"/>
          <w:sz w:val="24"/>
          <w:szCs w:val="24"/>
        </w:rPr>
        <w:t>;</w:t>
      </w:r>
      <w:r w:rsidRPr="00FA17F9">
        <w:rPr>
          <w:rFonts w:ascii="Garamond" w:hAnsi="Garamond" w:cs="Times New Roman"/>
          <w:color w:val="000000"/>
          <w:sz w:val="24"/>
          <w:szCs w:val="24"/>
        </w:rPr>
        <w:t xml:space="preserve"> </w:t>
      </w:r>
      <w:r w:rsidR="00273BFC" w:rsidRPr="00FA17F9">
        <w:rPr>
          <w:rFonts w:ascii="Garamond" w:hAnsi="Garamond" w:cs="Times New Roman"/>
          <w:color w:val="000000"/>
          <w:sz w:val="24"/>
          <w:szCs w:val="24"/>
        </w:rPr>
        <w:t xml:space="preserve">ligjit nr. </w:t>
      </w:r>
      <w:r w:rsidRPr="00FA17F9">
        <w:rPr>
          <w:rFonts w:ascii="Garamond" w:hAnsi="Garamond" w:cs="Times New Roman"/>
          <w:color w:val="000000"/>
          <w:sz w:val="24"/>
          <w:szCs w:val="24"/>
        </w:rPr>
        <w:t>120/2016</w:t>
      </w:r>
      <w:r w:rsidR="00B357B5">
        <w:rPr>
          <w:rFonts w:ascii="Garamond" w:hAnsi="Garamond" w:cs="Times New Roman"/>
          <w:color w:val="000000"/>
          <w:sz w:val="24"/>
          <w:szCs w:val="24"/>
        </w:rPr>
        <w:t>,</w:t>
      </w:r>
      <w:r w:rsidRPr="00FA17F9">
        <w:rPr>
          <w:rFonts w:ascii="Garamond" w:hAnsi="Garamond" w:cs="Times New Roman"/>
          <w:color w:val="000000"/>
          <w:sz w:val="24"/>
          <w:szCs w:val="24"/>
        </w:rPr>
        <w:t xml:space="preserve"> “Për zhvillimin e rrjeteve të komunikimeve elektronike të shpejtësisë së lartë dhe sigurimin e së drejtës së kalimit”, si dhe </w:t>
      </w:r>
      <w:r w:rsidR="00B357B5" w:rsidRPr="00FA17F9">
        <w:rPr>
          <w:rFonts w:ascii="Garamond" w:hAnsi="Garamond" w:cs="Times New Roman"/>
          <w:color w:val="000000"/>
          <w:sz w:val="24"/>
          <w:szCs w:val="24"/>
        </w:rPr>
        <w:t xml:space="preserve">vendimit </w:t>
      </w:r>
      <w:r w:rsidRPr="00FA17F9">
        <w:rPr>
          <w:rFonts w:ascii="Garamond" w:hAnsi="Garamond" w:cs="Times New Roman"/>
          <w:color w:val="000000"/>
          <w:sz w:val="24"/>
          <w:szCs w:val="24"/>
        </w:rPr>
        <w:t>nr. 434</w:t>
      </w:r>
      <w:r w:rsidR="00B357B5">
        <w:rPr>
          <w:rFonts w:ascii="Garamond" w:hAnsi="Garamond" w:cs="Times New Roman"/>
          <w:color w:val="000000"/>
          <w:sz w:val="24"/>
          <w:szCs w:val="24"/>
        </w:rPr>
        <w:t>,</w:t>
      </w:r>
      <w:r w:rsidRPr="00FA17F9">
        <w:rPr>
          <w:rFonts w:ascii="Garamond" w:hAnsi="Garamond" w:cs="Times New Roman"/>
          <w:color w:val="000000"/>
          <w:sz w:val="24"/>
          <w:szCs w:val="24"/>
        </w:rPr>
        <w:t xml:space="preserve"> datë 3.6.2020</w:t>
      </w:r>
      <w:r w:rsidR="00B357B5">
        <w:rPr>
          <w:rFonts w:ascii="Garamond" w:hAnsi="Garamond" w:cs="Times New Roman"/>
          <w:color w:val="000000"/>
          <w:sz w:val="24"/>
          <w:szCs w:val="24"/>
        </w:rPr>
        <w:t>,</w:t>
      </w:r>
      <w:r w:rsidRPr="00FA17F9">
        <w:rPr>
          <w:rFonts w:ascii="Garamond" w:hAnsi="Garamond" w:cs="Times New Roman"/>
          <w:color w:val="000000"/>
          <w:sz w:val="24"/>
          <w:szCs w:val="24"/>
        </w:rPr>
        <w:t xml:space="preserve"> të Këshillit të Ministrave</w:t>
      </w:r>
      <w:r w:rsidR="00B357B5">
        <w:rPr>
          <w:rFonts w:ascii="Garamond" w:hAnsi="Garamond" w:cs="Times New Roman"/>
          <w:color w:val="000000"/>
          <w:sz w:val="24"/>
          <w:szCs w:val="24"/>
        </w:rPr>
        <w:t>,</w:t>
      </w:r>
      <w:r w:rsidRPr="00FA17F9">
        <w:rPr>
          <w:rFonts w:ascii="Garamond" w:hAnsi="Garamond" w:cs="Times New Roman"/>
          <w:color w:val="000000"/>
          <w:sz w:val="24"/>
          <w:szCs w:val="24"/>
        </w:rPr>
        <w:t xml:space="preserve"> “Për miratimin e Planit Kombëtar për Zhvillimin e Infrastrukturës Digjitale, </w:t>
      </w:r>
      <w:r w:rsidRPr="0086154D">
        <w:rPr>
          <w:rFonts w:ascii="Garamond" w:hAnsi="Garamond" w:cs="Times New Roman"/>
          <w:i/>
          <w:iCs/>
          <w:color w:val="000000"/>
          <w:sz w:val="24"/>
          <w:szCs w:val="24"/>
        </w:rPr>
        <w:t>Broadband</w:t>
      </w:r>
      <w:r w:rsidR="00222353">
        <w:rPr>
          <w:rFonts w:ascii="Garamond" w:hAnsi="Garamond" w:cs="Times New Roman"/>
          <w:i/>
          <w:iCs/>
          <w:color w:val="000000"/>
          <w:sz w:val="24"/>
          <w:szCs w:val="24"/>
        </w:rPr>
        <w:t>,</w:t>
      </w:r>
      <w:r w:rsidRPr="00FA17F9">
        <w:rPr>
          <w:rFonts w:ascii="Garamond" w:hAnsi="Garamond" w:cs="Times New Roman"/>
          <w:color w:val="000000"/>
          <w:sz w:val="24"/>
          <w:szCs w:val="24"/>
        </w:rPr>
        <w:t xml:space="preserve"> 2020</w:t>
      </w:r>
      <w:r w:rsidR="0086154D">
        <w:rPr>
          <w:rFonts w:ascii="Garamond" w:hAnsi="Garamond" w:cs="Times New Roman"/>
          <w:color w:val="000000"/>
          <w:sz w:val="24"/>
          <w:szCs w:val="24"/>
        </w:rPr>
        <w:t>–</w:t>
      </w:r>
      <w:r w:rsidRPr="00FA17F9">
        <w:rPr>
          <w:rFonts w:ascii="Garamond" w:hAnsi="Garamond" w:cs="Times New Roman"/>
          <w:color w:val="000000"/>
          <w:sz w:val="24"/>
          <w:szCs w:val="24"/>
        </w:rPr>
        <w:t>2025”,</w:t>
      </w:r>
    </w:p>
    <w:p w14:paraId="7BF287C7" w14:textId="77777777"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p>
    <w:p w14:paraId="6205A973"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sz w:val="24"/>
          <w:szCs w:val="24"/>
        </w:rPr>
      </w:pPr>
      <w:r w:rsidRPr="00FA17F9">
        <w:rPr>
          <w:rFonts w:ascii="Garamond" w:hAnsi="Garamond" w:cs="Times New Roman"/>
          <w:sz w:val="24"/>
          <w:szCs w:val="24"/>
        </w:rPr>
        <w:t>UDHËZOJ:</w:t>
      </w:r>
    </w:p>
    <w:p w14:paraId="27CE4C6B"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p>
    <w:p w14:paraId="004EF38F" w14:textId="0E427D51" w:rsidR="00FA17F9" w:rsidRPr="00FA17F9" w:rsidRDefault="00FA17F9" w:rsidP="00FA17F9">
      <w:pPr>
        <w:autoSpaceDE w:val="0"/>
        <w:autoSpaceDN w:val="0"/>
        <w:adjustRightInd w:val="0"/>
        <w:spacing w:after="0" w:line="240" w:lineRule="auto"/>
        <w:ind w:firstLine="284"/>
        <w:jc w:val="center"/>
        <w:rPr>
          <w:rFonts w:ascii="Garamond" w:hAnsi="Garamond" w:cs="Times New Roman"/>
          <w:bCs/>
          <w:color w:val="000000"/>
          <w:sz w:val="24"/>
          <w:szCs w:val="24"/>
        </w:rPr>
      </w:pPr>
      <w:r w:rsidRPr="00FA17F9">
        <w:rPr>
          <w:rFonts w:ascii="Garamond" w:hAnsi="Garamond" w:cs="Times New Roman"/>
          <w:bCs/>
          <w:color w:val="000000"/>
          <w:sz w:val="24"/>
          <w:szCs w:val="24"/>
        </w:rPr>
        <w:t>Neni 1</w:t>
      </w:r>
    </w:p>
    <w:p w14:paraId="6FE264C0"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 xml:space="preserve">Qëllimi </w:t>
      </w:r>
    </w:p>
    <w:p w14:paraId="5B40159B"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p>
    <w:p w14:paraId="4489CD46" w14:textId="7EF93B98"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1. Qëllimi i këtij udhëzimi është përcaktimi i masave për zhvillimin e praktikave të mira</w:t>
      </w:r>
      <w:r w:rsidR="00222353">
        <w:rPr>
          <w:rFonts w:ascii="Garamond" w:hAnsi="Garamond" w:cs="Times New Roman"/>
          <w:color w:val="000000"/>
          <w:sz w:val="24"/>
          <w:szCs w:val="24"/>
        </w:rPr>
        <w:t>,</w:t>
      </w:r>
      <w:r w:rsidRPr="00FA17F9">
        <w:rPr>
          <w:rFonts w:ascii="Garamond" w:hAnsi="Garamond" w:cs="Times New Roman"/>
          <w:color w:val="000000"/>
          <w:sz w:val="24"/>
          <w:szCs w:val="24"/>
        </w:rPr>
        <w:t xml:space="preserve"> bazuar në </w:t>
      </w:r>
      <w:r w:rsidRPr="00D80B36">
        <w:rPr>
          <w:rFonts w:ascii="Garamond" w:hAnsi="Garamond" w:cs="Times New Roman"/>
          <w:i/>
          <w:iCs/>
          <w:color w:val="000000"/>
          <w:sz w:val="24"/>
          <w:szCs w:val="24"/>
        </w:rPr>
        <w:t>Toolbox</w:t>
      </w:r>
      <w:r w:rsidR="00222353" w:rsidRPr="00222353">
        <w:rPr>
          <w:rFonts w:ascii="Garamond" w:hAnsi="Garamond" w:cs="Times New Roman"/>
          <w:color w:val="000000"/>
          <w:sz w:val="24"/>
          <w:szCs w:val="24"/>
        </w:rPr>
        <w:t>-in</w:t>
      </w:r>
      <w:r w:rsidRPr="00FA17F9">
        <w:rPr>
          <w:rFonts w:ascii="Garamond" w:hAnsi="Garamond" w:cs="Times New Roman"/>
          <w:color w:val="000000"/>
          <w:sz w:val="24"/>
          <w:szCs w:val="24"/>
        </w:rPr>
        <w:t xml:space="preserve"> </w:t>
      </w:r>
      <w:r w:rsidR="00222353">
        <w:rPr>
          <w:rFonts w:ascii="Garamond" w:hAnsi="Garamond" w:cs="Times New Roman"/>
          <w:color w:val="000000"/>
          <w:sz w:val="24"/>
          <w:szCs w:val="24"/>
        </w:rPr>
        <w:t>e</w:t>
      </w:r>
      <w:r w:rsidRPr="00FA17F9">
        <w:rPr>
          <w:rFonts w:ascii="Garamond" w:hAnsi="Garamond" w:cs="Times New Roman"/>
          <w:color w:val="000000"/>
          <w:sz w:val="24"/>
          <w:szCs w:val="24"/>
        </w:rPr>
        <w:t xml:space="preserve"> Bashkimit Evropian, </w:t>
      </w:r>
      <w:r w:rsidRPr="00D45277">
        <w:rPr>
          <w:rFonts w:ascii="Garamond" w:hAnsi="Garamond" w:cs="Times New Roman"/>
          <w:color w:val="000000"/>
          <w:sz w:val="24"/>
          <w:szCs w:val="24"/>
        </w:rPr>
        <w:t>“Për nxitjen e ndërlidhjes në mbështetje të zhvillimit ekonomik dhe rimëkëmbjes ekonomike pas COVID-19”,</w:t>
      </w:r>
      <w:r w:rsidRPr="00FA17F9">
        <w:rPr>
          <w:rFonts w:ascii="Garamond" w:hAnsi="Garamond" w:cs="Times New Roman"/>
          <w:color w:val="000000"/>
          <w:sz w:val="24"/>
          <w:szCs w:val="24"/>
        </w:rPr>
        <w:t xml:space="preserve"> duke synuar në veçanti:</w:t>
      </w:r>
    </w:p>
    <w:p w14:paraId="7594DAD5" w14:textId="4BF21DD4"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 xml:space="preserve">a) </w:t>
      </w:r>
      <w:r w:rsidR="00D45277" w:rsidRPr="00FA17F9">
        <w:rPr>
          <w:rFonts w:ascii="Garamond" w:hAnsi="Garamond" w:cs="Times New Roman"/>
          <w:color w:val="000000"/>
          <w:sz w:val="24"/>
          <w:szCs w:val="24"/>
        </w:rPr>
        <w:t xml:space="preserve">zvogëlimin </w:t>
      </w:r>
      <w:r w:rsidRPr="00FA17F9">
        <w:rPr>
          <w:rFonts w:ascii="Garamond" w:hAnsi="Garamond" w:cs="Times New Roman"/>
          <w:color w:val="000000"/>
          <w:sz w:val="24"/>
          <w:szCs w:val="24"/>
        </w:rPr>
        <w:t>e kostove dhe rritjen e shpejtësisë së vendosjes së rrjeteve të komunikimeve elektronike, në veçanti të rrjeteve me kapacitet shumë të lartë</w:t>
      </w:r>
      <w:r w:rsidR="00B357B5">
        <w:rPr>
          <w:rFonts w:ascii="Garamond" w:hAnsi="Garamond" w:cs="Times New Roman"/>
          <w:color w:val="000000"/>
          <w:sz w:val="24"/>
          <w:szCs w:val="24"/>
        </w:rPr>
        <w:t>,</w:t>
      </w:r>
      <w:r w:rsidRPr="00FA17F9">
        <w:rPr>
          <w:rFonts w:ascii="Garamond" w:hAnsi="Garamond" w:cs="Times New Roman"/>
          <w:color w:val="000000"/>
          <w:sz w:val="24"/>
          <w:szCs w:val="24"/>
        </w:rPr>
        <w:t xml:space="preserve"> duke përmirësuar procedurat e dhënies së lejeve për punimet civile, duke përmirësuar transparencën dhe </w:t>
      </w:r>
      <w:r w:rsidR="00B357B5">
        <w:rPr>
          <w:rFonts w:ascii="Garamond" w:hAnsi="Garamond" w:cs="Times New Roman"/>
          <w:color w:val="000000"/>
          <w:sz w:val="24"/>
          <w:szCs w:val="24"/>
        </w:rPr>
        <w:t xml:space="preserve">duke </w:t>
      </w:r>
      <w:r w:rsidRPr="00FA17F9">
        <w:rPr>
          <w:rFonts w:ascii="Garamond" w:hAnsi="Garamond" w:cs="Times New Roman"/>
          <w:color w:val="000000"/>
          <w:sz w:val="24"/>
          <w:szCs w:val="24"/>
        </w:rPr>
        <w:t>përforcuar aftësitë e pikave të vetme të informacionit të përcaktuara në ligjin nr. 120/2016</w:t>
      </w:r>
      <w:r w:rsidR="00F03389">
        <w:rPr>
          <w:rFonts w:ascii="Garamond" w:hAnsi="Garamond" w:cs="Times New Roman"/>
          <w:color w:val="000000"/>
          <w:sz w:val="24"/>
          <w:szCs w:val="24"/>
        </w:rPr>
        <w:t>,</w:t>
      </w:r>
      <w:r w:rsidRPr="00FA17F9">
        <w:rPr>
          <w:rFonts w:ascii="Garamond" w:hAnsi="Garamond" w:cs="Times New Roman"/>
          <w:color w:val="000000"/>
          <w:sz w:val="24"/>
          <w:szCs w:val="24"/>
        </w:rPr>
        <w:t xml:space="preserve"> “Për zhvillimin e rrjeteve të komunikimeve elektronike të shpejtësisë së lartë dhe sigurimin e së drejtës së kalimit”, duke </w:t>
      </w:r>
    </w:p>
    <w:p w14:paraId="369B231A" w14:textId="5C6363E0"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b) mundësuar aksesin në infrastrukturën fizike ekzistuese të kontrolluar nga sektori publik;</w:t>
      </w:r>
    </w:p>
    <w:p w14:paraId="789E5AA2" w14:textId="26AE813F"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c) identifikimin e masave që do të ndihmonin në reduktimin e ndikimit mjedisor të rrjeteve të komunikimeve elektronike;</w:t>
      </w:r>
    </w:p>
    <w:p w14:paraId="6E07EFE9" w14:textId="4F33C215"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d) të nxisë aty ku është e mundur dhënien në kohë në përdorim të spektrit të frekuencave dhe duke mundësuar investimet në rrjetet 5G përmes inici</w:t>
      </w:r>
      <w:r w:rsidR="00574056">
        <w:rPr>
          <w:rFonts w:ascii="Garamond" w:hAnsi="Garamond" w:cs="Times New Roman"/>
          <w:color w:val="000000"/>
          <w:sz w:val="24"/>
          <w:szCs w:val="24"/>
        </w:rPr>
        <w:t>a</w:t>
      </w:r>
      <w:r w:rsidRPr="00FA17F9">
        <w:rPr>
          <w:rFonts w:ascii="Garamond" w:hAnsi="Garamond" w:cs="Times New Roman"/>
          <w:color w:val="000000"/>
          <w:sz w:val="24"/>
          <w:szCs w:val="24"/>
        </w:rPr>
        <w:t>tivave proinvestimi;</w:t>
      </w:r>
    </w:p>
    <w:p w14:paraId="418BAF9C" w14:textId="35A0F2C1"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e) të rrisë koordinimin ndërinstitucional për spektrin, si dhe koordinimet</w:t>
      </w:r>
      <w:r w:rsidR="004162FA">
        <w:rPr>
          <w:rFonts w:ascii="Garamond" w:hAnsi="Garamond" w:cs="Times New Roman"/>
          <w:color w:val="000000"/>
          <w:sz w:val="24"/>
          <w:szCs w:val="24"/>
        </w:rPr>
        <w:t xml:space="preserve"> </w:t>
      </w:r>
      <w:r w:rsidRPr="00FA17F9">
        <w:rPr>
          <w:rFonts w:ascii="Garamond" w:hAnsi="Garamond" w:cs="Times New Roman"/>
          <w:color w:val="000000"/>
          <w:sz w:val="24"/>
          <w:szCs w:val="24"/>
        </w:rPr>
        <w:t>ndërkufitare për ofrimin e shërbimeve inovative 5G.</w:t>
      </w:r>
    </w:p>
    <w:p w14:paraId="26DCD827"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p>
    <w:p w14:paraId="015D19E7"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Cs/>
          <w:color w:val="000000"/>
          <w:sz w:val="24"/>
          <w:szCs w:val="24"/>
        </w:rPr>
      </w:pPr>
      <w:r w:rsidRPr="00FA17F9">
        <w:rPr>
          <w:rFonts w:ascii="Garamond" w:hAnsi="Garamond" w:cs="Times New Roman"/>
          <w:bCs/>
          <w:color w:val="000000"/>
          <w:sz w:val="24"/>
          <w:szCs w:val="24"/>
        </w:rPr>
        <w:t>Neni 2</w:t>
      </w:r>
    </w:p>
    <w:p w14:paraId="6BB75C33"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Përkufizimet</w:t>
      </w:r>
    </w:p>
    <w:p w14:paraId="745913F3" w14:textId="77777777"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p>
    <w:p w14:paraId="185F4D96" w14:textId="3D66E21E"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 xml:space="preserve">1. Për qëllime të këtij udhëzimi, zbatohen përkufizimet e përcaktuara në ligjin </w:t>
      </w:r>
      <w:r w:rsidR="007955DA" w:rsidRPr="00FA17F9">
        <w:rPr>
          <w:rFonts w:ascii="Garamond" w:hAnsi="Garamond" w:cs="Times New Roman"/>
          <w:color w:val="000000"/>
          <w:sz w:val="24"/>
          <w:szCs w:val="24"/>
        </w:rPr>
        <w:t>nr</w:t>
      </w:r>
      <w:r w:rsidRPr="00FA17F9">
        <w:rPr>
          <w:rFonts w:ascii="Garamond" w:hAnsi="Garamond" w:cs="Times New Roman"/>
          <w:color w:val="000000"/>
          <w:sz w:val="24"/>
          <w:szCs w:val="24"/>
        </w:rPr>
        <w:t>. 54/2024</w:t>
      </w:r>
      <w:r w:rsidR="007955DA">
        <w:rPr>
          <w:rFonts w:ascii="Garamond" w:hAnsi="Garamond" w:cs="Times New Roman"/>
          <w:color w:val="000000"/>
          <w:sz w:val="24"/>
          <w:szCs w:val="24"/>
        </w:rPr>
        <w:t>,</w:t>
      </w:r>
      <w:r w:rsidRPr="00FA17F9">
        <w:rPr>
          <w:rFonts w:ascii="Garamond" w:hAnsi="Garamond" w:cs="Times New Roman"/>
          <w:color w:val="000000"/>
          <w:sz w:val="24"/>
          <w:szCs w:val="24"/>
        </w:rPr>
        <w:t xml:space="preserve"> “Për komunikimet elektronike në Republikën e Shqipërisë” dhe në ligjin nr. 120/2016</w:t>
      </w:r>
      <w:r w:rsidR="00447E33">
        <w:rPr>
          <w:rFonts w:ascii="Garamond" w:hAnsi="Garamond" w:cs="Times New Roman"/>
          <w:color w:val="000000"/>
          <w:sz w:val="24"/>
          <w:szCs w:val="24"/>
        </w:rPr>
        <w:t>,</w:t>
      </w:r>
      <w:r w:rsidRPr="00FA17F9">
        <w:rPr>
          <w:rFonts w:ascii="Garamond" w:hAnsi="Garamond" w:cs="Times New Roman"/>
          <w:color w:val="000000"/>
          <w:sz w:val="24"/>
          <w:szCs w:val="24"/>
        </w:rPr>
        <w:t xml:space="preserve"> “Për zhvillimin e rrjeteve të komunikimeve elektronike të shpejtësisë së lartë dhe sigurimin e së drejtës së kalimit”.</w:t>
      </w:r>
    </w:p>
    <w:p w14:paraId="1B303428" w14:textId="77777777"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2. Në kuptim të këtij udhëzimi, termat e mëposhtëm kanë këto kuptime:</w:t>
      </w:r>
    </w:p>
    <w:p w14:paraId="234DB302" w14:textId="6D6CEA53"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 xml:space="preserve">a) </w:t>
      </w:r>
      <w:r w:rsidRPr="00222353">
        <w:rPr>
          <w:rFonts w:ascii="Garamond" w:hAnsi="Garamond" w:cs="Times New Roman"/>
          <w:i/>
          <w:iCs/>
          <w:color w:val="000000"/>
          <w:sz w:val="24"/>
          <w:szCs w:val="24"/>
        </w:rPr>
        <w:t>“Toolbox</w:t>
      </w:r>
      <w:r w:rsidR="00222353">
        <w:rPr>
          <w:rFonts w:ascii="Garamond" w:hAnsi="Garamond" w:cs="Times New Roman"/>
          <w:color w:val="000000"/>
          <w:sz w:val="24"/>
          <w:szCs w:val="24"/>
        </w:rPr>
        <w:t>-i</w:t>
      </w:r>
      <w:r w:rsidRPr="00FA17F9">
        <w:rPr>
          <w:rFonts w:ascii="Garamond" w:hAnsi="Garamond" w:cs="Times New Roman"/>
          <w:color w:val="000000"/>
          <w:sz w:val="24"/>
          <w:szCs w:val="24"/>
        </w:rPr>
        <w:t xml:space="preserve"> i BE-së” janë rregullat e miratuara sipas </w:t>
      </w:r>
      <w:r w:rsidR="00447E33" w:rsidRPr="00FA17F9">
        <w:rPr>
          <w:rFonts w:ascii="Garamond" w:hAnsi="Garamond" w:cs="Times New Roman"/>
          <w:color w:val="000000"/>
          <w:sz w:val="24"/>
          <w:szCs w:val="24"/>
        </w:rPr>
        <w:t xml:space="preserve">rekomandimit </w:t>
      </w:r>
      <w:r w:rsidRPr="00FA17F9">
        <w:rPr>
          <w:rFonts w:ascii="Garamond" w:hAnsi="Garamond" w:cs="Times New Roman"/>
          <w:color w:val="000000"/>
          <w:sz w:val="24"/>
          <w:szCs w:val="24"/>
        </w:rPr>
        <w:t>(BE) 2020/1307</w:t>
      </w:r>
      <w:r w:rsidR="00447E33">
        <w:rPr>
          <w:rFonts w:ascii="Garamond" w:hAnsi="Garamond" w:cs="Times New Roman"/>
          <w:color w:val="000000"/>
          <w:sz w:val="24"/>
          <w:szCs w:val="24"/>
        </w:rPr>
        <w:t>, të</w:t>
      </w:r>
      <w:r w:rsidRPr="00FA17F9">
        <w:rPr>
          <w:rFonts w:ascii="Garamond" w:hAnsi="Garamond" w:cs="Times New Roman"/>
          <w:color w:val="000000"/>
          <w:sz w:val="24"/>
          <w:szCs w:val="24"/>
        </w:rPr>
        <w:t xml:space="preserve"> datës 18 shtator 2020</w:t>
      </w:r>
      <w:r w:rsidR="00447E33">
        <w:rPr>
          <w:rFonts w:ascii="Garamond" w:hAnsi="Garamond" w:cs="Times New Roman"/>
          <w:color w:val="000000"/>
          <w:sz w:val="24"/>
          <w:szCs w:val="24"/>
        </w:rPr>
        <w:t>,</w:t>
      </w:r>
      <w:r w:rsidRPr="00FA17F9">
        <w:rPr>
          <w:rFonts w:ascii="Garamond" w:hAnsi="Garamond" w:cs="Times New Roman"/>
          <w:color w:val="000000"/>
          <w:sz w:val="24"/>
          <w:szCs w:val="24"/>
        </w:rPr>
        <w:t xml:space="preserve"> “Mbi një </w:t>
      </w:r>
      <w:r w:rsidRPr="00447E33">
        <w:rPr>
          <w:rFonts w:ascii="Garamond" w:hAnsi="Garamond" w:cs="Times New Roman"/>
          <w:i/>
          <w:iCs/>
          <w:color w:val="000000"/>
          <w:sz w:val="24"/>
          <w:szCs w:val="24"/>
        </w:rPr>
        <w:t>Toolbox</w:t>
      </w:r>
      <w:r w:rsidR="00360EC8">
        <w:rPr>
          <w:rFonts w:ascii="Garamond" w:hAnsi="Garamond" w:cs="Times New Roman"/>
          <w:i/>
          <w:iCs/>
          <w:color w:val="000000"/>
          <w:sz w:val="24"/>
          <w:szCs w:val="24"/>
        </w:rPr>
        <w:t xml:space="preserve"> </w:t>
      </w:r>
      <w:r w:rsidRPr="00FA17F9">
        <w:rPr>
          <w:rFonts w:ascii="Garamond" w:hAnsi="Garamond" w:cs="Times New Roman"/>
          <w:color w:val="000000"/>
          <w:sz w:val="24"/>
          <w:szCs w:val="24"/>
        </w:rPr>
        <w:t xml:space="preserve">të përbashkët të Bashkimit për reduktimin e kostos së vendosjes së rrjeteve me kapacitet shumë të lartë dhe sigurimin e aksesit në kohë dhe miqësore me investimet në spektrin radio 5G, për të nxitur lidhjen në mbështetje të rimëkëmbjes ekonomike nga </w:t>
      </w:r>
      <w:r w:rsidR="00447E33" w:rsidRPr="00FA17F9">
        <w:rPr>
          <w:rFonts w:ascii="Garamond" w:hAnsi="Garamond" w:cs="Times New Roman"/>
          <w:color w:val="000000"/>
          <w:sz w:val="24"/>
          <w:szCs w:val="24"/>
        </w:rPr>
        <w:t xml:space="preserve">kriza </w:t>
      </w:r>
      <w:r w:rsidRPr="00FA17F9">
        <w:rPr>
          <w:rFonts w:ascii="Garamond" w:hAnsi="Garamond" w:cs="Times New Roman"/>
          <w:color w:val="000000"/>
          <w:sz w:val="24"/>
          <w:szCs w:val="24"/>
        </w:rPr>
        <w:t>COVID-19 në Union”;</w:t>
      </w:r>
    </w:p>
    <w:p w14:paraId="76D90A59" w14:textId="1142B746"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lastRenderedPageBreak/>
        <w:t xml:space="preserve">b) “Zyra kompetente </w:t>
      </w:r>
      <w:r w:rsidR="00447E33" w:rsidRPr="0086154D">
        <w:rPr>
          <w:rFonts w:ascii="Garamond" w:hAnsi="Garamond" w:cs="Times New Roman"/>
          <w:i/>
          <w:iCs/>
          <w:color w:val="000000"/>
          <w:sz w:val="24"/>
          <w:szCs w:val="24"/>
        </w:rPr>
        <w:t>Broadband</w:t>
      </w:r>
      <w:r w:rsidRPr="00FA17F9">
        <w:rPr>
          <w:rFonts w:ascii="Garamond" w:hAnsi="Garamond" w:cs="Times New Roman"/>
          <w:color w:val="000000"/>
          <w:sz w:val="24"/>
          <w:szCs w:val="24"/>
        </w:rPr>
        <w:t xml:space="preserve">” është sektori i zhvillimit </w:t>
      </w:r>
      <w:r w:rsidR="00447E33" w:rsidRPr="0086154D">
        <w:rPr>
          <w:rFonts w:ascii="Garamond" w:hAnsi="Garamond" w:cs="Times New Roman"/>
          <w:i/>
          <w:iCs/>
          <w:color w:val="000000"/>
          <w:sz w:val="24"/>
          <w:szCs w:val="24"/>
        </w:rPr>
        <w:t>Broadband</w:t>
      </w:r>
      <w:r w:rsidR="00447E33" w:rsidRPr="00FA17F9">
        <w:rPr>
          <w:rFonts w:ascii="Garamond" w:hAnsi="Garamond" w:cs="Times New Roman"/>
          <w:color w:val="000000"/>
          <w:sz w:val="24"/>
          <w:szCs w:val="24"/>
        </w:rPr>
        <w:t xml:space="preserve"> </w:t>
      </w:r>
      <w:r w:rsidRPr="00FA17F9">
        <w:rPr>
          <w:rFonts w:ascii="Garamond" w:hAnsi="Garamond" w:cs="Times New Roman"/>
          <w:color w:val="000000"/>
          <w:sz w:val="24"/>
          <w:szCs w:val="24"/>
        </w:rPr>
        <w:t>(BCO), në Ministrinë e Infrastrukturës dhe Energjisë.</w:t>
      </w:r>
    </w:p>
    <w:p w14:paraId="7F6EE221" w14:textId="4E3E84C5" w:rsid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p>
    <w:p w14:paraId="4F7850DB" w14:textId="55C2D2D9" w:rsid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p>
    <w:p w14:paraId="5BE5F81C"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Cs/>
          <w:color w:val="000000"/>
          <w:sz w:val="24"/>
          <w:szCs w:val="24"/>
        </w:rPr>
      </w:pPr>
      <w:r w:rsidRPr="00FA17F9">
        <w:rPr>
          <w:rFonts w:ascii="Garamond" w:hAnsi="Garamond" w:cs="Times New Roman"/>
          <w:bCs/>
          <w:color w:val="000000"/>
          <w:sz w:val="24"/>
          <w:szCs w:val="24"/>
        </w:rPr>
        <w:t>Neni 3</w:t>
      </w:r>
    </w:p>
    <w:p w14:paraId="206C2836" w14:textId="6DD6781B"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 xml:space="preserve">Procesi për zhvillimin e praktikave të mira sipas </w:t>
      </w:r>
      <w:r w:rsidRPr="00447E33">
        <w:rPr>
          <w:rFonts w:ascii="Garamond" w:hAnsi="Garamond" w:cs="Times New Roman"/>
          <w:b/>
          <w:bCs/>
          <w:i/>
          <w:iCs/>
          <w:color w:val="000000"/>
          <w:sz w:val="24"/>
          <w:szCs w:val="24"/>
        </w:rPr>
        <w:t>Toolbox</w:t>
      </w:r>
      <w:r w:rsidR="00222353" w:rsidRPr="00222353">
        <w:rPr>
          <w:rFonts w:ascii="Garamond" w:hAnsi="Garamond" w:cs="Times New Roman"/>
          <w:b/>
          <w:bCs/>
          <w:color w:val="000000"/>
          <w:sz w:val="24"/>
          <w:szCs w:val="24"/>
        </w:rPr>
        <w:t>-it</w:t>
      </w:r>
      <w:r w:rsidRPr="00447E33">
        <w:rPr>
          <w:rFonts w:ascii="Garamond" w:hAnsi="Garamond" w:cs="Times New Roman"/>
          <w:b/>
          <w:bCs/>
          <w:i/>
          <w:iCs/>
          <w:color w:val="000000"/>
          <w:sz w:val="24"/>
          <w:szCs w:val="24"/>
        </w:rPr>
        <w:t xml:space="preserve"> </w:t>
      </w:r>
      <w:r w:rsidRPr="00FA17F9">
        <w:rPr>
          <w:rFonts w:ascii="Garamond" w:hAnsi="Garamond" w:cs="Times New Roman"/>
          <w:b/>
          <w:bCs/>
          <w:color w:val="000000"/>
          <w:sz w:val="24"/>
          <w:szCs w:val="24"/>
        </w:rPr>
        <w:t>të BE-së</w:t>
      </w:r>
    </w:p>
    <w:p w14:paraId="704F5184"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p>
    <w:p w14:paraId="2DF7341C" w14:textId="0187274C"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 xml:space="preserve">1. Ministria e Infrastrukturës dhe Energjisë përmes </w:t>
      </w:r>
      <w:r w:rsidR="0076769B" w:rsidRPr="00FA17F9">
        <w:rPr>
          <w:rFonts w:ascii="Garamond" w:hAnsi="Garamond" w:cs="Times New Roman"/>
          <w:color w:val="000000"/>
          <w:sz w:val="24"/>
          <w:szCs w:val="24"/>
        </w:rPr>
        <w:t xml:space="preserve">njësisë </w:t>
      </w:r>
      <w:r w:rsidRPr="00FA17F9">
        <w:rPr>
          <w:rFonts w:ascii="Garamond" w:hAnsi="Garamond" w:cs="Times New Roman"/>
          <w:color w:val="000000"/>
          <w:sz w:val="24"/>
          <w:szCs w:val="24"/>
        </w:rPr>
        <w:t xml:space="preserve">“Zyra </w:t>
      </w:r>
      <w:r w:rsidR="00222353" w:rsidRPr="00FA17F9">
        <w:rPr>
          <w:rFonts w:ascii="Garamond" w:hAnsi="Garamond" w:cs="Times New Roman"/>
          <w:color w:val="000000"/>
          <w:sz w:val="24"/>
          <w:szCs w:val="24"/>
        </w:rPr>
        <w:t xml:space="preserve">kompetente </w:t>
      </w:r>
      <w:r w:rsidRPr="0086154D">
        <w:rPr>
          <w:rFonts w:ascii="Garamond" w:hAnsi="Garamond" w:cs="Times New Roman"/>
          <w:i/>
          <w:iCs/>
          <w:color w:val="000000"/>
          <w:sz w:val="24"/>
          <w:szCs w:val="24"/>
        </w:rPr>
        <w:t>Broadband</w:t>
      </w:r>
      <w:r w:rsidRPr="0076769B">
        <w:rPr>
          <w:rFonts w:ascii="Garamond" w:hAnsi="Garamond" w:cs="Times New Roman"/>
          <w:i/>
          <w:iCs/>
          <w:color w:val="000000"/>
          <w:sz w:val="24"/>
          <w:szCs w:val="24"/>
        </w:rPr>
        <w:t>”</w:t>
      </w:r>
      <w:r w:rsidRPr="00FA17F9">
        <w:rPr>
          <w:rFonts w:ascii="Garamond" w:hAnsi="Garamond" w:cs="Times New Roman"/>
          <w:color w:val="000000"/>
          <w:sz w:val="24"/>
          <w:szCs w:val="24"/>
        </w:rPr>
        <w:t xml:space="preserve"> (këtu e më poshtë </w:t>
      </w:r>
      <w:r w:rsidR="00194417">
        <w:rPr>
          <w:rFonts w:ascii="Garamond" w:hAnsi="Garamond" w:cs="Times New Roman"/>
          <w:color w:val="000000"/>
          <w:sz w:val="24"/>
          <w:szCs w:val="24"/>
        </w:rPr>
        <w:t>“</w:t>
      </w:r>
      <w:r w:rsidRPr="00FA17F9">
        <w:rPr>
          <w:rFonts w:ascii="Garamond" w:hAnsi="Garamond" w:cs="Times New Roman"/>
          <w:color w:val="000000"/>
          <w:sz w:val="24"/>
          <w:szCs w:val="24"/>
        </w:rPr>
        <w:t>BCO</w:t>
      </w:r>
      <w:r w:rsidR="00194417">
        <w:rPr>
          <w:rFonts w:ascii="Garamond" w:hAnsi="Garamond" w:cs="Times New Roman"/>
          <w:color w:val="000000"/>
          <w:sz w:val="24"/>
          <w:szCs w:val="24"/>
        </w:rPr>
        <w:t>”</w:t>
      </w:r>
      <w:r w:rsidRPr="00FA17F9">
        <w:rPr>
          <w:rFonts w:ascii="Garamond" w:hAnsi="Garamond" w:cs="Times New Roman"/>
          <w:color w:val="000000"/>
          <w:sz w:val="24"/>
          <w:szCs w:val="24"/>
        </w:rPr>
        <w:t>), në bashkëpunim të ngushtë me institucionet e sektorit publik, do të angazhohet për të zhvilluar praktikat e mira sipas</w:t>
      </w:r>
      <w:r w:rsidR="004162FA">
        <w:rPr>
          <w:rFonts w:ascii="Garamond" w:hAnsi="Garamond" w:cs="Times New Roman"/>
          <w:color w:val="000000"/>
          <w:sz w:val="24"/>
          <w:szCs w:val="24"/>
        </w:rPr>
        <w:t xml:space="preserve"> </w:t>
      </w:r>
      <w:r w:rsidRPr="0076769B">
        <w:rPr>
          <w:rFonts w:ascii="Garamond" w:hAnsi="Garamond" w:cs="Times New Roman"/>
          <w:i/>
          <w:iCs/>
          <w:color w:val="000000"/>
          <w:sz w:val="24"/>
          <w:szCs w:val="24"/>
        </w:rPr>
        <w:t>Toolbox</w:t>
      </w:r>
      <w:r w:rsidR="00222353" w:rsidRPr="00222353">
        <w:rPr>
          <w:rFonts w:ascii="Garamond" w:hAnsi="Garamond" w:cs="Times New Roman"/>
          <w:color w:val="000000"/>
          <w:sz w:val="24"/>
          <w:szCs w:val="24"/>
        </w:rPr>
        <w:t>-it</w:t>
      </w:r>
      <w:r w:rsidRPr="0076769B">
        <w:rPr>
          <w:rFonts w:ascii="Garamond" w:hAnsi="Garamond" w:cs="Times New Roman"/>
          <w:i/>
          <w:iCs/>
          <w:color w:val="000000"/>
          <w:sz w:val="24"/>
          <w:szCs w:val="24"/>
        </w:rPr>
        <w:t xml:space="preserve"> </w:t>
      </w:r>
      <w:r w:rsidRPr="00FA17F9">
        <w:rPr>
          <w:rFonts w:ascii="Garamond" w:hAnsi="Garamond" w:cs="Times New Roman"/>
          <w:color w:val="000000"/>
          <w:sz w:val="24"/>
          <w:szCs w:val="24"/>
        </w:rPr>
        <w:t>të BE-së</w:t>
      </w:r>
      <w:r w:rsidR="0076769B">
        <w:rPr>
          <w:rFonts w:ascii="Garamond" w:hAnsi="Garamond" w:cs="Times New Roman"/>
          <w:color w:val="000000"/>
          <w:sz w:val="24"/>
          <w:szCs w:val="24"/>
        </w:rPr>
        <w:t>,</w:t>
      </w:r>
      <w:r w:rsidRPr="00FA17F9">
        <w:rPr>
          <w:rFonts w:ascii="Garamond" w:hAnsi="Garamond" w:cs="Times New Roman"/>
          <w:color w:val="000000"/>
          <w:sz w:val="24"/>
          <w:szCs w:val="24"/>
        </w:rPr>
        <w:t xml:space="preserve"> në lidhje me fushat e mbuluara në këtë udhëzim. </w:t>
      </w:r>
    </w:p>
    <w:p w14:paraId="7F96D316" w14:textId="30A9895B"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2. Kur është e nevojshme BCO do të bashkëpunojë me:</w:t>
      </w:r>
    </w:p>
    <w:p w14:paraId="582CE6AE" w14:textId="73AB3059"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a) Autoritetin e Komunikimeve Elektronike dhe Postare (AKEP)</w:t>
      </w:r>
      <w:r w:rsidR="0076769B">
        <w:rPr>
          <w:rFonts w:ascii="Garamond" w:hAnsi="Garamond" w:cs="Times New Roman"/>
          <w:color w:val="000000"/>
          <w:sz w:val="24"/>
          <w:szCs w:val="24"/>
        </w:rPr>
        <w:t>,</w:t>
      </w:r>
      <w:r w:rsidRPr="00FA17F9">
        <w:rPr>
          <w:rFonts w:ascii="Garamond" w:hAnsi="Garamond" w:cs="Times New Roman"/>
          <w:color w:val="000000"/>
          <w:sz w:val="24"/>
          <w:szCs w:val="24"/>
        </w:rPr>
        <w:t xml:space="preserve"> si dhe përmes AKEP</w:t>
      </w:r>
      <w:r w:rsidR="0076769B">
        <w:rPr>
          <w:rFonts w:ascii="Garamond" w:hAnsi="Garamond" w:cs="Times New Roman"/>
          <w:color w:val="000000"/>
          <w:sz w:val="24"/>
          <w:szCs w:val="24"/>
        </w:rPr>
        <w:t>-it</w:t>
      </w:r>
      <w:r w:rsidRPr="00FA17F9">
        <w:rPr>
          <w:rFonts w:ascii="Garamond" w:hAnsi="Garamond" w:cs="Times New Roman"/>
          <w:color w:val="000000"/>
          <w:sz w:val="24"/>
          <w:szCs w:val="24"/>
        </w:rPr>
        <w:t xml:space="preserve"> me Organin e Rregullatorëve Evropianë për Komunikimet Elektronike (BEREC);</w:t>
      </w:r>
    </w:p>
    <w:p w14:paraId="4D9A8C6F" w14:textId="75056A0E"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r w:rsidRPr="00FA17F9">
        <w:rPr>
          <w:rFonts w:ascii="Garamond" w:hAnsi="Garamond" w:cs="Times New Roman"/>
          <w:color w:val="000000"/>
          <w:sz w:val="24"/>
          <w:szCs w:val="24"/>
        </w:rPr>
        <w:t>b) Me autoritetet rregullatore për rrjetet e infrastrukturave të përcaktuara në nenin 7, të ligjit nr. 120/2016</w:t>
      </w:r>
      <w:r w:rsidR="00B74C93">
        <w:rPr>
          <w:rFonts w:ascii="Garamond" w:hAnsi="Garamond" w:cs="Times New Roman"/>
          <w:color w:val="000000"/>
          <w:sz w:val="24"/>
          <w:szCs w:val="24"/>
        </w:rPr>
        <w:t>,</w:t>
      </w:r>
      <w:r w:rsidRPr="00FA17F9">
        <w:rPr>
          <w:rFonts w:ascii="Garamond" w:hAnsi="Garamond" w:cs="Times New Roman"/>
          <w:color w:val="000000"/>
          <w:sz w:val="24"/>
          <w:szCs w:val="24"/>
        </w:rPr>
        <w:t xml:space="preserve"> “Për zhvillimin e rrjeteve të komunikimeve elektronike të shpejtësisë së lartë dhe sigurimin e së drejtës së kalimit”.</w:t>
      </w:r>
    </w:p>
    <w:p w14:paraId="3D0A5564" w14:textId="6CEC6267"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r w:rsidRPr="00FA17F9">
        <w:rPr>
          <w:rFonts w:ascii="Garamond" w:hAnsi="Garamond" w:cs="Times New Roman"/>
          <w:color w:val="000000"/>
          <w:sz w:val="24"/>
          <w:szCs w:val="24"/>
        </w:rPr>
        <w:t xml:space="preserve">c) Rrjetin e </w:t>
      </w:r>
      <w:r w:rsidR="00222353" w:rsidRPr="00FA17F9">
        <w:rPr>
          <w:rFonts w:ascii="Garamond" w:hAnsi="Garamond" w:cs="Times New Roman"/>
          <w:color w:val="000000"/>
          <w:sz w:val="24"/>
          <w:szCs w:val="24"/>
        </w:rPr>
        <w:t xml:space="preserve">zyrave kompetente </w:t>
      </w:r>
      <w:r w:rsidRPr="00222353">
        <w:rPr>
          <w:rFonts w:ascii="Garamond" w:hAnsi="Garamond" w:cs="Times New Roman"/>
          <w:i/>
          <w:iCs/>
          <w:color w:val="000000"/>
          <w:sz w:val="24"/>
          <w:szCs w:val="24"/>
        </w:rPr>
        <w:t>Broadband</w:t>
      </w:r>
      <w:r w:rsidRPr="00FA17F9">
        <w:rPr>
          <w:rFonts w:ascii="Garamond" w:hAnsi="Garamond" w:cs="Times New Roman"/>
          <w:color w:val="000000"/>
          <w:sz w:val="24"/>
          <w:szCs w:val="24"/>
        </w:rPr>
        <w:t xml:space="preserve"> të Bashkimit Evropian, si dhe autoritetet kompetente të ngarkuara me funksionet e</w:t>
      </w:r>
      <w:r w:rsidR="004162FA">
        <w:rPr>
          <w:rFonts w:ascii="Garamond" w:hAnsi="Garamond" w:cs="Times New Roman"/>
          <w:color w:val="000000"/>
          <w:sz w:val="24"/>
          <w:szCs w:val="24"/>
        </w:rPr>
        <w:t xml:space="preserve"> </w:t>
      </w:r>
      <w:r w:rsidRPr="00FA17F9">
        <w:rPr>
          <w:rFonts w:ascii="Garamond" w:hAnsi="Garamond" w:cs="Times New Roman"/>
          <w:color w:val="000000"/>
          <w:sz w:val="24"/>
          <w:szCs w:val="24"/>
        </w:rPr>
        <w:t>pikës së vetme të informacionit</w:t>
      </w:r>
      <w:r w:rsidR="00021311">
        <w:rPr>
          <w:rFonts w:ascii="Garamond" w:hAnsi="Garamond" w:cs="Times New Roman"/>
          <w:color w:val="000000"/>
          <w:sz w:val="24"/>
          <w:szCs w:val="24"/>
        </w:rPr>
        <w:t>,</w:t>
      </w:r>
      <w:r w:rsidRPr="00FA17F9">
        <w:rPr>
          <w:rFonts w:ascii="Garamond" w:hAnsi="Garamond" w:cs="Times New Roman"/>
          <w:color w:val="000000"/>
          <w:sz w:val="24"/>
          <w:szCs w:val="24"/>
        </w:rPr>
        <w:t xml:space="preserve"> në lidhje me fushat e identifikuara në nenin 6</w:t>
      </w:r>
      <w:r w:rsidRPr="00FA17F9">
        <w:rPr>
          <w:rFonts w:ascii="Garamond" w:hAnsi="Garamond" w:cs="Calibri"/>
          <w:color w:val="000000"/>
          <w:sz w:val="24"/>
          <w:szCs w:val="24"/>
        </w:rPr>
        <w:t>,</w:t>
      </w:r>
      <w:r w:rsidRPr="00FA17F9">
        <w:rPr>
          <w:rFonts w:ascii="Garamond" w:hAnsi="Garamond" w:cs="Times New Roman"/>
          <w:color w:val="000000"/>
          <w:sz w:val="24"/>
          <w:szCs w:val="24"/>
        </w:rPr>
        <w:t xml:space="preserve"> të këtij udhëzimi; </w:t>
      </w:r>
    </w:p>
    <w:p w14:paraId="507AB9B7" w14:textId="7DEE8CE8"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r w:rsidRPr="00FA17F9">
        <w:rPr>
          <w:rFonts w:ascii="Garamond" w:hAnsi="Garamond" w:cs="Times New Roman"/>
          <w:color w:val="000000"/>
          <w:sz w:val="24"/>
          <w:szCs w:val="24"/>
        </w:rPr>
        <w:t>d) Grupin e Politikave të Spektrit të Radios (RSPG) dhe autoritetet rregullatore kombëtare kompetente respektivisht për fushat e identifikuara në lidhje me aspekte të koordinimit të frekuencave</w:t>
      </w:r>
      <w:r w:rsidR="00021311">
        <w:rPr>
          <w:rFonts w:ascii="Garamond" w:hAnsi="Garamond" w:cs="Times New Roman"/>
          <w:color w:val="000000"/>
          <w:sz w:val="24"/>
          <w:szCs w:val="24"/>
        </w:rPr>
        <w:t>,</w:t>
      </w:r>
      <w:r w:rsidRPr="00FA17F9">
        <w:rPr>
          <w:rFonts w:ascii="Garamond" w:hAnsi="Garamond" w:cs="Times New Roman"/>
          <w:color w:val="000000"/>
          <w:sz w:val="24"/>
          <w:szCs w:val="24"/>
        </w:rPr>
        <w:t xml:space="preserve"> sipas parashikimeve në ligjin </w:t>
      </w:r>
      <w:r w:rsidR="00021311" w:rsidRPr="00FA17F9">
        <w:rPr>
          <w:rFonts w:ascii="Garamond" w:hAnsi="Garamond" w:cs="Times New Roman"/>
          <w:color w:val="000000"/>
          <w:sz w:val="24"/>
          <w:szCs w:val="24"/>
        </w:rPr>
        <w:t>nr</w:t>
      </w:r>
      <w:r w:rsidRPr="00FA17F9">
        <w:rPr>
          <w:rFonts w:ascii="Garamond" w:hAnsi="Garamond" w:cs="Times New Roman"/>
          <w:color w:val="000000"/>
          <w:sz w:val="24"/>
          <w:szCs w:val="24"/>
        </w:rPr>
        <w:t>. 54/2024</w:t>
      </w:r>
      <w:r w:rsidR="00021311">
        <w:rPr>
          <w:rFonts w:ascii="Garamond" w:hAnsi="Garamond" w:cs="Times New Roman"/>
          <w:color w:val="000000"/>
          <w:sz w:val="24"/>
          <w:szCs w:val="24"/>
        </w:rPr>
        <w:t>,</w:t>
      </w:r>
      <w:r w:rsidRPr="00FA17F9">
        <w:rPr>
          <w:rFonts w:ascii="Garamond" w:hAnsi="Garamond" w:cs="Times New Roman"/>
          <w:color w:val="000000"/>
          <w:sz w:val="24"/>
          <w:szCs w:val="24"/>
        </w:rPr>
        <w:t xml:space="preserve"> “Për komunikimet elektronike në Republikën e Shqipërisë”</w:t>
      </w:r>
      <w:r w:rsidR="00021311">
        <w:rPr>
          <w:rFonts w:ascii="Garamond" w:hAnsi="Garamond" w:cs="Times New Roman"/>
          <w:color w:val="000000"/>
          <w:sz w:val="24"/>
          <w:szCs w:val="24"/>
        </w:rPr>
        <w:t>.</w:t>
      </w:r>
    </w:p>
    <w:p w14:paraId="0F3379E6" w14:textId="58FD65B4"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3. Deri më 30 qershor 2025, Ministria e Infrastrukturës dhe Energjisë (MIE) përmes BCO</w:t>
      </w:r>
      <w:r w:rsidR="0007386D">
        <w:rPr>
          <w:rFonts w:ascii="Garamond" w:hAnsi="Garamond" w:cs="Times New Roman"/>
          <w:color w:val="000000"/>
          <w:sz w:val="24"/>
          <w:szCs w:val="24"/>
        </w:rPr>
        <w:t>-së</w:t>
      </w:r>
      <w:r w:rsidRPr="00FA17F9">
        <w:rPr>
          <w:rFonts w:ascii="Garamond" w:hAnsi="Garamond" w:cs="Times New Roman"/>
          <w:color w:val="000000"/>
          <w:sz w:val="24"/>
          <w:szCs w:val="24"/>
        </w:rPr>
        <w:t xml:space="preserve"> duhet të identifikojë dhe të ndajë me institucionet përkatëse praktikat më të mira në fushat e mbuluara nga ky udhëzim të prezantuara nga </w:t>
      </w:r>
      <w:r w:rsidR="00222353" w:rsidRPr="00FA17F9">
        <w:rPr>
          <w:rFonts w:ascii="Garamond" w:hAnsi="Garamond" w:cs="Times New Roman"/>
          <w:color w:val="000000"/>
          <w:sz w:val="24"/>
          <w:szCs w:val="24"/>
        </w:rPr>
        <w:t xml:space="preserve">rrjeti i zyrave kompetente </w:t>
      </w:r>
      <w:r w:rsidRPr="0007386D">
        <w:rPr>
          <w:rFonts w:ascii="Garamond" w:hAnsi="Garamond" w:cs="Times New Roman"/>
          <w:i/>
          <w:iCs/>
          <w:color w:val="000000"/>
          <w:sz w:val="24"/>
          <w:szCs w:val="24"/>
        </w:rPr>
        <w:t>Broadband</w:t>
      </w:r>
      <w:r w:rsidRPr="00FA17F9">
        <w:rPr>
          <w:rFonts w:ascii="Garamond" w:hAnsi="Garamond" w:cs="Times New Roman"/>
          <w:color w:val="000000"/>
          <w:sz w:val="24"/>
          <w:szCs w:val="24"/>
        </w:rPr>
        <w:t xml:space="preserve"> </w:t>
      </w:r>
      <w:r w:rsidR="00222353">
        <w:rPr>
          <w:rFonts w:ascii="Garamond" w:hAnsi="Garamond" w:cs="Times New Roman"/>
          <w:color w:val="000000"/>
          <w:sz w:val="24"/>
          <w:szCs w:val="24"/>
        </w:rPr>
        <w:t>i</w:t>
      </w:r>
      <w:r w:rsidRPr="00FA17F9">
        <w:rPr>
          <w:rFonts w:ascii="Garamond" w:hAnsi="Garamond" w:cs="Times New Roman"/>
          <w:color w:val="000000"/>
          <w:sz w:val="24"/>
          <w:szCs w:val="24"/>
        </w:rPr>
        <w:t xml:space="preserve"> Bashkimit Evropian.</w:t>
      </w:r>
    </w:p>
    <w:p w14:paraId="44D82CEB" w14:textId="50E23E41"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4. Deri më 31 dhjetor 2025, BCO</w:t>
      </w:r>
      <w:r w:rsidR="009B1AAC">
        <w:rPr>
          <w:rFonts w:ascii="Garamond" w:hAnsi="Garamond" w:cs="Times New Roman"/>
          <w:color w:val="000000"/>
          <w:sz w:val="24"/>
          <w:szCs w:val="24"/>
        </w:rPr>
        <w:t>-ja,</w:t>
      </w:r>
      <w:r w:rsidRPr="00FA17F9">
        <w:rPr>
          <w:rFonts w:ascii="Garamond" w:hAnsi="Garamond" w:cs="Times New Roman"/>
          <w:color w:val="000000"/>
          <w:sz w:val="24"/>
          <w:szCs w:val="24"/>
        </w:rPr>
        <w:t xml:space="preserve"> në bashkëpunim të ngushtë me institucionet e sektorit publik dhe autoritetet rregullatore të përcaktuara në pikën 2, të hartojë dhe propozojë një </w:t>
      </w:r>
      <w:r w:rsidRPr="00126A5A">
        <w:rPr>
          <w:rFonts w:ascii="Garamond" w:hAnsi="Garamond" w:cs="Times New Roman"/>
          <w:i/>
          <w:iCs/>
          <w:color w:val="000000"/>
          <w:sz w:val="24"/>
          <w:szCs w:val="24"/>
        </w:rPr>
        <w:t>Toolbox</w:t>
      </w:r>
      <w:r w:rsidR="00126A5A" w:rsidRPr="00126A5A">
        <w:rPr>
          <w:rFonts w:ascii="Garamond" w:hAnsi="Garamond" w:cs="Times New Roman"/>
          <w:i/>
          <w:iCs/>
          <w:color w:val="000000"/>
          <w:sz w:val="24"/>
          <w:szCs w:val="24"/>
        </w:rPr>
        <w:t xml:space="preserve">, </w:t>
      </w:r>
      <w:r w:rsidRPr="00FA17F9">
        <w:rPr>
          <w:rFonts w:ascii="Garamond" w:hAnsi="Garamond" w:cs="Times New Roman"/>
          <w:color w:val="000000"/>
          <w:sz w:val="24"/>
          <w:szCs w:val="24"/>
        </w:rPr>
        <w:t>sipas praktikave më të mira të BE-së.</w:t>
      </w:r>
    </w:p>
    <w:p w14:paraId="34400E56" w14:textId="1E705AF2"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5. Për të garantuar transparencë dhe për të lehtësuar shkëmbimin e praktikave të mira ndërmjet institucioneve, BCO</w:t>
      </w:r>
      <w:r w:rsidR="001640F0">
        <w:rPr>
          <w:rFonts w:ascii="Garamond" w:hAnsi="Garamond" w:cs="Times New Roman"/>
          <w:color w:val="000000"/>
          <w:sz w:val="24"/>
          <w:szCs w:val="24"/>
        </w:rPr>
        <w:t>-ja</w:t>
      </w:r>
      <w:r w:rsidRPr="00FA17F9">
        <w:rPr>
          <w:rFonts w:ascii="Garamond" w:hAnsi="Garamond" w:cs="Times New Roman"/>
          <w:color w:val="000000"/>
          <w:sz w:val="24"/>
          <w:szCs w:val="24"/>
        </w:rPr>
        <w:t xml:space="preserve"> do të përgatisë dhe </w:t>
      </w:r>
      <w:r w:rsidR="004A7459">
        <w:rPr>
          <w:rFonts w:ascii="Garamond" w:hAnsi="Garamond" w:cs="Times New Roman"/>
          <w:color w:val="000000"/>
          <w:sz w:val="24"/>
          <w:szCs w:val="24"/>
        </w:rPr>
        <w:t xml:space="preserve">do të </w:t>
      </w:r>
      <w:r w:rsidRPr="00FA17F9">
        <w:rPr>
          <w:rFonts w:ascii="Garamond" w:hAnsi="Garamond" w:cs="Times New Roman"/>
          <w:color w:val="000000"/>
          <w:sz w:val="24"/>
          <w:szCs w:val="24"/>
        </w:rPr>
        <w:t>bëj</w:t>
      </w:r>
      <w:r w:rsidR="004A7459">
        <w:rPr>
          <w:rFonts w:ascii="Garamond" w:hAnsi="Garamond" w:cs="Times New Roman"/>
          <w:color w:val="000000"/>
          <w:sz w:val="24"/>
          <w:szCs w:val="24"/>
        </w:rPr>
        <w:t>ë</w:t>
      </w:r>
      <w:r w:rsidRPr="00FA17F9">
        <w:rPr>
          <w:rFonts w:ascii="Garamond" w:hAnsi="Garamond" w:cs="Times New Roman"/>
          <w:color w:val="000000"/>
          <w:sz w:val="24"/>
          <w:szCs w:val="24"/>
        </w:rPr>
        <w:t xml:space="preserve"> publike në faqen e Ministrisë së Infrastrukturës dhe Energjisë</w:t>
      </w:r>
      <w:r w:rsidR="004A7459">
        <w:rPr>
          <w:rFonts w:ascii="Garamond" w:hAnsi="Garamond" w:cs="Times New Roman"/>
          <w:color w:val="000000"/>
          <w:sz w:val="24"/>
          <w:szCs w:val="24"/>
        </w:rPr>
        <w:t>,</w:t>
      </w:r>
      <w:r w:rsidRPr="00FA17F9">
        <w:rPr>
          <w:rFonts w:ascii="Garamond" w:hAnsi="Garamond" w:cs="Times New Roman"/>
          <w:color w:val="000000"/>
          <w:sz w:val="24"/>
          <w:szCs w:val="24"/>
        </w:rPr>
        <w:t xml:space="preserve"> si dhe përmes pikave të vetme të informacionit informacionet e nevojshme për të gjitha palët e interesuara. </w:t>
      </w:r>
    </w:p>
    <w:p w14:paraId="1872C05A" w14:textId="77777777" w:rsidR="00FA17F9" w:rsidRPr="00FA17F9" w:rsidRDefault="00FA17F9" w:rsidP="00FA17F9">
      <w:pPr>
        <w:tabs>
          <w:tab w:val="left" w:pos="0"/>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14:paraId="0549FEA3" w14:textId="77777777" w:rsidR="00FA17F9" w:rsidRPr="00FA17F9" w:rsidRDefault="00FA17F9" w:rsidP="00FA17F9">
      <w:pPr>
        <w:tabs>
          <w:tab w:val="left" w:pos="0"/>
          <w:tab w:val="left" w:pos="280"/>
        </w:tabs>
        <w:autoSpaceDE w:val="0"/>
        <w:autoSpaceDN w:val="0"/>
        <w:adjustRightInd w:val="0"/>
        <w:spacing w:after="0" w:line="240" w:lineRule="auto"/>
        <w:ind w:firstLine="284"/>
        <w:jc w:val="center"/>
        <w:rPr>
          <w:rFonts w:ascii="Garamond" w:hAnsi="Garamond" w:cs="Times New Roman"/>
          <w:bCs/>
          <w:color w:val="000000"/>
          <w:sz w:val="24"/>
          <w:szCs w:val="24"/>
        </w:rPr>
      </w:pPr>
      <w:r w:rsidRPr="00FA17F9">
        <w:rPr>
          <w:rFonts w:ascii="Garamond" w:hAnsi="Garamond" w:cs="Times New Roman"/>
          <w:bCs/>
          <w:color w:val="000000"/>
          <w:sz w:val="24"/>
          <w:szCs w:val="24"/>
        </w:rPr>
        <w:t>Neni 4</w:t>
      </w:r>
    </w:p>
    <w:p w14:paraId="02BA60B3"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Rritja e koordinimit ndërinstitucional</w:t>
      </w:r>
    </w:p>
    <w:p w14:paraId="431C7052" w14:textId="77777777"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p>
    <w:p w14:paraId="350DC399" w14:textId="22FC709F"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Me qëllim rritjen e koordinimit ndërinstitucional dhe për të nxitur zhvillimin e rrjeteve të komunikimeve elektronike të shpejtësisë së lartë dhe sigurimin e së drejtës së kalimit</w:t>
      </w:r>
      <w:r w:rsidR="004A7459">
        <w:rPr>
          <w:rFonts w:ascii="Garamond" w:hAnsi="Garamond" w:cs="Times New Roman"/>
          <w:color w:val="000000"/>
          <w:sz w:val="24"/>
          <w:szCs w:val="24"/>
        </w:rPr>
        <w:t>,</w:t>
      </w:r>
      <w:r w:rsidRPr="00FA17F9">
        <w:rPr>
          <w:rFonts w:ascii="Garamond" w:hAnsi="Garamond" w:cs="Times New Roman"/>
          <w:color w:val="000000"/>
          <w:sz w:val="24"/>
          <w:szCs w:val="24"/>
        </w:rPr>
        <w:t xml:space="preserve"> si dhe reduktimin e kostove në proceset e këtij zhvillimi, MIE</w:t>
      </w:r>
      <w:r w:rsidR="004A7459">
        <w:rPr>
          <w:rFonts w:ascii="Garamond" w:hAnsi="Garamond" w:cs="Times New Roman"/>
          <w:color w:val="000000"/>
          <w:sz w:val="24"/>
          <w:szCs w:val="24"/>
        </w:rPr>
        <w:t>,</w:t>
      </w:r>
      <w:r w:rsidRPr="00FA17F9">
        <w:rPr>
          <w:rFonts w:ascii="Garamond" w:hAnsi="Garamond" w:cs="Times New Roman"/>
          <w:color w:val="000000"/>
          <w:sz w:val="24"/>
          <w:szCs w:val="24"/>
        </w:rPr>
        <w:t xml:space="preserve"> përmes BCO</w:t>
      </w:r>
      <w:r w:rsidR="004A7459">
        <w:rPr>
          <w:rFonts w:ascii="Garamond" w:hAnsi="Garamond" w:cs="Times New Roman"/>
          <w:color w:val="000000"/>
          <w:sz w:val="24"/>
          <w:szCs w:val="24"/>
        </w:rPr>
        <w:t>-së</w:t>
      </w:r>
      <w:r w:rsidR="00AB4A99">
        <w:rPr>
          <w:rFonts w:ascii="Garamond" w:hAnsi="Garamond" w:cs="Times New Roman"/>
          <w:color w:val="000000"/>
          <w:sz w:val="24"/>
          <w:szCs w:val="24"/>
        </w:rPr>
        <w:t>,</w:t>
      </w:r>
      <w:r w:rsidRPr="00FA17F9">
        <w:rPr>
          <w:rFonts w:ascii="Garamond" w:hAnsi="Garamond" w:cs="Times New Roman"/>
          <w:color w:val="000000"/>
          <w:sz w:val="24"/>
          <w:szCs w:val="24"/>
        </w:rPr>
        <w:t xml:space="preserve"> do të ndërmarrë një proces analize dhe </w:t>
      </w:r>
      <w:r w:rsidR="0072737E">
        <w:rPr>
          <w:rFonts w:ascii="Garamond" w:hAnsi="Garamond" w:cs="Times New Roman"/>
          <w:color w:val="000000"/>
          <w:sz w:val="24"/>
          <w:szCs w:val="24"/>
        </w:rPr>
        <w:t xml:space="preserve">do të </w:t>
      </w:r>
      <w:r w:rsidRPr="00FA17F9">
        <w:rPr>
          <w:rFonts w:ascii="Garamond" w:hAnsi="Garamond" w:cs="Times New Roman"/>
          <w:color w:val="000000"/>
          <w:sz w:val="24"/>
          <w:szCs w:val="24"/>
        </w:rPr>
        <w:t>propozojë masat e nevojshme jo më vonë se tre muaj nga hyrja në fuqi e këtij udhëzimi.</w:t>
      </w:r>
    </w:p>
    <w:p w14:paraId="6C158BD6" w14:textId="77777777"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p>
    <w:p w14:paraId="232116F0"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Cs/>
          <w:color w:val="000000"/>
          <w:sz w:val="24"/>
          <w:szCs w:val="24"/>
        </w:rPr>
      </w:pPr>
      <w:r w:rsidRPr="00FA17F9">
        <w:rPr>
          <w:rFonts w:ascii="Garamond" w:hAnsi="Garamond" w:cs="Times New Roman"/>
          <w:bCs/>
          <w:color w:val="000000"/>
          <w:sz w:val="24"/>
          <w:szCs w:val="24"/>
        </w:rPr>
        <w:t>Neni 5</w:t>
      </w:r>
    </w:p>
    <w:p w14:paraId="4779C12A"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Përmirësimi i procedurave të dhënies së lejeve</w:t>
      </w:r>
    </w:p>
    <w:p w14:paraId="24F44924"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b/>
          <w:bCs/>
          <w:color w:val="000000"/>
          <w:sz w:val="24"/>
          <w:szCs w:val="24"/>
        </w:rPr>
      </w:pPr>
    </w:p>
    <w:p w14:paraId="4AA6BE99" w14:textId="56C60D0D"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1. Në zbatim të ligjit nr. 120/2016</w:t>
      </w:r>
      <w:r w:rsidR="00AB4A99">
        <w:rPr>
          <w:rFonts w:ascii="Garamond" w:hAnsi="Garamond" w:cs="Times New Roman"/>
          <w:color w:val="000000"/>
          <w:sz w:val="24"/>
          <w:szCs w:val="24"/>
        </w:rPr>
        <w:t>,</w:t>
      </w:r>
      <w:r w:rsidRPr="00FA17F9">
        <w:rPr>
          <w:rFonts w:ascii="Garamond" w:hAnsi="Garamond" w:cs="Times New Roman"/>
          <w:color w:val="000000"/>
          <w:sz w:val="24"/>
          <w:szCs w:val="24"/>
        </w:rPr>
        <w:t xml:space="preserve"> “Për zhvillimin e rrjeteve të komunikimeve elektronike të shpejtësisë së lartë dhe sigurimin e së drejtës së kalimit” dhe rregullave të miratuara me </w:t>
      </w:r>
      <w:r w:rsidR="00E64010" w:rsidRPr="00FA17F9">
        <w:rPr>
          <w:rFonts w:ascii="Garamond" w:hAnsi="Garamond" w:cs="Times New Roman"/>
          <w:color w:val="000000"/>
          <w:sz w:val="24"/>
          <w:szCs w:val="24"/>
        </w:rPr>
        <w:t xml:space="preserve">vendimit </w:t>
      </w:r>
      <w:r w:rsidRPr="00FA17F9">
        <w:rPr>
          <w:rFonts w:ascii="Garamond" w:hAnsi="Garamond" w:cs="Times New Roman"/>
          <w:color w:val="000000"/>
          <w:sz w:val="24"/>
          <w:szCs w:val="24"/>
        </w:rPr>
        <w:t>nr. 155</w:t>
      </w:r>
      <w:r w:rsidR="00E64010">
        <w:rPr>
          <w:rFonts w:ascii="Garamond" w:hAnsi="Garamond" w:cs="Times New Roman"/>
          <w:color w:val="000000"/>
          <w:sz w:val="24"/>
          <w:szCs w:val="24"/>
        </w:rPr>
        <w:t>,</w:t>
      </w:r>
      <w:r w:rsidRPr="00FA17F9">
        <w:rPr>
          <w:rFonts w:ascii="Garamond" w:hAnsi="Garamond" w:cs="Times New Roman"/>
          <w:color w:val="000000"/>
          <w:sz w:val="24"/>
          <w:szCs w:val="24"/>
        </w:rPr>
        <w:t xml:space="preserve"> datë 11.3.2022</w:t>
      </w:r>
      <w:r w:rsidR="00AB4A99">
        <w:rPr>
          <w:rFonts w:ascii="Garamond" w:hAnsi="Garamond" w:cs="Times New Roman"/>
          <w:color w:val="000000"/>
          <w:sz w:val="24"/>
          <w:szCs w:val="24"/>
        </w:rPr>
        <w:t>,</w:t>
      </w:r>
      <w:r w:rsidRPr="00FA17F9">
        <w:rPr>
          <w:rFonts w:ascii="Garamond" w:hAnsi="Garamond" w:cs="Times New Roman"/>
          <w:color w:val="000000"/>
          <w:sz w:val="24"/>
          <w:szCs w:val="24"/>
        </w:rPr>
        <w:t xml:space="preserve"> të Këshillit Ministrave</w:t>
      </w:r>
      <w:r w:rsidR="00AB4A99">
        <w:rPr>
          <w:rFonts w:ascii="Garamond" w:hAnsi="Garamond" w:cs="Times New Roman"/>
          <w:color w:val="000000"/>
          <w:sz w:val="24"/>
          <w:szCs w:val="24"/>
        </w:rPr>
        <w:t>,</w:t>
      </w:r>
      <w:r w:rsidRPr="00FA17F9">
        <w:rPr>
          <w:rFonts w:ascii="Garamond" w:hAnsi="Garamond" w:cs="Times New Roman"/>
          <w:color w:val="000000"/>
          <w:sz w:val="24"/>
          <w:szCs w:val="24"/>
        </w:rPr>
        <w:t xml:space="preserve"> “Për miratimin e rregullave të përgjithshme për procedurat e dhënies të së drejtës së kalimit dhe ndërtimin e rrjeteve të komunikimeve elektronike </w:t>
      </w:r>
      <w:r w:rsidRPr="00FA17F9">
        <w:rPr>
          <w:rFonts w:ascii="Garamond" w:hAnsi="Garamond" w:cs="Times New Roman"/>
          <w:color w:val="000000"/>
          <w:sz w:val="24"/>
          <w:szCs w:val="24"/>
        </w:rPr>
        <w:lastRenderedPageBreak/>
        <w:t>të shpejtësisë së lartë”, MIE</w:t>
      </w:r>
      <w:r w:rsidR="00AB4A99">
        <w:rPr>
          <w:rFonts w:ascii="Garamond" w:hAnsi="Garamond" w:cs="Times New Roman"/>
          <w:color w:val="000000"/>
          <w:sz w:val="24"/>
          <w:szCs w:val="24"/>
        </w:rPr>
        <w:t>,</w:t>
      </w:r>
      <w:r w:rsidRPr="00FA17F9">
        <w:rPr>
          <w:rFonts w:ascii="Garamond" w:hAnsi="Garamond" w:cs="Times New Roman"/>
          <w:color w:val="000000"/>
          <w:sz w:val="24"/>
          <w:szCs w:val="24"/>
        </w:rPr>
        <w:t xml:space="preserve"> përmes BCO</w:t>
      </w:r>
      <w:r w:rsidR="00194417">
        <w:rPr>
          <w:rFonts w:ascii="Garamond" w:hAnsi="Garamond" w:cs="Times New Roman"/>
          <w:color w:val="000000"/>
          <w:sz w:val="24"/>
          <w:szCs w:val="24"/>
        </w:rPr>
        <w:t>-së</w:t>
      </w:r>
      <w:r w:rsidR="00AB4A99">
        <w:rPr>
          <w:rFonts w:ascii="Garamond" w:hAnsi="Garamond" w:cs="Times New Roman"/>
          <w:color w:val="000000"/>
          <w:sz w:val="24"/>
          <w:szCs w:val="24"/>
        </w:rPr>
        <w:t>,</w:t>
      </w:r>
      <w:r w:rsidRPr="00FA17F9">
        <w:rPr>
          <w:rFonts w:ascii="Garamond" w:hAnsi="Garamond" w:cs="Times New Roman"/>
          <w:color w:val="000000"/>
          <w:sz w:val="24"/>
          <w:szCs w:val="24"/>
        </w:rPr>
        <w:t xml:space="preserve"> do</w:t>
      </w:r>
      <w:r w:rsidR="00194417">
        <w:rPr>
          <w:rFonts w:ascii="Garamond" w:hAnsi="Garamond" w:cs="Times New Roman"/>
          <w:color w:val="000000"/>
          <w:sz w:val="24"/>
          <w:szCs w:val="24"/>
        </w:rPr>
        <w:t xml:space="preserve"> të</w:t>
      </w:r>
      <w:r w:rsidRPr="00FA17F9">
        <w:rPr>
          <w:rFonts w:ascii="Garamond" w:hAnsi="Garamond" w:cs="Times New Roman"/>
          <w:color w:val="000000"/>
          <w:sz w:val="24"/>
          <w:szCs w:val="24"/>
        </w:rPr>
        <w:t xml:space="preserve"> ndërmarrë një proces analize për shkallën e zbatimit të këtij vendimi nga institucionet përgjegjëse</w:t>
      </w:r>
      <w:r w:rsidR="00AB4A99">
        <w:rPr>
          <w:rFonts w:ascii="Garamond" w:hAnsi="Garamond" w:cs="Times New Roman"/>
          <w:color w:val="000000"/>
          <w:sz w:val="24"/>
          <w:szCs w:val="24"/>
        </w:rPr>
        <w:t>,</w:t>
      </w:r>
      <w:r w:rsidRPr="00FA17F9">
        <w:rPr>
          <w:rFonts w:ascii="Garamond" w:hAnsi="Garamond" w:cs="Times New Roman"/>
          <w:color w:val="000000"/>
          <w:sz w:val="24"/>
          <w:szCs w:val="24"/>
        </w:rPr>
        <w:t xml:space="preserve"> duke përfshirë identifikimin e praktikave të mira si dhe, ku është e nevojshme</w:t>
      </w:r>
      <w:r w:rsidR="00AB4A99">
        <w:rPr>
          <w:rFonts w:ascii="Garamond" w:hAnsi="Garamond" w:cs="Times New Roman"/>
          <w:color w:val="000000"/>
          <w:sz w:val="24"/>
          <w:szCs w:val="24"/>
        </w:rPr>
        <w:t>,</w:t>
      </w:r>
      <w:r w:rsidRPr="00FA17F9">
        <w:rPr>
          <w:rFonts w:ascii="Garamond" w:hAnsi="Garamond" w:cs="Times New Roman"/>
          <w:color w:val="000000"/>
          <w:sz w:val="24"/>
          <w:szCs w:val="24"/>
        </w:rPr>
        <w:t xml:space="preserve"> përmirësimi i procedurave në përputhje me përcaktimet e </w:t>
      </w:r>
      <w:r w:rsidR="00AB4A99" w:rsidRPr="00FA17F9">
        <w:rPr>
          <w:rFonts w:ascii="Garamond" w:hAnsi="Garamond" w:cs="Times New Roman"/>
          <w:color w:val="000000"/>
          <w:sz w:val="24"/>
          <w:szCs w:val="24"/>
        </w:rPr>
        <w:t xml:space="preserve">rekomandimit </w:t>
      </w:r>
      <w:r w:rsidRPr="00FA17F9">
        <w:rPr>
          <w:rFonts w:ascii="Garamond" w:hAnsi="Garamond" w:cs="Times New Roman"/>
          <w:color w:val="000000"/>
          <w:sz w:val="24"/>
          <w:szCs w:val="24"/>
        </w:rPr>
        <w:t xml:space="preserve">të Komisionit (BE) 2020/1307. </w:t>
      </w:r>
    </w:p>
    <w:p w14:paraId="79EAC939" w14:textId="286DF45B"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2. Në procesin e analizës sipas pikës 1 të këtij neni, BCO</w:t>
      </w:r>
      <w:r w:rsidR="00220945">
        <w:rPr>
          <w:rFonts w:ascii="Garamond" w:hAnsi="Garamond" w:cs="Times New Roman"/>
          <w:color w:val="000000"/>
          <w:sz w:val="24"/>
          <w:szCs w:val="24"/>
        </w:rPr>
        <w:t xml:space="preserve">-ja </w:t>
      </w:r>
      <w:r w:rsidRPr="00FA17F9">
        <w:rPr>
          <w:rFonts w:ascii="Garamond" w:hAnsi="Garamond" w:cs="Times New Roman"/>
          <w:color w:val="000000"/>
          <w:sz w:val="24"/>
          <w:szCs w:val="24"/>
        </w:rPr>
        <w:t>duhet të eksplorojë mundësitë bazuar në praktikat e mira të BE-së se</w:t>
      </w:r>
      <w:r w:rsidR="00D772CB">
        <w:rPr>
          <w:rFonts w:ascii="Garamond" w:hAnsi="Garamond" w:cs="Times New Roman"/>
          <w:color w:val="000000"/>
          <w:sz w:val="24"/>
          <w:szCs w:val="24"/>
        </w:rPr>
        <w:t>,</w:t>
      </w:r>
      <w:r w:rsidRPr="00FA17F9">
        <w:rPr>
          <w:rFonts w:ascii="Garamond" w:hAnsi="Garamond" w:cs="Times New Roman"/>
          <w:color w:val="000000"/>
          <w:sz w:val="24"/>
          <w:szCs w:val="24"/>
        </w:rPr>
        <w:t xml:space="preserve"> si:</w:t>
      </w:r>
    </w:p>
    <w:p w14:paraId="3F368126" w14:textId="730538CA"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a) respektohet afati maksimal ligjor për dhënien ose refuzimin e lejeve</w:t>
      </w:r>
      <w:r w:rsidR="00E83F94">
        <w:rPr>
          <w:rFonts w:ascii="Garamond" w:hAnsi="Garamond" w:cs="Times New Roman"/>
          <w:color w:val="000000"/>
          <w:sz w:val="24"/>
          <w:szCs w:val="24"/>
        </w:rPr>
        <w:t>;</w:t>
      </w:r>
      <w:r w:rsidRPr="00FA17F9">
        <w:rPr>
          <w:rFonts w:ascii="Garamond" w:hAnsi="Garamond" w:cs="Times New Roman"/>
          <w:color w:val="000000"/>
          <w:sz w:val="24"/>
          <w:szCs w:val="24"/>
        </w:rPr>
        <w:t xml:space="preserve"> </w:t>
      </w:r>
    </w:p>
    <w:p w14:paraId="290568F2" w14:textId="77777777"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b) të thjeshtohet procesi i dhënies së lejeve, duke përfshirë ngritjen e procedurave të shpejta të dhënies së lejeve dhe/ose përjashtime nga leja kur është e përshtatshme, dhe përcaktimin e llojit të rrjeteve që do të vendosen që mund të përfitojnë nga këto;</w:t>
      </w:r>
    </w:p>
    <w:p w14:paraId="4F97D318" w14:textId="77777777"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c) mund t’u jepet operatorëve e drejta për të paraqitur, me mjete elektronike, nëpërmjet pikës së vetme të informacionit, aplikime për të gjitha lejet e nevojshme që kërkohen për punimet civile për vendosjen e elementeve të rrjeteve me kapacitet shumë të lartë;</w:t>
      </w:r>
    </w:p>
    <w:p w14:paraId="0E8A2EFE" w14:textId="77777777"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d) të rritet koordinimi me pikën e vetme informacionit dhe institucionet përgjegjëse dhe si mund të lehtësohet shkëmbimi i informacion mbi ecurinë e këtyre procedurave ndërmjet aplikantëve dhe autoriteteve kompetente.</w:t>
      </w:r>
    </w:p>
    <w:p w14:paraId="66396FA2"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b/>
          <w:bCs/>
          <w:color w:val="000000"/>
          <w:sz w:val="24"/>
          <w:szCs w:val="24"/>
        </w:rPr>
      </w:pPr>
    </w:p>
    <w:p w14:paraId="447C7DE2"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Cs/>
          <w:color w:val="000000"/>
          <w:sz w:val="24"/>
          <w:szCs w:val="24"/>
        </w:rPr>
      </w:pPr>
      <w:r w:rsidRPr="00FA17F9">
        <w:rPr>
          <w:rFonts w:ascii="Garamond" w:hAnsi="Garamond" w:cs="Times New Roman"/>
          <w:bCs/>
          <w:color w:val="000000"/>
          <w:sz w:val="24"/>
          <w:szCs w:val="24"/>
        </w:rPr>
        <w:t>Neni 6</w:t>
      </w:r>
    </w:p>
    <w:p w14:paraId="76F60D62"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Përmirësimi i transparencës përmes pikës së vetme të informacionit</w:t>
      </w:r>
    </w:p>
    <w:p w14:paraId="586C50FA"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b/>
          <w:bCs/>
          <w:color w:val="000000"/>
          <w:sz w:val="24"/>
          <w:szCs w:val="24"/>
        </w:rPr>
      </w:pPr>
    </w:p>
    <w:p w14:paraId="4E6B61B5" w14:textId="45F9D576"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r w:rsidRPr="00FA17F9">
        <w:rPr>
          <w:rFonts w:ascii="Garamond" w:hAnsi="Garamond" w:cs="Times New Roman"/>
          <w:color w:val="000000"/>
          <w:sz w:val="24"/>
          <w:szCs w:val="24"/>
        </w:rPr>
        <w:t>1. Bazuar në praktikat më të mira dhe të përshtatshme për të përmirësuar transparencën në lidhje me infrastrukturën fizike, në mënyrë që operatorët të mund të aksesojnë më lehtë të gjithë informacionin përkatës mbi infrastrukturën e disponueshme në një zonë të caktuar të bashkëpunohet për forcimin e rolit të pikës së vetme të informacionit dhe zgjerimin</w:t>
      </w:r>
      <w:r w:rsidR="004162FA">
        <w:rPr>
          <w:rFonts w:ascii="Garamond" w:hAnsi="Garamond" w:cs="Times New Roman"/>
          <w:color w:val="000000"/>
          <w:sz w:val="24"/>
          <w:szCs w:val="24"/>
        </w:rPr>
        <w:t xml:space="preserve"> </w:t>
      </w:r>
      <w:r w:rsidRPr="00FA17F9">
        <w:rPr>
          <w:rFonts w:ascii="Garamond" w:hAnsi="Garamond" w:cs="Times New Roman"/>
          <w:color w:val="000000"/>
          <w:sz w:val="24"/>
          <w:szCs w:val="24"/>
        </w:rPr>
        <w:t>funksioneve të tij që përfshijnë, për shembull, informacionin gjeoreferues dhe informacionin e integruar nga burime të ndryshme (në veçanti, informacioni i dhënë nga autoritetet kombëtare kompetente në çdo nivel, organet e sektorit publik dhe operatorët e rrjetit).</w:t>
      </w:r>
    </w:p>
    <w:p w14:paraId="08904342" w14:textId="5A57CAFF"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r w:rsidRPr="00FA17F9">
        <w:rPr>
          <w:rFonts w:ascii="Garamond" w:hAnsi="Garamond" w:cs="Times New Roman"/>
          <w:color w:val="000000"/>
          <w:sz w:val="24"/>
          <w:szCs w:val="24"/>
        </w:rPr>
        <w:t>2. Ministria</w:t>
      </w:r>
      <w:r w:rsidR="00E83F94">
        <w:rPr>
          <w:rFonts w:ascii="Garamond" w:hAnsi="Garamond" w:cs="Times New Roman"/>
          <w:color w:val="000000"/>
          <w:sz w:val="24"/>
          <w:szCs w:val="24"/>
        </w:rPr>
        <w:t>,</w:t>
      </w:r>
      <w:r w:rsidRPr="00FA17F9">
        <w:rPr>
          <w:rFonts w:ascii="Garamond" w:hAnsi="Garamond" w:cs="Times New Roman"/>
          <w:color w:val="000000"/>
          <w:sz w:val="24"/>
          <w:szCs w:val="24"/>
        </w:rPr>
        <w:t xml:space="preserve"> përmes BCO</w:t>
      </w:r>
      <w:r w:rsidR="00E83F94">
        <w:rPr>
          <w:rFonts w:ascii="Garamond" w:hAnsi="Garamond" w:cs="Times New Roman"/>
          <w:color w:val="000000"/>
          <w:sz w:val="24"/>
          <w:szCs w:val="24"/>
        </w:rPr>
        <w:t>-së,</w:t>
      </w:r>
      <w:r w:rsidRPr="00FA17F9">
        <w:rPr>
          <w:rFonts w:ascii="Garamond" w:hAnsi="Garamond" w:cs="Times New Roman"/>
          <w:color w:val="000000"/>
          <w:sz w:val="24"/>
          <w:szCs w:val="24"/>
        </w:rPr>
        <w:t xml:space="preserve"> do </w:t>
      </w:r>
      <w:r w:rsidR="00E83F94">
        <w:rPr>
          <w:rFonts w:ascii="Garamond" w:hAnsi="Garamond" w:cs="Times New Roman"/>
          <w:color w:val="000000"/>
          <w:sz w:val="24"/>
          <w:szCs w:val="24"/>
        </w:rPr>
        <w:t>t</w:t>
      </w:r>
      <w:r w:rsidR="00182161">
        <w:rPr>
          <w:rFonts w:ascii="Garamond" w:hAnsi="Garamond" w:cs="Times New Roman"/>
          <w:color w:val="000000"/>
          <w:sz w:val="24"/>
          <w:szCs w:val="24"/>
        </w:rPr>
        <w:t>’</w:t>
      </w:r>
      <w:r w:rsidR="00C72003">
        <w:rPr>
          <w:rFonts w:ascii="Garamond" w:hAnsi="Garamond" w:cs="Times New Roman"/>
          <w:color w:val="000000"/>
          <w:sz w:val="24"/>
          <w:szCs w:val="24"/>
        </w:rPr>
        <w:t>u</w:t>
      </w:r>
      <w:r w:rsidRPr="00FA17F9">
        <w:rPr>
          <w:rFonts w:ascii="Garamond" w:hAnsi="Garamond" w:cs="Times New Roman"/>
          <w:color w:val="000000"/>
          <w:sz w:val="24"/>
          <w:szCs w:val="24"/>
        </w:rPr>
        <w:t xml:space="preserve"> ofrojë institucioneve përgjegjëse praktikat më të mira të BE-së dhe bashkëpunojë me to për zhvillimin e praktikave më të mira për të siguruar që informacioni i përmendur në nenin 8 të ligjit nr. 120/2016</w:t>
      </w:r>
      <w:r w:rsidR="00467E2A">
        <w:rPr>
          <w:rFonts w:ascii="Garamond" w:hAnsi="Garamond" w:cs="Times New Roman"/>
          <w:color w:val="000000"/>
          <w:sz w:val="24"/>
          <w:szCs w:val="24"/>
        </w:rPr>
        <w:t>,</w:t>
      </w:r>
      <w:r w:rsidRPr="00FA17F9">
        <w:rPr>
          <w:rFonts w:ascii="Garamond" w:hAnsi="Garamond" w:cs="Times New Roman"/>
          <w:color w:val="000000"/>
          <w:sz w:val="24"/>
          <w:szCs w:val="24"/>
        </w:rPr>
        <w:t xml:space="preserve"> “Për zhvillimin e rrjeteve të komunikimeve elektronike të shpejtësisë së lartë dhe sigurimin e së drejtës së kalimit”, kur mbahet nga organet e sektorit publik, vihet në dispozicion nëpërmjet pikës së vetme të informacionit në format elektronik. </w:t>
      </w:r>
    </w:p>
    <w:p w14:paraId="21710109" w14:textId="3375E38E"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r w:rsidRPr="00FA17F9">
        <w:rPr>
          <w:rFonts w:ascii="Garamond" w:hAnsi="Garamond" w:cs="Times New Roman"/>
          <w:color w:val="000000"/>
          <w:sz w:val="24"/>
          <w:szCs w:val="24"/>
        </w:rPr>
        <w:t xml:space="preserve">3. Përveç kësaj, duhet të konsiderohet vënia në dispozicion nëpërmjet pikës së vetme të informacionit në lidhje me infrastrukturën fizike përtej minimumit të përcaktuar në ligjin 120/2016, siç është vendndodhja gjeografike e infrastrukturës, modelit të saj </w:t>
      </w:r>
      <w:r w:rsidR="00576B67">
        <w:rPr>
          <w:rFonts w:ascii="Garamond" w:hAnsi="Garamond" w:cs="Times New Roman"/>
          <w:color w:val="000000"/>
          <w:sz w:val="24"/>
          <w:szCs w:val="24"/>
        </w:rPr>
        <w:t>digjital</w:t>
      </w:r>
      <w:r w:rsidRPr="00FA17F9">
        <w:rPr>
          <w:rFonts w:ascii="Garamond" w:hAnsi="Garamond" w:cs="Times New Roman"/>
          <w:color w:val="000000"/>
          <w:sz w:val="24"/>
          <w:szCs w:val="24"/>
        </w:rPr>
        <w:t>, llojit dhe përdorimit aktual të saj, ose kapacitetit të saj total dhe rezervë.</w:t>
      </w:r>
    </w:p>
    <w:p w14:paraId="074189BE" w14:textId="07C4F0DB"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r w:rsidRPr="00FA17F9">
        <w:rPr>
          <w:rFonts w:ascii="Garamond" w:hAnsi="Garamond" w:cs="Times New Roman"/>
          <w:color w:val="000000"/>
          <w:sz w:val="24"/>
          <w:szCs w:val="24"/>
        </w:rPr>
        <w:t>4. Për të përmirësuar më tej sasinë dhe llojin e informacionit të disponueshëm nëpërmjet pikës së vetme të informacionit, autoritetet përkatëse t’u kërkojnë operatorëve të rrjetit të vënë në dispozicion nëpërmjet pikës së vetme të informacionit dhe në formë elektronike formatin, informacionin në lidhje me infrastrukturën e tyre fizike ekzistuese</w:t>
      </w:r>
      <w:r w:rsidR="00467E2A">
        <w:rPr>
          <w:rFonts w:ascii="Garamond" w:hAnsi="Garamond" w:cs="Times New Roman"/>
          <w:color w:val="000000"/>
          <w:sz w:val="24"/>
          <w:szCs w:val="24"/>
        </w:rPr>
        <w:t>,</w:t>
      </w:r>
      <w:r w:rsidRPr="00FA17F9">
        <w:rPr>
          <w:rFonts w:ascii="Garamond" w:hAnsi="Garamond" w:cs="Times New Roman"/>
          <w:color w:val="000000"/>
          <w:sz w:val="24"/>
          <w:szCs w:val="24"/>
        </w:rPr>
        <w:t xml:space="preserve"> të cilën ata ia kanë vënë në dispozicion operatorëve të tjerë me kërkesë specifike. </w:t>
      </w:r>
    </w:p>
    <w:p w14:paraId="784DFED5" w14:textId="2958B8A2"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r w:rsidRPr="00FA17F9">
        <w:rPr>
          <w:rFonts w:ascii="Garamond" w:hAnsi="Garamond" w:cs="Times New Roman"/>
          <w:color w:val="000000"/>
          <w:sz w:val="24"/>
          <w:szCs w:val="24"/>
        </w:rPr>
        <w:t>5. Të vlerësohet se si mund të lehtësohen rregullimet në dispozicion të operatorëve për vendosjen e elementeve të rrjeteve me kapacitet shumë të lartë, duke zhvilluar praktikat më të mira për t’u mundësuar operatorëve të kenë akses në infrastruktura fizike (duke përfshirë ndërtesat dhe objektet e rrugës) e kontrolluar nga organet publike, e cila është në gjendje të hostojë/mbajë shumë elemente të rrjetit me kapacitet të lartë, në kushte të ngjashme me ato të përcaktuara në ligjin nr. 120/2016</w:t>
      </w:r>
      <w:r w:rsidR="00467E2A">
        <w:rPr>
          <w:rFonts w:ascii="Garamond" w:hAnsi="Garamond" w:cs="Times New Roman"/>
          <w:color w:val="000000"/>
          <w:sz w:val="24"/>
          <w:szCs w:val="24"/>
        </w:rPr>
        <w:t>,</w:t>
      </w:r>
      <w:r w:rsidRPr="00FA17F9">
        <w:rPr>
          <w:rFonts w:ascii="Garamond" w:hAnsi="Garamond" w:cs="Times New Roman"/>
          <w:color w:val="000000"/>
          <w:sz w:val="24"/>
          <w:szCs w:val="24"/>
        </w:rPr>
        <w:t xml:space="preserve"> “Për zhvillimin e rrjeteve të komunikimeve elektronike të shpejtësisë së lartë dhe sigurimin e së drejtës së kalimit”</w:t>
      </w:r>
      <w:r w:rsidRPr="00FA17F9">
        <w:rPr>
          <w:rFonts w:ascii="Garamond" w:hAnsi="Garamond" w:cs="Calibri"/>
          <w:color w:val="000000"/>
          <w:sz w:val="24"/>
          <w:szCs w:val="24"/>
        </w:rPr>
        <w:t>.</w:t>
      </w:r>
    </w:p>
    <w:p w14:paraId="63363626"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p>
    <w:p w14:paraId="1B36C014" w14:textId="77777777" w:rsidR="00964375" w:rsidRDefault="00964375" w:rsidP="00FA17F9">
      <w:pPr>
        <w:autoSpaceDE w:val="0"/>
        <w:autoSpaceDN w:val="0"/>
        <w:adjustRightInd w:val="0"/>
        <w:spacing w:after="0" w:line="240" w:lineRule="auto"/>
        <w:ind w:firstLine="284"/>
        <w:jc w:val="center"/>
        <w:rPr>
          <w:rFonts w:ascii="Garamond" w:hAnsi="Garamond" w:cs="Times New Roman"/>
          <w:bCs/>
          <w:color w:val="000000"/>
          <w:sz w:val="24"/>
          <w:szCs w:val="24"/>
        </w:rPr>
      </w:pPr>
    </w:p>
    <w:p w14:paraId="524FC34B" w14:textId="77777777" w:rsidR="00964375" w:rsidRDefault="00964375" w:rsidP="00FA17F9">
      <w:pPr>
        <w:autoSpaceDE w:val="0"/>
        <w:autoSpaceDN w:val="0"/>
        <w:adjustRightInd w:val="0"/>
        <w:spacing w:after="0" w:line="240" w:lineRule="auto"/>
        <w:ind w:firstLine="284"/>
        <w:jc w:val="center"/>
        <w:rPr>
          <w:rFonts w:ascii="Garamond" w:hAnsi="Garamond" w:cs="Times New Roman"/>
          <w:bCs/>
          <w:color w:val="000000"/>
          <w:sz w:val="24"/>
          <w:szCs w:val="24"/>
        </w:rPr>
      </w:pPr>
    </w:p>
    <w:p w14:paraId="6BEEB731" w14:textId="1E738F5E" w:rsidR="00FA17F9" w:rsidRPr="00FA17F9" w:rsidRDefault="00FA17F9" w:rsidP="00FA17F9">
      <w:pPr>
        <w:autoSpaceDE w:val="0"/>
        <w:autoSpaceDN w:val="0"/>
        <w:adjustRightInd w:val="0"/>
        <w:spacing w:after="0" w:line="240" w:lineRule="auto"/>
        <w:ind w:firstLine="284"/>
        <w:jc w:val="center"/>
        <w:rPr>
          <w:rFonts w:ascii="Garamond" w:hAnsi="Garamond" w:cs="Times New Roman"/>
          <w:bCs/>
          <w:color w:val="000000"/>
          <w:sz w:val="24"/>
          <w:szCs w:val="24"/>
        </w:rPr>
      </w:pPr>
      <w:r w:rsidRPr="00FA17F9">
        <w:rPr>
          <w:rFonts w:ascii="Garamond" w:hAnsi="Garamond" w:cs="Times New Roman"/>
          <w:bCs/>
          <w:color w:val="000000"/>
          <w:sz w:val="24"/>
          <w:szCs w:val="24"/>
        </w:rPr>
        <w:lastRenderedPageBreak/>
        <w:t>Neni 7</w:t>
      </w:r>
    </w:p>
    <w:p w14:paraId="3FF6B7E1"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Mekanizmat e zgjidhjes së mosmarrëveshjeve</w:t>
      </w:r>
    </w:p>
    <w:p w14:paraId="76F90DEC"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p>
    <w:p w14:paraId="4B98191C" w14:textId="524568E4"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Përveç sa parashikohet në nenin 7, të ligjit nr. 120/2016</w:t>
      </w:r>
      <w:r w:rsidR="004162FA">
        <w:rPr>
          <w:rFonts w:ascii="Garamond" w:hAnsi="Garamond" w:cs="Times New Roman"/>
          <w:color w:val="000000"/>
          <w:sz w:val="24"/>
          <w:szCs w:val="24"/>
        </w:rPr>
        <w:t>,</w:t>
      </w:r>
      <w:r w:rsidRPr="00FA17F9">
        <w:rPr>
          <w:rFonts w:ascii="Garamond" w:hAnsi="Garamond" w:cs="Times New Roman"/>
          <w:color w:val="000000"/>
          <w:sz w:val="24"/>
          <w:szCs w:val="24"/>
        </w:rPr>
        <w:t xml:space="preserve"> “Për zhvillimin e rrjeteve të komunikimeve elektronike të shpejtësisë së lartë dhe sigurimin e së drejtës së kalimit”, BCO</w:t>
      </w:r>
      <w:r w:rsidR="00B81624">
        <w:rPr>
          <w:rFonts w:ascii="Garamond" w:hAnsi="Garamond" w:cs="Times New Roman"/>
          <w:color w:val="000000"/>
          <w:sz w:val="24"/>
          <w:szCs w:val="24"/>
        </w:rPr>
        <w:t>-ja</w:t>
      </w:r>
      <w:r w:rsidRPr="00FA17F9">
        <w:rPr>
          <w:rFonts w:ascii="Garamond" w:hAnsi="Garamond" w:cs="Times New Roman"/>
          <w:color w:val="000000"/>
          <w:sz w:val="24"/>
          <w:szCs w:val="24"/>
        </w:rPr>
        <w:t xml:space="preserve"> të ndajë me institucionet përgjegjëse informacion mbi praktikat e mira të BE-së për zgjidhjen e mosmarrëveshjeve duke inkurajuar zhvillimin e praktikave më të mira që përmirësojnë efektivitetin dhe efikasitetin e mekanizmit të zgjidhjes së mosmarrëveshjes në lidhje me</w:t>
      </w:r>
      <w:r w:rsidR="004162FA">
        <w:rPr>
          <w:rFonts w:ascii="Garamond" w:hAnsi="Garamond" w:cs="Times New Roman"/>
          <w:color w:val="000000"/>
          <w:sz w:val="24"/>
          <w:szCs w:val="24"/>
        </w:rPr>
        <w:t xml:space="preserve"> </w:t>
      </w:r>
      <w:r w:rsidRPr="00FA17F9">
        <w:rPr>
          <w:rFonts w:ascii="Garamond" w:hAnsi="Garamond" w:cs="Times New Roman"/>
          <w:color w:val="000000"/>
          <w:sz w:val="24"/>
          <w:szCs w:val="24"/>
        </w:rPr>
        <w:t>aksesin në infrastrukturën fizike dhe funksionimin e organeve përgjegjëse për zgjidhjen e tyre, me synim për zgjidhjen e çështjeve të ndërlidhura brenda një afati sa më të shkurtër kohor dhe ofrimin e udhëzimeve palëve për kushtet dhe tarifat e duhura, duke përfshirë publikimin në kohë të vendimeve të tyre.</w:t>
      </w:r>
    </w:p>
    <w:p w14:paraId="2508231C"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p>
    <w:p w14:paraId="4437BE24"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Cs/>
          <w:color w:val="000000"/>
          <w:sz w:val="24"/>
          <w:szCs w:val="24"/>
        </w:rPr>
      </w:pPr>
      <w:r w:rsidRPr="00FA17F9">
        <w:rPr>
          <w:rFonts w:ascii="Garamond" w:hAnsi="Garamond" w:cs="Times New Roman"/>
          <w:bCs/>
          <w:color w:val="000000"/>
          <w:sz w:val="24"/>
          <w:szCs w:val="24"/>
        </w:rPr>
        <w:t>Neni 8</w:t>
      </w:r>
    </w:p>
    <w:p w14:paraId="2986442B"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Reduktimi i efekteve mjedisore të rrjeteve</w:t>
      </w:r>
    </w:p>
    <w:p w14:paraId="1EF1FE57"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b/>
          <w:bCs/>
          <w:color w:val="000000"/>
          <w:sz w:val="24"/>
          <w:szCs w:val="24"/>
        </w:rPr>
      </w:pPr>
    </w:p>
    <w:p w14:paraId="44B7057B" w14:textId="0A4A7379"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1. Zhvillimi i rrjeteve të shpejtësisë së lartë duhet të mbështetet dhe inkurajojë zhvillimin e praktikave më të mira për të nxitur vendosjen e rrjeteve t</w:t>
      </w:r>
      <w:r w:rsidR="001861D5">
        <w:rPr>
          <w:rFonts w:ascii="Garamond" w:hAnsi="Garamond" w:cs="Times New Roman"/>
          <w:color w:val="000000"/>
          <w:sz w:val="24"/>
          <w:szCs w:val="24"/>
        </w:rPr>
        <w:t xml:space="preserve">ë </w:t>
      </w:r>
      <w:r w:rsidRPr="00FA17F9">
        <w:rPr>
          <w:rFonts w:ascii="Garamond" w:hAnsi="Garamond" w:cs="Times New Roman"/>
          <w:color w:val="000000"/>
          <w:sz w:val="24"/>
          <w:szCs w:val="24"/>
        </w:rPr>
        <w:t>komunikimeve elektronike me një ndikim të reduktuar në mjedis, veçanërisht në lidhje me përdorimin e energjisë dhe të lidhur me emetimet dhe gazrat, duke përfshirë:</w:t>
      </w:r>
    </w:p>
    <w:p w14:paraId="3C5A0A2A" w14:textId="77777777"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a) kriteret për vlerësimin e qëndrueshmërisë mjedisore të rrjeteve të ardhshme;</w:t>
      </w:r>
    </w:p>
    <w:p w14:paraId="6544B5DD" w14:textId="77777777"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b) stimujt e ofruar për operatorët për të vendosur rrjete të qëndrueshme për mjedisin.</w:t>
      </w:r>
    </w:p>
    <w:p w14:paraId="1801B980"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b/>
          <w:bCs/>
          <w:color w:val="000000"/>
          <w:sz w:val="24"/>
          <w:szCs w:val="24"/>
        </w:rPr>
      </w:pPr>
    </w:p>
    <w:p w14:paraId="153631A7"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Cs/>
          <w:color w:val="000000"/>
          <w:sz w:val="24"/>
          <w:szCs w:val="24"/>
        </w:rPr>
      </w:pPr>
      <w:r w:rsidRPr="00FA17F9">
        <w:rPr>
          <w:rFonts w:ascii="Garamond" w:hAnsi="Garamond" w:cs="Times New Roman"/>
          <w:bCs/>
          <w:color w:val="000000"/>
          <w:sz w:val="24"/>
          <w:szCs w:val="24"/>
        </w:rPr>
        <w:t>Neni 9</w:t>
      </w:r>
    </w:p>
    <w:p w14:paraId="5B1B9873"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Vlerësimi i ndikimit në mjedis</w:t>
      </w:r>
    </w:p>
    <w:p w14:paraId="4CB46A3D"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p>
    <w:p w14:paraId="405C86AB" w14:textId="7FE6B862"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 xml:space="preserve">Në përputhje me legjislacionin në fuqi për </w:t>
      </w:r>
      <w:r w:rsidR="0082665B" w:rsidRPr="00FA17F9">
        <w:rPr>
          <w:rFonts w:ascii="Garamond" w:hAnsi="Garamond" w:cs="Times New Roman"/>
          <w:color w:val="000000"/>
          <w:sz w:val="24"/>
          <w:szCs w:val="24"/>
        </w:rPr>
        <w:t xml:space="preserve">vlerësimin strategjik mjedisor, për vlerësimin e ndikimit në mjedis dhe për habitatet, kur </w:t>
      </w:r>
      <w:r w:rsidRPr="00FA17F9">
        <w:rPr>
          <w:rFonts w:ascii="Garamond" w:hAnsi="Garamond" w:cs="Times New Roman"/>
          <w:color w:val="000000"/>
          <w:sz w:val="24"/>
          <w:szCs w:val="24"/>
        </w:rPr>
        <w:t>kërkohet një vlerësim i ndikimit në mjedis, dhe në veçanti kur autoritetet përgatisin kuadrin për miratimin e projekteve të ardhshme për zhvillim, udhëzohet që të shkëmbehen praktikat më të mira se si të performojnë dhe të marrin parasysh rezultatet të vlerësimit mjedisor, në fazën kur mund të identifikohen dhe vlerësohen efektet mjedisore, si p.sh. kur operatorët paraqesin planet e përgjithshme për projektet që përfshijnë instalimin konkret ose vendosjen e rrjeteve.</w:t>
      </w:r>
    </w:p>
    <w:p w14:paraId="38A7262A"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p>
    <w:p w14:paraId="3143AE9D"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Cs/>
          <w:color w:val="000000"/>
          <w:sz w:val="24"/>
          <w:szCs w:val="24"/>
        </w:rPr>
      </w:pPr>
      <w:r w:rsidRPr="00FA17F9">
        <w:rPr>
          <w:rFonts w:ascii="Garamond" w:hAnsi="Garamond" w:cs="Times New Roman"/>
          <w:bCs/>
          <w:color w:val="000000"/>
          <w:sz w:val="24"/>
          <w:szCs w:val="24"/>
        </w:rPr>
        <w:t>Neni 10</w:t>
      </w:r>
    </w:p>
    <w:p w14:paraId="0C8E978E"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 xml:space="preserve">Sigurimi i aksesit në kohë për spektrin dhe mjedisi miqësor për investimet </w:t>
      </w:r>
    </w:p>
    <w:p w14:paraId="5558CB62"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p>
    <w:p w14:paraId="4A7F57EA" w14:textId="7ED29DB6"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 xml:space="preserve">1. Në zbatim të parashikimeve në nenin 7 të ligjit </w:t>
      </w:r>
      <w:r w:rsidR="00E11F19" w:rsidRPr="00FA17F9">
        <w:rPr>
          <w:rFonts w:ascii="Garamond" w:hAnsi="Garamond" w:cs="Times New Roman"/>
          <w:color w:val="000000"/>
          <w:sz w:val="24"/>
          <w:szCs w:val="24"/>
        </w:rPr>
        <w:t>nr</w:t>
      </w:r>
      <w:r w:rsidRPr="00FA17F9">
        <w:rPr>
          <w:rFonts w:ascii="Garamond" w:hAnsi="Garamond" w:cs="Times New Roman"/>
          <w:color w:val="000000"/>
          <w:sz w:val="24"/>
          <w:szCs w:val="24"/>
        </w:rPr>
        <w:t>. 54/2024</w:t>
      </w:r>
      <w:r w:rsidR="00E11F19">
        <w:rPr>
          <w:rFonts w:ascii="Garamond" w:hAnsi="Garamond" w:cs="Times New Roman"/>
          <w:color w:val="000000"/>
          <w:sz w:val="24"/>
          <w:szCs w:val="24"/>
        </w:rPr>
        <w:t>,</w:t>
      </w:r>
      <w:r w:rsidRPr="00FA17F9">
        <w:rPr>
          <w:rFonts w:ascii="Garamond" w:hAnsi="Garamond" w:cs="Times New Roman"/>
          <w:color w:val="000000"/>
          <w:sz w:val="24"/>
          <w:szCs w:val="24"/>
        </w:rPr>
        <w:t xml:space="preserve"> “Për komunikimet elektronike në Republikën e Shqipërisë”, do të bashkëpunohet për përditësimin e politikës spektrale dhe planifikimin strategjik për frekuencat duke u mbështetur në praktikat</w:t>
      </w:r>
      <w:r w:rsidR="004162FA">
        <w:rPr>
          <w:rFonts w:ascii="Garamond" w:hAnsi="Garamond" w:cs="Times New Roman"/>
          <w:color w:val="000000"/>
          <w:sz w:val="24"/>
          <w:szCs w:val="24"/>
        </w:rPr>
        <w:t xml:space="preserve"> </w:t>
      </w:r>
      <w:r w:rsidRPr="00FA17F9">
        <w:rPr>
          <w:rFonts w:ascii="Garamond" w:hAnsi="Garamond" w:cs="Times New Roman"/>
          <w:color w:val="000000"/>
          <w:sz w:val="24"/>
          <w:szCs w:val="24"/>
        </w:rPr>
        <w:t>e mira të BE-së.</w:t>
      </w:r>
    </w:p>
    <w:p w14:paraId="125C7DFC" w14:textId="438DEBA8"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r w:rsidRPr="00FA17F9">
        <w:rPr>
          <w:rFonts w:ascii="Garamond" w:hAnsi="Garamond" w:cs="Times New Roman"/>
          <w:color w:val="000000"/>
          <w:sz w:val="24"/>
          <w:szCs w:val="24"/>
        </w:rPr>
        <w:t>2. MIE do të bashkëpunojë me AKEP</w:t>
      </w:r>
      <w:r w:rsidR="009F179D">
        <w:rPr>
          <w:rFonts w:ascii="Garamond" w:hAnsi="Garamond" w:cs="Times New Roman"/>
          <w:color w:val="000000"/>
          <w:sz w:val="24"/>
          <w:szCs w:val="24"/>
        </w:rPr>
        <w:t>-in</w:t>
      </w:r>
      <w:r w:rsidRPr="00FA17F9">
        <w:rPr>
          <w:rFonts w:ascii="Garamond" w:hAnsi="Garamond" w:cs="Times New Roman"/>
          <w:color w:val="000000"/>
          <w:sz w:val="24"/>
          <w:szCs w:val="24"/>
        </w:rPr>
        <w:t xml:space="preserve"> për të mundësuar sigurimin e aksesit në kohë të spektrit të frekuencave në brezat </w:t>
      </w:r>
      <w:r w:rsidR="00073F01" w:rsidRPr="00FA17F9">
        <w:rPr>
          <w:rFonts w:ascii="Garamond" w:hAnsi="Garamond" w:cs="Times New Roman"/>
          <w:color w:val="000000"/>
          <w:sz w:val="24"/>
          <w:szCs w:val="24"/>
        </w:rPr>
        <w:t>pionierë</w:t>
      </w:r>
      <w:r w:rsidRPr="00FA17F9">
        <w:rPr>
          <w:rFonts w:ascii="Garamond" w:hAnsi="Garamond" w:cs="Times New Roman"/>
          <w:color w:val="000000"/>
          <w:sz w:val="24"/>
          <w:szCs w:val="24"/>
        </w:rPr>
        <w:t xml:space="preserve"> për zhvillimin e rrjeteve 5G që mundësojnë sigurimin e mbulimit dhe cilësinë e shërbimit sipas parashikimeve në ligjin </w:t>
      </w:r>
      <w:r w:rsidR="008142D6" w:rsidRPr="00FA17F9">
        <w:rPr>
          <w:rFonts w:ascii="Garamond" w:hAnsi="Garamond" w:cs="Times New Roman"/>
          <w:color w:val="000000"/>
          <w:sz w:val="24"/>
          <w:szCs w:val="24"/>
        </w:rPr>
        <w:t>nr</w:t>
      </w:r>
      <w:r w:rsidRPr="00FA17F9">
        <w:rPr>
          <w:rFonts w:ascii="Garamond" w:hAnsi="Garamond" w:cs="Times New Roman"/>
          <w:color w:val="000000"/>
          <w:sz w:val="24"/>
          <w:szCs w:val="24"/>
        </w:rPr>
        <w:t>. 54/2024</w:t>
      </w:r>
      <w:r w:rsidR="008142D6">
        <w:rPr>
          <w:rFonts w:ascii="Garamond" w:hAnsi="Garamond" w:cs="Times New Roman"/>
          <w:color w:val="000000"/>
          <w:sz w:val="24"/>
          <w:szCs w:val="24"/>
        </w:rPr>
        <w:t>,</w:t>
      </w:r>
      <w:r w:rsidRPr="00FA17F9">
        <w:rPr>
          <w:rFonts w:ascii="Garamond" w:hAnsi="Garamond" w:cs="Times New Roman"/>
          <w:color w:val="000000"/>
          <w:sz w:val="24"/>
          <w:szCs w:val="24"/>
        </w:rPr>
        <w:t xml:space="preserve"> “Për komunikimet elektronike në Republikën e Shqipërisë”. </w:t>
      </w:r>
    </w:p>
    <w:p w14:paraId="0159D516" w14:textId="2CCA16E0"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r w:rsidRPr="00FA17F9">
        <w:rPr>
          <w:rFonts w:ascii="Garamond" w:hAnsi="Garamond" w:cs="Times New Roman"/>
          <w:color w:val="000000"/>
          <w:sz w:val="24"/>
          <w:szCs w:val="24"/>
        </w:rPr>
        <w:t>3. Në përputhje me parashikime e ligjit për komunikimeve elektronike udhëzohet të bashkëpunohet me AKEP</w:t>
      </w:r>
      <w:r w:rsidR="00137873">
        <w:rPr>
          <w:rFonts w:ascii="Garamond" w:hAnsi="Garamond" w:cs="Times New Roman"/>
          <w:color w:val="000000"/>
          <w:sz w:val="24"/>
          <w:szCs w:val="24"/>
        </w:rPr>
        <w:t>-in</w:t>
      </w:r>
      <w:r w:rsidRPr="00FA17F9">
        <w:rPr>
          <w:rFonts w:ascii="Garamond" w:hAnsi="Garamond" w:cs="Times New Roman"/>
          <w:color w:val="000000"/>
          <w:sz w:val="24"/>
          <w:szCs w:val="24"/>
        </w:rPr>
        <w:t xml:space="preserve"> dhe autoritetet e tjera të BE-së për të shkëmbyer praktikat më të mira në dhënien në përdorim të spektrit</w:t>
      </w:r>
      <w:r w:rsidR="00B70984">
        <w:rPr>
          <w:rFonts w:ascii="Garamond" w:hAnsi="Garamond" w:cs="Times New Roman"/>
          <w:color w:val="000000"/>
          <w:sz w:val="24"/>
          <w:szCs w:val="24"/>
        </w:rPr>
        <w:t>,</w:t>
      </w:r>
      <w:r w:rsidRPr="00FA17F9">
        <w:rPr>
          <w:rFonts w:ascii="Garamond" w:hAnsi="Garamond" w:cs="Times New Roman"/>
          <w:color w:val="000000"/>
          <w:sz w:val="24"/>
          <w:szCs w:val="24"/>
        </w:rPr>
        <w:t xml:space="preserve"> si dhe në lidhje me stimujt për përdoruesit e spektrit të radios në shtrirjen e rrjeteve 5G</w:t>
      </w:r>
      <w:r w:rsidRPr="00FA17F9">
        <w:rPr>
          <w:rFonts w:ascii="Garamond" w:hAnsi="Garamond" w:cs="Calibri"/>
          <w:color w:val="000000"/>
          <w:sz w:val="24"/>
          <w:szCs w:val="24"/>
        </w:rPr>
        <w:t>,</w:t>
      </w:r>
      <w:r w:rsidRPr="00FA17F9">
        <w:rPr>
          <w:rFonts w:ascii="Garamond" w:hAnsi="Garamond" w:cs="Times New Roman"/>
          <w:color w:val="000000"/>
          <w:sz w:val="24"/>
          <w:szCs w:val="24"/>
        </w:rPr>
        <w:t xml:space="preserve"> që janë zhvilluar ose zbatuar në vendet e Bashkimit Evropian</w:t>
      </w:r>
      <w:r w:rsidRPr="00FA17F9">
        <w:rPr>
          <w:rFonts w:ascii="Garamond" w:hAnsi="Garamond" w:cs="Calibri"/>
          <w:color w:val="000000"/>
          <w:sz w:val="24"/>
          <w:szCs w:val="24"/>
        </w:rPr>
        <w:t>.</w:t>
      </w:r>
      <w:r w:rsidRPr="00FA17F9">
        <w:rPr>
          <w:rFonts w:ascii="Garamond" w:hAnsi="Garamond" w:cs="Times New Roman"/>
          <w:color w:val="000000"/>
          <w:sz w:val="24"/>
          <w:szCs w:val="24"/>
        </w:rPr>
        <w:t xml:space="preserve"> Në veçanti, do të analizohen dhe shikohen masat që vendet e BE-së kanë ndjekur sipas parashikimeve të seksionit IV, të Rekomandimit të Komisionit (BE) 2020/1307, në lidhje me:</w:t>
      </w:r>
    </w:p>
    <w:p w14:paraId="6E506ABB" w14:textId="6477258D" w:rsidR="00FA17F9" w:rsidRPr="00FA17F9" w:rsidRDefault="00FA17F9" w:rsidP="00FA17F9">
      <w:pPr>
        <w:tabs>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a) promovimin e çmimeve të rezervës që pasqyrojnë nivelet optimale të tarifave për të drejtat e përdorimit të spektrit të radios;</w:t>
      </w:r>
    </w:p>
    <w:p w14:paraId="1E1B7B8D" w14:textId="6F23E1C4" w:rsidR="00FA17F9" w:rsidRPr="00FA17F9" w:rsidRDefault="00FA17F9" w:rsidP="00FA17F9">
      <w:pPr>
        <w:tabs>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lastRenderedPageBreak/>
        <w:t>b) praktikat për</w:t>
      </w:r>
      <w:r w:rsidR="004162FA">
        <w:rPr>
          <w:rFonts w:ascii="Garamond" w:hAnsi="Garamond" w:cs="Times New Roman"/>
          <w:color w:val="000000"/>
          <w:sz w:val="24"/>
          <w:szCs w:val="24"/>
        </w:rPr>
        <w:t xml:space="preserve"> </w:t>
      </w:r>
      <w:r w:rsidRPr="00FA17F9">
        <w:rPr>
          <w:rFonts w:ascii="Garamond" w:hAnsi="Garamond" w:cs="Times New Roman"/>
          <w:color w:val="000000"/>
          <w:sz w:val="24"/>
          <w:szCs w:val="24"/>
        </w:rPr>
        <w:t>shmangien e mungesës së spektrit dhe ato të harmonizimit në nivel Bashkimi Evropian;</w:t>
      </w:r>
    </w:p>
    <w:p w14:paraId="1F5F99BB" w14:textId="6AC2A40E"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c) duke siguruar në mënyrë jodiskriminuese mundësinë që tarifat për të drejtat e përdorimit të spektrit radio të paguhen në këste brenda periudhës së këtyre të drejtave;</w:t>
      </w:r>
    </w:p>
    <w:p w14:paraId="319955AE" w14:textId="230C8E0C"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d) duke përdorur një regjim autorizimi individual për brezin e frekuencës 24,25</w:t>
      </w:r>
      <w:r w:rsidR="002D43F1">
        <w:rPr>
          <w:rFonts w:ascii="Garamond" w:hAnsi="Garamond" w:cs="Times New Roman"/>
          <w:color w:val="000000"/>
          <w:sz w:val="24"/>
          <w:szCs w:val="24"/>
        </w:rPr>
        <w:t>–</w:t>
      </w:r>
      <w:r w:rsidRPr="00FA17F9">
        <w:rPr>
          <w:rFonts w:ascii="Garamond" w:hAnsi="Garamond" w:cs="Times New Roman"/>
          <w:color w:val="000000"/>
          <w:sz w:val="24"/>
          <w:szCs w:val="24"/>
        </w:rPr>
        <w:t>27,5 GHz që promovon përdorimin e tij në kohë duke përfshirë, në veçanti, atë që bazohet në procedura të shpejta administrative kur zbatohet në të drejtat e kufizuara të përdorimit gjeografikisht;</w:t>
      </w:r>
    </w:p>
    <w:p w14:paraId="6278B745" w14:textId="5C3272A0"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 xml:space="preserve">e) kombinimi i stimujve financiarë me detyrimet ose angazhimet formale për të përshpejtuar ose </w:t>
      </w:r>
      <w:r w:rsidR="00DD279D">
        <w:rPr>
          <w:rFonts w:ascii="Garamond" w:hAnsi="Garamond" w:cs="Times New Roman"/>
          <w:color w:val="000000"/>
          <w:sz w:val="24"/>
          <w:szCs w:val="24"/>
        </w:rPr>
        <w:t xml:space="preserve">për të </w:t>
      </w:r>
      <w:r w:rsidRPr="00FA17F9">
        <w:rPr>
          <w:rFonts w:ascii="Garamond" w:hAnsi="Garamond" w:cs="Times New Roman"/>
          <w:color w:val="000000"/>
          <w:sz w:val="24"/>
          <w:szCs w:val="24"/>
        </w:rPr>
        <w:t>zgjeruar cilësinë e lartë të mbulimit pa tel;</w:t>
      </w:r>
    </w:p>
    <w:p w14:paraId="4C1BC1B6" w14:textId="27D5381B"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f) sigurimin, në varësi të ligjit të konkurrencës, të mundësisë për ndarjen e infrastrukturës pasive dhe aktive, si dhe për shtrirjen e përbashkët të infrastrukturës që mbështetet në përdorimin e spektrit të radios.</w:t>
      </w:r>
    </w:p>
    <w:p w14:paraId="5FE32F51"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p>
    <w:p w14:paraId="40FC0223"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Cs/>
          <w:color w:val="000000"/>
          <w:sz w:val="24"/>
          <w:szCs w:val="24"/>
        </w:rPr>
      </w:pPr>
      <w:r w:rsidRPr="00FA17F9">
        <w:rPr>
          <w:rFonts w:ascii="Garamond" w:hAnsi="Garamond" w:cs="Times New Roman"/>
          <w:bCs/>
          <w:color w:val="000000"/>
          <w:sz w:val="24"/>
          <w:szCs w:val="24"/>
        </w:rPr>
        <w:t>Neni 11</w:t>
      </w:r>
    </w:p>
    <w:p w14:paraId="1EEACF7C" w14:textId="56045649"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 xml:space="preserve">Rritja e </w:t>
      </w:r>
      <w:r w:rsidR="00C357C2" w:rsidRPr="00FA17F9">
        <w:rPr>
          <w:rFonts w:ascii="Garamond" w:hAnsi="Garamond" w:cs="Times New Roman"/>
          <w:b/>
          <w:bCs/>
          <w:color w:val="000000"/>
          <w:sz w:val="24"/>
          <w:szCs w:val="24"/>
        </w:rPr>
        <w:t>koordinimit</w:t>
      </w:r>
      <w:r w:rsidRPr="00FA17F9">
        <w:rPr>
          <w:rFonts w:ascii="Garamond" w:hAnsi="Garamond" w:cs="Times New Roman"/>
          <w:b/>
          <w:bCs/>
          <w:color w:val="000000"/>
          <w:sz w:val="24"/>
          <w:szCs w:val="24"/>
        </w:rPr>
        <w:t xml:space="preserve"> ndërkufitar të harmonizuar me praktikat e BE-së</w:t>
      </w:r>
    </w:p>
    <w:p w14:paraId="31268890"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p>
    <w:p w14:paraId="2E51BEDA" w14:textId="134BF58C"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 xml:space="preserve">1. Në përputhje me praktikat e BE-së për të </w:t>
      </w:r>
      <w:r w:rsidR="00B460BE" w:rsidRPr="00FA17F9">
        <w:rPr>
          <w:rFonts w:ascii="Garamond" w:hAnsi="Garamond" w:cs="Times New Roman"/>
          <w:color w:val="000000"/>
          <w:sz w:val="24"/>
          <w:szCs w:val="24"/>
        </w:rPr>
        <w:t>promovuar</w:t>
      </w:r>
      <w:r w:rsidRPr="00FA17F9">
        <w:rPr>
          <w:rFonts w:ascii="Garamond" w:hAnsi="Garamond" w:cs="Times New Roman"/>
          <w:color w:val="000000"/>
          <w:sz w:val="24"/>
          <w:szCs w:val="24"/>
        </w:rPr>
        <w:t xml:space="preserve"> praktikat</w:t>
      </w:r>
      <w:r w:rsidRPr="00FA17F9">
        <w:rPr>
          <w:rFonts w:ascii="Garamond" w:hAnsi="Garamond" w:cs="Calibri"/>
          <w:color w:val="000000"/>
          <w:sz w:val="24"/>
          <w:szCs w:val="24"/>
        </w:rPr>
        <w:t xml:space="preserve"> </w:t>
      </w:r>
      <w:r w:rsidRPr="00FA17F9">
        <w:rPr>
          <w:rFonts w:ascii="Garamond" w:hAnsi="Garamond" w:cs="Times New Roman"/>
          <w:color w:val="000000"/>
          <w:sz w:val="24"/>
          <w:szCs w:val="24"/>
        </w:rPr>
        <w:t xml:space="preserve">koherente për dhënien e të drejtave të përdorimit të spektrit radio tek operatorët për të vendosur infrastrukturën pa tel të gjeneratës së ardhshme (përfshirë 5G) për përdorim industrial ndërkufitar, sipas së cilës Shtetet Anëtare të BE-së duhet të zhvillojnë dhe bien dakord për praktikat më të mira si pjesë e </w:t>
      </w:r>
      <w:r w:rsidRPr="00DC3697">
        <w:rPr>
          <w:rFonts w:ascii="Garamond" w:hAnsi="Garamond" w:cs="Times New Roman"/>
          <w:i/>
          <w:iCs/>
          <w:color w:val="000000"/>
          <w:sz w:val="24"/>
          <w:szCs w:val="24"/>
        </w:rPr>
        <w:t>Toolbox</w:t>
      </w:r>
      <w:r w:rsidR="005626A4" w:rsidRPr="005626A4">
        <w:rPr>
          <w:rFonts w:ascii="Garamond" w:hAnsi="Garamond" w:cs="Times New Roman"/>
          <w:color w:val="000000"/>
          <w:sz w:val="24"/>
          <w:szCs w:val="24"/>
        </w:rPr>
        <w:t>-it</w:t>
      </w:r>
      <w:r w:rsidRPr="00DC3697">
        <w:rPr>
          <w:rFonts w:ascii="Garamond" w:hAnsi="Garamond" w:cs="Times New Roman"/>
          <w:i/>
          <w:iCs/>
          <w:color w:val="000000"/>
          <w:sz w:val="24"/>
          <w:szCs w:val="24"/>
        </w:rPr>
        <w:t>,</w:t>
      </w:r>
      <w:r w:rsidRPr="00FA17F9">
        <w:rPr>
          <w:rFonts w:ascii="Garamond" w:hAnsi="Garamond" w:cs="Times New Roman"/>
          <w:color w:val="000000"/>
          <w:sz w:val="24"/>
          <w:szCs w:val="24"/>
        </w:rPr>
        <w:t xml:space="preserve"> si dhe bazuar në parashikimin e pikës 3, të nenit 85 të ligjit 54/2024</w:t>
      </w:r>
      <w:r w:rsidR="00DC3697">
        <w:rPr>
          <w:rFonts w:ascii="Garamond" w:hAnsi="Garamond" w:cs="Times New Roman"/>
          <w:color w:val="000000"/>
          <w:sz w:val="24"/>
          <w:szCs w:val="24"/>
        </w:rPr>
        <w:t>,</w:t>
      </w:r>
      <w:r w:rsidRPr="00FA17F9">
        <w:rPr>
          <w:rFonts w:ascii="Garamond" w:hAnsi="Garamond" w:cs="Times New Roman"/>
          <w:color w:val="000000"/>
          <w:sz w:val="24"/>
          <w:szCs w:val="24"/>
        </w:rPr>
        <w:t xml:space="preserve"> “Për komunikimet elektronike në Republikën e Shqipërisë”</w:t>
      </w:r>
      <w:r w:rsidR="00DC3697">
        <w:rPr>
          <w:rFonts w:ascii="Garamond" w:hAnsi="Garamond" w:cs="Times New Roman"/>
          <w:color w:val="000000"/>
          <w:sz w:val="24"/>
          <w:szCs w:val="24"/>
        </w:rPr>
        <w:t>,</w:t>
      </w:r>
      <w:r w:rsidRPr="00FA17F9">
        <w:rPr>
          <w:rFonts w:ascii="Garamond" w:hAnsi="Garamond" w:cs="Times New Roman"/>
          <w:color w:val="000000"/>
          <w:sz w:val="24"/>
          <w:szCs w:val="24"/>
        </w:rPr>
        <w:t xml:space="preserve"> do të punohet</w:t>
      </w:r>
      <w:r w:rsidR="004A1750">
        <w:rPr>
          <w:rFonts w:ascii="Garamond" w:hAnsi="Garamond" w:cs="Times New Roman"/>
          <w:color w:val="000000"/>
          <w:sz w:val="24"/>
          <w:szCs w:val="24"/>
        </w:rPr>
        <w:t>,</w:t>
      </w:r>
      <w:r w:rsidRPr="00FA17F9">
        <w:rPr>
          <w:rFonts w:ascii="Garamond" w:hAnsi="Garamond" w:cs="Times New Roman"/>
          <w:color w:val="000000"/>
          <w:sz w:val="24"/>
          <w:szCs w:val="24"/>
        </w:rPr>
        <w:t xml:space="preserve"> për:</w:t>
      </w:r>
    </w:p>
    <w:p w14:paraId="11137010" w14:textId="706BFF3D"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a)</w:t>
      </w:r>
      <w:r w:rsidR="004162FA">
        <w:rPr>
          <w:rFonts w:ascii="Garamond" w:hAnsi="Garamond" w:cs="Times New Roman"/>
          <w:color w:val="000000"/>
          <w:sz w:val="24"/>
          <w:szCs w:val="24"/>
        </w:rPr>
        <w:t xml:space="preserve"> </w:t>
      </w:r>
      <w:r w:rsidRPr="00FA17F9">
        <w:rPr>
          <w:rFonts w:ascii="Garamond" w:hAnsi="Garamond" w:cs="Times New Roman"/>
          <w:color w:val="000000"/>
          <w:sz w:val="24"/>
          <w:szCs w:val="24"/>
        </w:rPr>
        <w:t>identifikimin e rasteve të përdorimit në dimension ndërkufitar, veçanërisht për transportin rrugor, hekurudhor dhe prodhimin industrial, në përputhje me prioritetet e zhvillimit në harmoni me praktikat e Bashkimit Evropian</w:t>
      </w:r>
      <w:r w:rsidR="00925B31">
        <w:rPr>
          <w:rStyle w:val="FootnoteReference"/>
          <w:rFonts w:ascii="Garamond" w:hAnsi="Garamond" w:cs="Times New Roman"/>
          <w:color w:val="000000"/>
          <w:sz w:val="24"/>
          <w:szCs w:val="24"/>
        </w:rPr>
        <w:footnoteReference w:id="3"/>
      </w:r>
      <w:r w:rsidRPr="00FA17F9">
        <w:rPr>
          <w:rFonts w:ascii="Garamond" w:hAnsi="Garamond" w:cs="Times New Roman"/>
          <w:color w:val="000000"/>
          <w:sz w:val="24"/>
          <w:szCs w:val="24"/>
        </w:rPr>
        <w:t xml:space="preserve"> në vendosjen e 5G që i shërbejnë plotësimit të reformës së </w:t>
      </w:r>
      <w:r w:rsidR="00C357C2">
        <w:rPr>
          <w:rFonts w:ascii="Garamond" w:hAnsi="Garamond" w:cs="Times New Roman"/>
          <w:color w:val="000000"/>
          <w:sz w:val="24"/>
          <w:szCs w:val="24"/>
        </w:rPr>
        <w:t>agjend</w:t>
      </w:r>
      <w:r w:rsidRPr="00FA17F9">
        <w:rPr>
          <w:rFonts w:ascii="Garamond" w:hAnsi="Garamond" w:cs="Times New Roman"/>
          <w:color w:val="000000"/>
          <w:sz w:val="24"/>
          <w:szCs w:val="24"/>
        </w:rPr>
        <w:t>ave dhe planit të ri të rritjes;</w:t>
      </w:r>
    </w:p>
    <w:p w14:paraId="31BED880" w14:textId="0DD833DD" w:rsidR="00FA17F9" w:rsidRPr="00FA17F9" w:rsidRDefault="00FA17F9" w:rsidP="00B3101E">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b)</w:t>
      </w:r>
      <w:r w:rsidR="004162FA">
        <w:rPr>
          <w:rFonts w:ascii="Garamond" w:hAnsi="Garamond" w:cs="Times New Roman"/>
          <w:color w:val="000000"/>
          <w:sz w:val="24"/>
          <w:szCs w:val="24"/>
        </w:rPr>
        <w:t xml:space="preserve"> </w:t>
      </w:r>
      <w:r w:rsidRPr="00FA17F9">
        <w:rPr>
          <w:rFonts w:ascii="Garamond" w:hAnsi="Garamond" w:cs="Times New Roman"/>
          <w:color w:val="000000"/>
          <w:sz w:val="24"/>
          <w:szCs w:val="24"/>
        </w:rPr>
        <w:t>për çdo rast përdorimi të mundshëm të identifikuar, ose në identifikimin e një diapazoni të përbashkët të dedikuar frekuencash</w:t>
      </w:r>
      <w:r w:rsidR="00B3101E">
        <w:rPr>
          <w:rFonts w:ascii="Garamond" w:hAnsi="Garamond" w:cs="Times New Roman"/>
          <w:color w:val="000000"/>
          <w:sz w:val="24"/>
          <w:szCs w:val="24"/>
        </w:rPr>
        <w:t>,</w:t>
      </w:r>
      <w:r w:rsidRPr="00FA17F9">
        <w:rPr>
          <w:rFonts w:ascii="Garamond" w:hAnsi="Garamond" w:cs="Times New Roman"/>
          <w:color w:val="000000"/>
          <w:sz w:val="24"/>
          <w:szCs w:val="24"/>
        </w:rPr>
        <w:t xml:space="preserve"> në lidhje me regjimin përkatës të përbashkët të autorizimit, si dhe kushtet që i bashkëlidhen autorizimeve të tilla, të cilat janë të nevojshme për të siguruar vazhdimësinë e shërbimit përtej kufijve, duke përfshirë por pa u kufizuar në cilësinë e shërbimit dhe</w:t>
      </w:r>
      <w:r w:rsidR="004162FA">
        <w:rPr>
          <w:rFonts w:ascii="Garamond" w:hAnsi="Garamond" w:cs="Times New Roman"/>
          <w:color w:val="000000"/>
          <w:sz w:val="24"/>
          <w:szCs w:val="24"/>
        </w:rPr>
        <w:t xml:space="preserve"> </w:t>
      </w:r>
      <w:r w:rsidRPr="00FA17F9">
        <w:rPr>
          <w:rFonts w:ascii="Garamond" w:hAnsi="Garamond" w:cs="Times New Roman"/>
          <w:color w:val="000000"/>
          <w:sz w:val="24"/>
          <w:szCs w:val="24"/>
        </w:rPr>
        <w:t>sigurisë së rrjetit.</w:t>
      </w:r>
    </w:p>
    <w:p w14:paraId="0184734E" w14:textId="10988423" w:rsidR="00FA17F9" w:rsidRPr="00FA17F9" w:rsidRDefault="00FA17F9" w:rsidP="00FA17F9">
      <w:pPr>
        <w:autoSpaceDE w:val="0"/>
        <w:autoSpaceDN w:val="0"/>
        <w:adjustRightInd w:val="0"/>
        <w:spacing w:after="0" w:line="240" w:lineRule="auto"/>
        <w:ind w:firstLine="284"/>
        <w:jc w:val="both"/>
        <w:rPr>
          <w:rFonts w:ascii="Garamond" w:hAnsi="Garamond" w:cs="Times New Roman"/>
          <w:color w:val="000000"/>
          <w:sz w:val="24"/>
          <w:szCs w:val="24"/>
        </w:rPr>
      </w:pPr>
      <w:r w:rsidRPr="00FA17F9">
        <w:rPr>
          <w:rFonts w:ascii="Garamond" w:hAnsi="Garamond" w:cs="Times New Roman"/>
          <w:color w:val="000000"/>
          <w:sz w:val="24"/>
          <w:szCs w:val="24"/>
        </w:rPr>
        <w:t xml:space="preserve">2. Për zhvillimet e mësipërme udhëzohet të përdoren praktikat më të mira të zhvilluara përmes </w:t>
      </w:r>
      <w:r w:rsidRPr="00AC63FB">
        <w:rPr>
          <w:rFonts w:ascii="Garamond" w:hAnsi="Garamond" w:cs="Times New Roman"/>
          <w:i/>
          <w:iCs/>
          <w:color w:val="000000"/>
          <w:sz w:val="24"/>
          <w:szCs w:val="24"/>
        </w:rPr>
        <w:t>Toolbox</w:t>
      </w:r>
      <w:r w:rsidR="004A1750" w:rsidRPr="004A1750">
        <w:rPr>
          <w:rFonts w:ascii="Garamond" w:hAnsi="Garamond" w:cs="Times New Roman"/>
          <w:color w:val="000000"/>
          <w:sz w:val="24"/>
          <w:szCs w:val="24"/>
        </w:rPr>
        <w:t>-it</w:t>
      </w:r>
      <w:r w:rsidRPr="00FA17F9">
        <w:rPr>
          <w:rFonts w:ascii="Garamond" w:hAnsi="Garamond" w:cs="Times New Roman"/>
          <w:color w:val="000000"/>
          <w:sz w:val="24"/>
          <w:szCs w:val="24"/>
        </w:rPr>
        <w:t xml:space="preserve"> të BE-së, duke koordinuar me autoritetet përkatëse</w:t>
      </w:r>
      <w:r w:rsidR="00B3101E">
        <w:rPr>
          <w:rFonts w:ascii="Garamond" w:hAnsi="Garamond" w:cs="Times New Roman"/>
          <w:color w:val="000000"/>
          <w:sz w:val="24"/>
          <w:szCs w:val="24"/>
        </w:rPr>
        <w:t xml:space="preserve">, </w:t>
      </w:r>
      <w:r w:rsidRPr="00FA17F9">
        <w:rPr>
          <w:rFonts w:ascii="Garamond" w:hAnsi="Garamond" w:cs="Times New Roman"/>
          <w:color w:val="000000"/>
          <w:sz w:val="24"/>
          <w:szCs w:val="24"/>
        </w:rPr>
        <w:t>si dhe RSPG-në</w:t>
      </w:r>
      <w:r w:rsidR="00B3101E">
        <w:rPr>
          <w:rFonts w:ascii="Garamond" w:hAnsi="Garamond" w:cs="Times New Roman"/>
          <w:color w:val="000000"/>
          <w:sz w:val="24"/>
          <w:szCs w:val="24"/>
        </w:rPr>
        <w:t>,</w:t>
      </w:r>
      <w:r w:rsidRPr="00FA17F9">
        <w:rPr>
          <w:rFonts w:ascii="Garamond" w:hAnsi="Garamond" w:cs="Times New Roman"/>
          <w:color w:val="000000"/>
          <w:sz w:val="24"/>
          <w:szCs w:val="24"/>
        </w:rPr>
        <w:t xml:space="preserve"> duke parë mundësitë e realizimit të ofrimit të pandërprerë të shërbimeve të konektivitetit që lidhet me fushat e</w:t>
      </w:r>
      <w:r w:rsidR="004162FA">
        <w:rPr>
          <w:rFonts w:ascii="Garamond" w:hAnsi="Garamond" w:cs="Times New Roman"/>
          <w:color w:val="000000"/>
          <w:sz w:val="24"/>
          <w:szCs w:val="24"/>
        </w:rPr>
        <w:t xml:space="preserve"> </w:t>
      </w:r>
      <w:r w:rsidRPr="00FA17F9">
        <w:rPr>
          <w:rFonts w:ascii="Garamond" w:hAnsi="Garamond" w:cs="Times New Roman"/>
          <w:color w:val="000000"/>
          <w:sz w:val="24"/>
          <w:szCs w:val="24"/>
        </w:rPr>
        <w:t xml:space="preserve">transportit rrugor, hekurudhor apo prodhimin industrial. </w:t>
      </w:r>
    </w:p>
    <w:p w14:paraId="514831C7"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p>
    <w:p w14:paraId="7FDE3D7A"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Cs/>
          <w:color w:val="000000"/>
          <w:sz w:val="24"/>
          <w:szCs w:val="24"/>
        </w:rPr>
      </w:pPr>
      <w:r w:rsidRPr="00FA17F9">
        <w:rPr>
          <w:rFonts w:ascii="Garamond" w:hAnsi="Garamond" w:cs="Times New Roman"/>
          <w:bCs/>
          <w:color w:val="000000"/>
          <w:sz w:val="24"/>
          <w:szCs w:val="24"/>
        </w:rPr>
        <w:t>Neni 12</w:t>
      </w:r>
    </w:p>
    <w:p w14:paraId="0BE980BD"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color w:val="000000"/>
          <w:sz w:val="24"/>
          <w:szCs w:val="24"/>
        </w:rPr>
      </w:pPr>
      <w:r w:rsidRPr="00FA17F9">
        <w:rPr>
          <w:rFonts w:ascii="Garamond" w:hAnsi="Garamond" w:cs="Times New Roman"/>
          <w:b/>
          <w:bCs/>
          <w:color w:val="000000"/>
          <w:sz w:val="24"/>
          <w:szCs w:val="24"/>
        </w:rPr>
        <w:t>Raportimi</w:t>
      </w:r>
    </w:p>
    <w:p w14:paraId="17FC7940" w14:textId="77777777" w:rsidR="00FA17F9" w:rsidRPr="00FA17F9" w:rsidRDefault="00FA17F9" w:rsidP="00FA17F9">
      <w:pPr>
        <w:autoSpaceDE w:val="0"/>
        <w:autoSpaceDN w:val="0"/>
        <w:adjustRightInd w:val="0"/>
        <w:spacing w:after="0" w:line="240" w:lineRule="auto"/>
        <w:ind w:firstLine="284"/>
        <w:jc w:val="both"/>
        <w:rPr>
          <w:rFonts w:ascii="Garamond" w:hAnsi="Garamond" w:cs="Calibri"/>
          <w:color w:val="000000"/>
          <w:sz w:val="24"/>
          <w:szCs w:val="24"/>
        </w:rPr>
      </w:pPr>
    </w:p>
    <w:p w14:paraId="4BC454A1" w14:textId="1CEE5CF7" w:rsidR="00FA17F9" w:rsidRPr="00FA17F9" w:rsidRDefault="00FA17F9" w:rsidP="00FA17F9">
      <w:pPr>
        <w:autoSpaceDE w:val="0"/>
        <w:autoSpaceDN w:val="0"/>
        <w:adjustRightInd w:val="0"/>
        <w:spacing w:after="0" w:line="240" w:lineRule="auto"/>
        <w:ind w:firstLine="284"/>
        <w:jc w:val="both"/>
        <w:rPr>
          <w:rFonts w:ascii="Garamond" w:hAnsi="Garamond" w:cs="Calibri"/>
          <w:b/>
          <w:bCs/>
          <w:color w:val="000000"/>
          <w:sz w:val="24"/>
          <w:szCs w:val="24"/>
        </w:rPr>
      </w:pPr>
      <w:r w:rsidRPr="00FA17F9">
        <w:rPr>
          <w:rFonts w:ascii="Garamond" w:hAnsi="Garamond" w:cs="Times New Roman"/>
          <w:color w:val="000000"/>
          <w:sz w:val="24"/>
          <w:szCs w:val="24"/>
        </w:rPr>
        <w:t xml:space="preserve">Njësia “Zyra </w:t>
      </w:r>
      <w:r w:rsidR="00222353" w:rsidRPr="00FA17F9">
        <w:rPr>
          <w:rFonts w:ascii="Garamond" w:hAnsi="Garamond" w:cs="Times New Roman"/>
          <w:color w:val="000000"/>
          <w:sz w:val="24"/>
          <w:szCs w:val="24"/>
        </w:rPr>
        <w:t xml:space="preserve">kompetente </w:t>
      </w:r>
      <w:r w:rsidRPr="00AC63FB">
        <w:rPr>
          <w:rFonts w:ascii="Garamond" w:hAnsi="Garamond" w:cs="Times New Roman"/>
          <w:i/>
          <w:iCs/>
          <w:color w:val="000000"/>
          <w:sz w:val="24"/>
          <w:szCs w:val="24"/>
        </w:rPr>
        <w:t>Broadband</w:t>
      </w:r>
      <w:r w:rsidRPr="00F134BA">
        <w:rPr>
          <w:rFonts w:ascii="Garamond" w:hAnsi="Garamond" w:cs="Times New Roman"/>
          <w:i/>
          <w:iCs/>
          <w:color w:val="000000"/>
          <w:sz w:val="24"/>
          <w:szCs w:val="24"/>
        </w:rPr>
        <w:t xml:space="preserve">” </w:t>
      </w:r>
      <w:r w:rsidRPr="00FA17F9">
        <w:rPr>
          <w:rFonts w:ascii="Garamond" w:hAnsi="Garamond" w:cs="Times New Roman"/>
          <w:color w:val="000000"/>
          <w:sz w:val="24"/>
          <w:szCs w:val="24"/>
        </w:rPr>
        <w:t xml:space="preserve">raporton çdo gjashtë muaj pranë ministrit përgjegjës për zbatimin e masave të përcaktuara në këtë </w:t>
      </w:r>
      <w:r w:rsidR="00F134BA" w:rsidRPr="00FA17F9">
        <w:rPr>
          <w:rFonts w:ascii="Garamond" w:hAnsi="Garamond" w:cs="Times New Roman"/>
          <w:color w:val="000000"/>
          <w:sz w:val="24"/>
          <w:szCs w:val="24"/>
        </w:rPr>
        <w:t>udhëzim</w:t>
      </w:r>
      <w:r w:rsidRPr="00FA17F9">
        <w:rPr>
          <w:rFonts w:ascii="Garamond" w:hAnsi="Garamond" w:cs="Times New Roman"/>
          <w:color w:val="000000"/>
          <w:sz w:val="24"/>
          <w:szCs w:val="24"/>
        </w:rPr>
        <w:t xml:space="preserve">. </w:t>
      </w:r>
    </w:p>
    <w:p w14:paraId="127A4F69" w14:textId="77777777" w:rsidR="00FA17F9" w:rsidRPr="00FA17F9" w:rsidRDefault="00FA17F9" w:rsidP="00FA17F9">
      <w:pPr>
        <w:tabs>
          <w:tab w:val="left" w:pos="0"/>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14:paraId="794532CD"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Cs/>
          <w:sz w:val="24"/>
          <w:szCs w:val="24"/>
        </w:rPr>
      </w:pPr>
      <w:r w:rsidRPr="00FA17F9">
        <w:rPr>
          <w:rFonts w:ascii="Garamond" w:hAnsi="Garamond" w:cs="Times New Roman"/>
          <w:bCs/>
          <w:color w:val="000000"/>
          <w:sz w:val="24"/>
          <w:szCs w:val="24"/>
        </w:rPr>
        <w:t>Neni 13</w:t>
      </w:r>
    </w:p>
    <w:p w14:paraId="6EBAE37F" w14:textId="77777777" w:rsidR="00FA17F9" w:rsidRPr="00FA17F9" w:rsidRDefault="00FA17F9" w:rsidP="00FA17F9">
      <w:pPr>
        <w:autoSpaceDE w:val="0"/>
        <w:autoSpaceDN w:val="0"/>
        <w:adjustRightInd w:val="0"/>
        <w:spacing w:after="0" w:line="240" w:lineRule="auto"/>
        <w:ind w:firstLine="284"/>
        <w:jc w:val="center"/>
        <w:rPr>
          <w:rFonts w:ascii="Garamond" w:hAnsi="Garamond" w:cs="Times New Roman"/>
          <w:b/>
          <w:bCs/>
          <w:sz w:val="24"/>
          <w:szCs w:val="24"/>
        </w:rPr>
      </w:pPr>
      <w:r w:rsidRPr="00FA17F9">
        <w:rPr>
          <w:rFonts w:ascii="Garamond" w:hAnsi="Garamond" w:cs="Times New Roman"/>
          <w:b/>
          <w:bCs/>
          <w:sz w:val="24"/>
          <w:szCs w:val="24"/>
        </w:rPr>
        <w:t>Hyrja në fuqi</w:t>
      </w:r>
    </w:p>
    <w:p w14:paraId="42C8D251" w14:textId="77777777" w:rsidR="00167DBA" w:rsidRDefault="00167DBA" w:rsidP="00FA17F9">
      <w:pPr>
        <w:autoSpaceDE w:val="0"/>
        <w:autoSpaceDN w:val="0"/>
        <w:adjustRightInd w:val="0"/>
        <w:spacing w:after="0" w:line="240" w:lineRule="auto"/>
        <w:ind w:firstLine="284"/>
        <w:rPr>
          <w:rFonts w:ascii="Garamond" w:hAnsi="Garamond" w:cs="Times New Roman"/>
          <w:sz w:val="24"/>
          <w:szCs w:val="24"/>
        </w:rPr>
      </w:pPr>
    </w:p>
    <w:p w14:paraId="12B67740" w14:textId="7837198C" w:rsidR="00FA17F9" w:rsidRPr="00FA17F9" w:rsidRDefault="00FA17F9" w:rsidP="00FA17F9">
      <w:pPr>
        <w:autoSpaceDE w:val="0"/>
        <w:autoSpaceDN w:val="0"/>
        <w:adjustRightInd w:val="0"/>
        <w:spacing w:after="0" w:line="240" w:lineRule="auto"/>
        <w:ind w:firstLine="284"/>
        <w:rPr>
          <w:rFonts w:ascii="Garamond" w:hAnsi="Garamond" w:cs="Times New Roman"/>
          <w:sz w:val="24"/>
          <w:szCs w:val="24"/>
        </w:rPr>
      </w:pPr>
      <w:r w:rsidRPr="00FA17F9">
        <w:rPr>
          <w:rFonts w:ascii="Garamond" w:hAnsi="Garamond" w:cs="Times New Roman"/>
          <w:sz w:val="24"/>
          <w:szCs w:val="24"/>
        </w:rPr>
        <w:t>Ky udhëzim hyn në fuqi</w:t>
      </w:r>
      <w:r w:rsidR="004162FA">
        <w:rPr>
          <w:rFonts w:ascii="Garamond" w:hAnsi="Garamond" w:cs="Times New Roman"/>
          <w:sz w:val="24"/>
          <w:szCs w:val="24"/>
        </w:rPr>
        <w:t xml:space="preserve"> </w:t>
      </w:r>
      <w:r w:rsidRPr="00FA17F9">
        <w:rPr>
          <w:rFonts w:ascii="Garamond" w:hAnsi="Garamond" w:cs="Times New Roman"/>
          <w:sz w:val="24"/>
          <w:szCs w:val="24"/>
        </w:rPr>
        <w:t>pas botimit në Fletoren Zyrtare.</w:t>
      </w:r>
      <w:bookmarkStart w:id="0" w:name="_GoBack"/>
      <w:bookmarkEnd w:id="0"/>
    </w:p>
    <w:p w14:paraId="61BF881B" w14:textId="0BD54B8E" w:rsidR="00CB21BC" w:rsidRPr="00FA17F9" w:rsidRDefault="00CB21BC" w:rsidP="00FA17F9">
      <w:pPr>
        <w:shd w:val="clear" w:color="auto" w:fill="FFFFFF"/>
        <w:spacing w:after="0" w:line="240" w:lineRule="auto"/>
        <w:ind w:firstLine="284"/>
        <w:jc w:val="both"/>
        <w:rPr>
          <w:rFonts w:ascii="Garamond" w:hAnsi="Garamond" w:cs="Times New Roman"/>
          <w:sz w:val="24"/>
          <w:szCs w:val="24"/>
        </w:rPr>
      </w:pPr>
    </w:p>
    <w:p w14:paraId="6BA16719" w14:textId="4BB0D945" w:rsidR="00797B29" w:rsidRPr="00FA17F9" w:rsidRDefault="002A6B7C" w:rsidP="00FA17F9">
      <w:pPr>
        <w:spacing w:after="0" w:line="240" w:lineRule="auto"/>
        <w:ind w:firstLine="284"/>
        <w:jc w:val="right"/>
        <w:rPr>
          <w:rFonts w:ascii="Garamond" w:hAnsi="Garamond" w:cs="Times New Roman"/>
          <w:sz w:val="24"/>
          <w:szCs w:val="24"/>
          <w:lang w:val="it-IT"/>
        </w:rPr>
      </w:pPr>
      <w:r w:rsidRPr="00FA17F9">
        <w:rPr>
          <w:rFonts w:ascii="Garamond" w:hAnsi="Garamond" w:cs="Times New Roman"/>
          <w:sz w:val="24"/>
          <w:szCs w:val="24"/>
          <w:lang w:val="it-IT"/>
        </w:rPr>
        <w:t>ZËVENDËSKRYEMINISTËR</w:t>
      </w:r>
      <w:r w:rsidR="001D41A7" w:rsidRPr="00FA17F9">
        <w:rPr>
          <w:rFonts w:ascii="Garamond" w:hAnsi="Garamond" w:cs="Times New Roman"/>
          <w:sz w:val="24"/>
          <w:szCs w:val="24"/>
          <w:lang w:val="it-IT"/>
        </w:rPr>
        <w:t xml:space="preserve"> </w:t>
      </w:r>
      <w:r w:rsidRPr="00FA17F9">
        <w:rPr>
          <w:rFonts w:ascii="Garamond" w:hAnsi="Garamond" w:cs="Times New Roman"/>
          <w:sz w:val="24"/>
          <w:szCs w:val="24"/>
          <w:lang w:val="it-IT"/>
        </w:rPr>
        <w:t>DHE</w:t>
      </w:r>
    </w:p>
    <w:p w14:paraId="29FD1801" w14:textId="19A9B987" w:rsidR="00797B29" w:rsidRPr="00FA17F9" w:rsidRDefault="002A6B7C" w:rsidP="00FA17F9">
      <w:pPr>
        <w:spacing w:after="0" w:line="240" w:lineRule="auto"/>
        <w:ind w:firstLine="284"/>
        <w:jc w:val="right"/>
        <w:rPr>
          <w:rFonts w:ascii="Garamond" w:hAnsi="Garamond" w:cs="Times New Roman"/>
          <w:sz w:val="24"/>
          <w:szCs w:val="24"/>
          <w:lang w:val="it-IT"/>
        </w:rPr>
      </w:pPr>
      <w:r w:rsidRPr="00FA17F9">
        <w:rPr>
          <w:rFonts w:ascii="Garamond" w:hAnsi="Garamond" w:cs="Times New Roman"/>
          <w:sz w:val="24"/>
          <w:szCs w:val="24"/>
          <w:lang w:val="it-IT"/>
        </w:rPr>
        <w:t>MINISTËR I INFRASTRUKTURËS DHE ENERGJISË</w:t>
      </w:r>
    </w:p>
    <w:p w14:paraId="142F97BE" w14:textId="77777777" w:rsidR="00797B29" w:rsidRPr="00FA17F9" w:rsidRDefault="00797B29" w:rsidP="00FA17F9">
      <w:pPr>
        <w:spacing w:after="0" w:line="240" w:lineRule="auto"/>
        <w:ind w:firstLine="284"/>
        <w:jc w:val="right"/>
        <w:rPr>
          <w:rFonts w:ascii="Garamond" w:hAnsi="Garamond" w:cs="Times New Roman"/>
          <w:b/>
          <w:sz w:val="24"/>
          <w:szCs w:val="24"/>
          <w:lang w:val="it-IT"/>
        </w:rPr>
      </w:pPr>
      <w:r w:rsidRPr="00FA17F9">
        <w:rPr>
          <w:rFonts w:ascii="Garamond" w:hAnsi="Garamond" w:cs="Times New Roman"/>
          <w:b/>
          <w:sz w:val="24"/>
          <w:szCs w:val="24"/>
          <w:lang w:val="it-IT"/>
        </w:rPr>
        <w:t>Belinda Balluku</w:t>
      </w:r>
    </w:p>
    <w:sectPr w:rsidR="00797B29" w:rsidRPr="00FA17F9" w:rsidSect="00B3101E">
      <w:pgSz w:w="11906" w:h="16838" w:code="9"/>
      <w:pgMar w:top="1418" w:right="1418" w:bottom="1170"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924D79" w14:textId="77777777" w:rsidR="0004401B" w:rsidRDefault="0004401B" w:rsidP="00B850A6">
      <w:pPr>
        <w:spacing w:after="0" w:line="240" w:lineRule="auto"/>
      </w:pPr>
      <w:r>
        <w:separator/>
      </w:r>
    </w:p>
  </w:endnote>
  <w:endnote w:type="continuationSeparator" w:id="0">
    <w:p w14:paraId="6F7AD4EA" w14:textId="77777777" w:rsidR="0004401B" w:rsidRDefault="0004401B" w:rsidP="00B850A6">
      <w:pPr>
        <w:spacing w:after="0" w:line="240" w:lineRule="auto"/>
      </w:pPr>
      <w:r>
        <w:continuationSeparator/>
      </w:r>
    </w:p>
  </w:endnote>
  <w:endnote w:type="continuationNotice" w:id="1">
    <w:p w14:paraId="7D060CD1" w14:textId="77777777" w:rsidR="0004401B" w:rsidRDefault="000440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A3630" w14:textId="77777777" w:rsidR="0004401B" w:rsidRDefault="0004401B" w:rsidP="00B850A6">
      <w:pPr>
        <w:spacing w:after="0" w:line="240" w:lineRule="auto"/>
      </w:pPr>
      <w:r>
        <w:separator/>
      </w:r>
    </w:p>
  </w:footnote>
  <w:footnote w:type="continuationSeparator" w:id="0">
    <w:p w14:paraId="257959E5" w14:textId="77777777" w:rsidR="0004401B" w:rsidRDefault="0004401B" w:rsidP="00B850A6">
      <w:pPr>
        <w:spacing w:after="0" w:line="240" w:lineRule="auto"/>
      </w:pPr>
      <w:r>
        <w:continuationSeparator/>
      </w:r>
    </w:p>
  </w:footnote>
  <w:footnote w:type="continuationNotice" w:id="1">
    <w:p w14:paraId="6055E0B7" w14:textId="77777777" w:rsidR="0004401B" w:rsidRDefault="0004401B">
      <w:pPr>
        <w:spacing w:after="0" w:line="240" w:lineRule="auto"/>
      </w:pPr>
    </w:p>
  </w:footnote>
  <w:footnote w:id="2">
    <w:p w14:paraId="1EDD59FF" w14:textId="39F4BDBD" w:rsidR="0004401B" w:rsidRPr="0086154D" w:rsidRDefault="0004401B" w:rsidP="00925B31">
      <w:pPr>
        <w:pStyle w:val="FootnoteText"/>
        <w:jc w:val="both"/>
        <w:rPr>
          <w:rFonts w:ascii="Garamond" w:hAnsi="Garamond"/>
          <w:lang w:val="sq-AL"/>
        </w:rPr>
      </w:pPr>
      <w:r w:rsidRPr="0086154D">
        <w:rPr>
          <w:rStyle w:val="FootnoteReference"/>
          <w:rFonts w:ascii="Garamond" w:hAnsi="Garamond"/>
          <w:lang w:val="sq-AL"/>
        </w:rPr>
        <w:footnoteRef/>
      </w:r>
      <w:r w:rsidRPr="0086154D">
        <w:rPr>
          <w:rFonts w:ascii="Garamond" w:hAnsi="Garamond"/>
          <w:lang w:val="sq-AL"/>
        </w:rPr>
        <w:t xml:space="preserve"> </w:t>
      </w:r>
      <w:r w:rsidRPr="0086154D">
        <w:rPr>
          <w:rFonts w:ascii="Garamond" w:hAnsi="Garamond" w:cs="Times New Roman"/>
          <w:i/>
          <w:color w:val="000000" w:themeColor="text1"/>
          <w:lang w:val="sq-AL"/>
        </w:rPr>
        <w:t xml:space="preserve">Ky udhëzim është i harmonizuar pjesërisht me </w:t>
      </w:r>
      <w:r w:rsidR="00447E33" w:rsidRPr="0086154D">
        <w:rPr>
          <w:rFonts w:ascii="Garamond" w:hAnsi="Garamond" w:cs="Times New Roman"/>
          <w:i/>
          <w:color w:val="000000" w:themeColor="text1"/>
          <w:lang w:val="sq-AL"/>
        </w:rPr>
        <w:t xml:space="preserve">rekomandimin </w:t>
      </w:r>
      <w:r w:rsidRPr="0086154D">
        <w:rPr>
          <w:rFonts w:ascii="Garamond" w:hAnsi="Garamond" w:cs="Times New Roman"/>
          <w:i/>
          <w:color w:val="000000" w:themeColor="text1"/>
          <w:lang w:val="sq-AL"/>
        </w:rPr>
        <w:t>e Komisionit (BE) 2020/1307</w:t>
      </w:r>
      <w:r w:rsidR="00447E33">
        <w:rPr>
          <w:rFonts w:ascii="Garamond" w:hAnsi="Garamond" w:cs="Times New Roman"/>
          <w:i/>
          <w:color w:val="000000" w:themeColor="text1"/>
          <w:lang w:val="sq-AL"/>
        </w:rPr>
        <w:t>,</w:t>
      </w:r>
      <w:r w:rsidRPr="0086154D">
        <w:rPr>
          <w:rFonts w:ascii="Garamond" w:hAnsi="Garamond" w:cs="Times New Roman"/>
          <w:i/>
          <w:color w:val="000000" w:themeColor="text1"/>
          <w:lang w:val="sq-AL"/>
        </w:rPr>
        <w:t xml:space="preserve"> </w:t>
      </w:r>
      <w:r w:rsidR="00447E33">
        <w:rPr>
          <w:rFonts w:ascii="Garamond" w:hAnsi="Garamond" w:cs="Times New Roman"/>
          <w:i/>
          <w:color w:val="000000" w:themeColor="text1"/>
          <w:lang w:val="sq-AL"/>
        </w:rPr>
        <w:t>të</w:t>
      </w:r>
      <w:r w:rsidRPr="0086154D">
        <w:rPr>
          <w:rFonts w:ascii="Garamond" w:hAnsi="Garamond" w:cs="Times New Roman"/>
          <w:i/>
          <w:color w:val="000000" w:themeColor="text1"/>
          <w:lang w:val="sq-AL"/>
        </w:rPr>
        <w:t xml:space="preserve"> datës 18 shtator 2020</w:t>
      </w:r>
      <w:r w:rsidR="0086154D" w:rsidRPr="0086154D">
        <w:rPr>
          <w:rFonts w:ascii="Garamond" w:hAnsi="Garamond" w:cs="Times New Roman"/>
          <w:i/>
          <w:color w:val="000000" w:themeColor="text1"/>
          <w:lang w:val="sq-AL"/>
        </w:rPr>
        <w:t>,</w:t>
      </w:r>
      <w:r w:rsidRPr="0086154D">
        <w:rPr>
          <w:rFonts w:ascii="Garamond" w:hAnsi="Garamond" w:cs="Times New Roman"/>
          <w:i/>
          <w:color w:val="000000" w:themeColor="text1"/>
          <w:lang w:val="sq-AL"/>
        </w:rPr>
        <w:t xml:space="preserve"> “Mbi një Toolbox të përbashkët të Bashkimit për reduktimin e kostos së vendosjes së rrjeteve me kapacitet shumë të lartë dhe sigurimin e aksesit në kohë dhe miqësore me investimet në spektrin radio 5G, për të nxitur lidhjen në mbështetje të rimëkëmbjes ekonomike nga Kriza COVID-19 në Union.</w:t>
      </w:r>
    </w:p>
  </w:footnote>
  <w:footnote w:id="3">
    <w:p w14:paraId="3A79C318" w14:textId="002BC8F7" w:rsidR="0004401B" w:rsidRPr="0086154D" w:rsidRDefault="0004401B">
      <w:pPr>
        <w:pStyle w:val="FootnoteText"/>
        <w:rPr>
          <w:rFonts w:ascii="Garamond" w:hAnsi="Garamond"/>
          <w:lang w:val="sq-AL"/>
        </w:rPr>
      </w:pPr>
      <w:r w:rsidRPr="0086154D">
        <w:rPr>
          <w:rStyle w:val="FootnoteReference"/>
          <w:rFonts w:ascii="Garamond" w:hAnsi="Garamond"/>
          <w:lang w:val="sq-AL"/>
        </w:rPr>
        <w:footnoteRef/>
      </w:r>
      <w:r w:rsidRPr="0086154D">
        <w:rPr>
          <w:rFonts w:ascii="Garamond" w:hAnsi="Garamond"/>
          <w:lang w:val="sq-AL"/>
        </w:rPr>
        <w:t xml:space="preserve"> </w:t>
      </w:r>
      <w:r w:rsidRPr="0086154D">
        <w:rPr>
          <w:rFonts w:ascii="Garamond" w:eastAsia="MS Mincho" w:hAnsi="Garamond" w:cs="Times New Roman"/>
          <w:lang w:val="sq-AL" w:eastAsia="en-US"/>
        </w:rPr>
        <w:t xml:space="preserve">Shih në veçanti </w:t>
      </w:r>
      <w:r w:rsidR="00B3101E" w:rsidRPr="0086154D">
        <w:rPr>
          <w:rFonts w:ascii="Garamond" w:eastAsia="MS Mincho" w:hAnsi="Garamond" w:cs="Times New Roman"/>
          <w:lang w:val="sq-AL" w:eastAsia="en-US"/>
        </w:rPr>
        <w:t xml:space="preserve">komunikimet </w:t>
      </w:r>
      <w:r w:rsidRPr="0086154D">
        <w:rPr>
          <w:rFonts w:ascii="Garamond" w:eastAsia="MS Mincho" w:hAnsi="Garamond" w:cs="Times New Roman"/>
          <w:lang w:val="sq-AL" w:eastAsia="en-US"/>
        </w:rPr>
        <w:t>e Komisionit COM(2016) 587 dhe COM(2020) 67</w:t>
      </w:r>
      <w:r w:rsidR="00F134BA">
        <w:rPr>
          <w:rFonts w:ascii="Garamond" w:eastAsia="MS Mincho" w:hAnsi="Garamond" w:cs="Times New Roman"/>
          <w:lang w:val="sq-AL" w:eastAsia="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C2A6C"/>
    <w:multiLevelType w:val="hybridMultilevel"/>
    <w:tmpl w:val="4E8A999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8DF6563"/>
    <w:multiLevelType w:val="hybridMultilevel"/>
    <w:tmpl w:val="1BB68FE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7">
      <w:start w:val="1"/>
      <w:numFmt w:val="lowerLetter"/>
      <w:lvlText w:val="%3)"/>
      <w:lvlJc w:val="left"/>
      <w:pPr>
        <w:ind w:left="270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593D1A"/>
    <w:multiLevelType w:val="hybridMultilevel"/>
    <w:tmpl w:val="4F64149E"/>
    <w:lvl w:ilvl="0" w:tplc="C3BA3268">
      <w:start w:val="7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21ED30CC"/>
    <w:multiLevelType w:val="multilevel"/>
    <w:tmpl w:val="5B60E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F921C5"/>
    <w:multiLevelType w:val="hybridMultilevel"/>
    <w:tmpl w:val="358CAA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5F280C"/>
    <w:multiLevelType w:val="hybridMultilevel"/>
    <w:tmpl w:val="2F4E1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8C27BB"/>
    <w:multiLevelType w:val="hybridMultilevel"/>
    <w:tmpl w:val="8DCA187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BA50A5"/>
    <w:multiLevelType w:val="hybridMultilevel"/>
    <w:tmpl w:val="4BDA5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0145F5"/>
    <w:multiLevelType w:val="hybridMultilevel"/>
    <w:tmpl w:val="3014DDCE"/>
    <w:lvl w:ilvl="0" w:tplc="3012AACA">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CE46F2AC">
      <w:start w:val="1"/>
      <w:numFmt w:val="lowerLetter"/>
      <w:lvlText w:val="(%3)"/>
      <w:lvlJc w:val="left"/>
      <w:pPr>
        <w:ind w:left="2370" w:hanging="39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722652"/>
    <w:multiLevelType w:val="hybridMultilevel"/>
    <w:tmpl w:val="B442FAD0"/>
    <w:lvl w:ilvl="0" w:tplc="47B2D79A">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544BFC"/>
    <w:multiLevelType w:val="hybridMultilevel"/>
    <w:tmpl w:val="FAAC44EA"/>
    <w:lvl w:ilvl="0" w:tplc="E6B89C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E807B3"/>
    <w:multiLevelType w:val="hybridMultilevel"/>
    <w:tmpl w:val="1F72A09E"/>
    <w:lvl w:ilvl="0" w:tplc="920A2EE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687934"/>
    <w:multiLevelType w:val="hybridMultilevel"/>
    <w:tmpl w:val="6812F82E"/>
    <w:lvl w:ilvl="0" w:tplc="38FEC5B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992289"/>
    <w:multiLevelType w:val="hybridMultilevel"/>
    <w:tmpl w:val="EC66B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DC4595"/>
    <w:multiLevelType w:val="hybridMultilevel"/>
    <w:tmpl w:val="4412C7F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762E1AE7"/>
    <w:multiLevelType w:val="hybridMultilevel"/>
    <w:tmpl w:val="E458B81E"/>
    <w:lvl w:ilvl="0" w:tplc="0409000F">
      <w:start w:val="1"/>
      <w:numFmt w:val="decimal"/>
      <w:lvlText w:val="%1."/>
      <w:lvlJc w:val="left"/>
      <w:pPr>
        <w:ind w:left="1530" w:hanging="360"/>
      </w:p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16" w15:restartNumberingAfterBreak="0">
    <w:nsid w:val="767C57DE"/>
    <w:multiLevelType w:val="hybridMultilevel"/>
    <w:tmpl w:val="52249326"/>
    <w:lvl w:ilvl="0" w:tplc="BF78DF04">
      <w:numFmt w:val="bullet"/>
      <w:lvlText w:val="-"/>
      <w:lvlJc w:val="left"/>
      <w:pPr>
        <w:ind w:left="644" w:hanging="360"/>
      </w:pPr>
      <w:rPr>
        <w:rFonts w:ascii="Times New Roman" w:eastAsia="Times New Roman" w:hAnsi="Times New Roman" w:cs="Times New Roman"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17" w15:restartNumberingAfterBreak="0">
    <w:nsid w:val="78ED6908"/>
    <w:multiLevelType w:val="hybridMultilevel"/>
    <w:tmpl w:val="58CAA6E0"/>
    <w:lvl w:ilvl="0" w:tplc="920A2EE4">
      <w:start w:val="1"/>
      <w:numFmt w:val="decimal"/>
      <w:lvlText w:val="%1."/>
      <w:lvlJc w:val="left"/>
      <w:pPr>
        <w:ind w:left="720" w:hanging="360"/>
      </w:pPr>
      <w:rPr>
        <w:rFonts w:eastAsia="MS Mincho"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4"/>
  </w:num>
  <w:num w:numId="3">
    <w:abstractNumId w:val="2"/>
  </w:num>
  <w:num w:numId="4">
    <w:abstractNumId w:val="12"/>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4"/>
  </w:num>
  <w:num w:numId="8">
    <w:abstractNumId w:val="8"/>
  </w:num>
  <w:num w:numId="9">
    <w:abstractNumId w:val="6"/>
  </w:num>
  <w:num w:numId="10">
    <w:abstractNumId w:val="1"/>
  </w:num>
  <w:num w:numId="11">
    <w:abstractNumId w:val="13"/>
  </w:num>
  <w:num w:numId="12">
    <w:abstractNumId w:val="9"/>
  </w:num>
  <w:num w:numId="13">
    <w:abstractNumId w:val="0"/>
  </w:num>
  <w:num w:numId="14">
    <w:abstractNumId w:val="5"/>
  </w:num>
  <w:num w:numId="15">
    <w:abstractNumId w:val="7"/>
  </w:num>
  <w:num w:numId="16">
    <w:abstractNumId w:val="17"/>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944"/>
    <w:rsid w:val="00000F92"/>
    <w:rsid w:val="000150E9"/>
    <w:rsid w:val="00015A0F"/>
    <w:rsid w:val="000210D8"/>
    <w:rsid w:val="00021311"/>
    <w:rsid w:val="00023AA9"/>
    <w:rsid w:val="0004401B"/>
    <w:rsid w:val="00067463"/>
    <w:rsid w:val="000728DB"/>
    <w:rsid w:val="0007386D"/>
    <w:rsid w:val="00073C22"/>
    <w:rsid w:val="00073E25"/>
    <w:rsid w:val="00073F01"/>
    <w:rsid w:val="000742D4"/>
    <w:rsid w:val="00082A43"/>
    <w:rsid w:val="00086389"/>
    <w:rsid w:val="00092A03"/>
    <w:rsid w:val="00096C43"/>
    <w:rsid w:val="000D2C25"/>
    <w:rsid w:val="000D3888"/>
    <w:rsid w:val="000D38FE"/>
    <w:rsid w:val="000D5E39"/>
    <w:rsid w:val="000D7052"/>
    <w:rsid w:val="000F01D5"/>
    <w:rsid w:val="000F151E"/>
    <w:rsid w:val="000F665A"/>
    <w:rsid w:val="00111377"/>
    <w:rsid w:val="00114E5E"/>
    <w:rsid w:val="0012552D"/>
    <w:rsid w:val="00126A5A"/>
    <w:rsid w:val="00127315"/>
    <w:rsid w:val="0013419D"/>
    <w:rsid w:val="00137413"/>
    <w:rsid w:val="00137873"/>
    <w:rsid w:val="0014156A"/>
    <w:rsid w:val="0015125E"/>
    <w:rsid w:val="00153EC6"/>
    <w:rsid w:val="0015425D"/>
    <w:rsid w:val="00160CA9"/>
    <w:rsid w:val="001640F0"/>
    <w:rsid w:val="001642C9"/>
    <w:rsid w:val="001653E4"/>
    <w:rsid w:val="00167DBA"/>
    <w:rsid w:val="00172C4F"/>
    <w:rsid w:val="0017620E"/>
    <w:rsid w:val="00176327"/>
    <w:rsid w:val="00177E3D"/>
    <w:rsid w:val="00182161"/>
    <w:rsid w:val="001845D2"/>
    <w:rsid w:val="001861D5"/>
    <w:rsid w:val="00186256"/>
    <w:rsid w:val="00194417"/>
    <w:rsid w:val="001A0F54"/>
    <w:rsid w:val="001A1061"/>
    <w:rsid w:val="001A26F3"/>
    <w:rsid w:val="001A6F9A"/>
    <w:rsid w:val="001A7967"/>
    <w:rsid w:val="001B017A"/>
    <w:rsid w:val="001B5D4E"/>
    <w:rsid w:val="001C2853"/>
    <w:rsid w:val="001C2954"/>
    <w:rsid w:val="001C3D82"/>
    <w:rsid w:val="001C7383"/>
    <w:rsid w:val="001D41A7"/>
    <w:rsid w:val="001D53FB"/>
    <w:rsid w:val="001D55DE"/>
    <w:rsid w:val="001E3160"/>
    <w:rsid w:val="001F069A"/>
    <w:rsid w:val="00201623"/>
    <w:rsid w:val="00220945"/>
    <w:rsid w:val="00222353"/>
    <w:rsid w:val="00222D86"/>
    <w:rsid w:val="002263E3"/>
    <w:rsid w:val="002277E1"/>
    <w:rsid w:val="00235AB0"/>
    <w:rsid w:val="00251160"/>
    <w:rsid w:val="00255F3D"/>
    <w:rsid w:val="00256E4C"/>
    <w:rsid w:val="0025720B"/>
    <w:rsid w:val="00261430"/>
    <w:rsid w:val="0026369B"/>
    <w:rsid w:val="00273BFC"/>
    <w:rsid w:val="0027477B"/>
    <w:rsid w:val="002757F2"/>
    <w:rsid w:val="00277547"/>
    <w:rsid w:val="00277CF4"/>
    <w:rsid w:val="00287B12"/>
    <w:rsid w:val="0029387A"/>
    <w:rsid w:val="00295488"/>
    <w:rsid w:val="00297F0C"/>
    <w:rsid w:val="002A0775"/>
    <w:rsid w:val="002A1808"/>
    <w:rsid w:val="002A6B7C"/>
    <w:rsid w:val="002B0D65"/>
    <w:rsid w:val="002B10D2"/>
    <w:rsid w:val="002B2792"/>
    <w:rsid w:val="002B3458"/>
    <w:rsid w:val="002B7B91"/>
    <w:rsid w:val="002C7361"/>
    <w:rsid w:val="002D43F1"/>
    <w:rsid w:val="002D7F6C"/>
    <w:rsid w:val="002F0162"/>
    <w:rsid w:val="00300D17"/>
    <w:rsid w:val="00304715"/>
    <w:rsid w:val="00305122"/>
    <w:rsid w:val="00305796"/>
    <w:rsid w:val="003148F2"/>
    <w:rsid w:val="00317A31"/>
    <w:rsid w:val="00320825"/>
    <w:rsid w:val="00327737"/>
    <w:rsid w:val="00337986"/>
    <w:rsid w:val="003452F7"/>
    <w:rsid w:val="003464F9"/>
    <w:rsid w:val="00346C54"/>
    <w:rsid w:val="003601D8"/>
    <w:rsid w:val="00360256"/>
    <w:rsid w:val="00360EC8"/>
    <w:rsid w:val="003610B3"/>
    <w:rsid w:val="00362F70"/>
    <w:rsid w:val="00377F90"/>
    <w:rsid w:val="00385AB7"/>
    <w:rsid w:val="00386AE8"/>
    <w:rsid w:val="00390BEA"/>
    <w:rsid w:val="00396225"/>
    <w:rsid w:val="003A67DE"/>
    <w:rsid w:val="003B59D0"/>
    <w:rsid w:val="003B68A1"/>
    <w:rsid w:val="003C2376"/>
    <w:rsid w:val="003C2ECD"/>
    <w:rsid w:val="003C3BBC"/>
    <w:rsid w:val="003C6F7A"/>
    <w:rsid w:val="003E1D01"/>
    <w:rsid w:val="003F0C30"/>
    <w:rsid w:val="00412DC5"/>
    <w:rsid w:val="004162FA"/>
    <w:rsid w:val="0041661E"/>
    <w:rsid w:val="004248BD"/>
    <w:rsid w:val="00431EBE"/>
    <w:rsid w:val="00433D90"/>
    <w:rsid w:val="00447E33"/>
    <w:rsid w:val="00453D09"/>
    <w:rsid w:val="00462950"/>
    <w:rsid w:val="00465509"/>
    <w:rsid w:val="00467E2A"/>
    <w:rsid w:val="00472AD9"/>
    <w:rsid w:val="0047486D"/>
    <w:rsid w:val="00474FB9"/>
    <w:rsid w:val="0047532A"/>
    <w:rsid w:val="004763E0"/>
    <w:rsid w:val="004845D3"/>
    <w:rsid w:val="004A1750"/>
    <w:rsid w:val="004A2D77"/>
    <w:rsid w:val="004A7459"/>
    <w:rsid w:val="004C4121"/>
    <w:rsid w:val="004C5A8F"/>
    <w:rsid w:val="004C5C93"/>
    <w:rsid w:val="004D69D6"/>
    <w:rsid w:val="004E11BB"/>
    <w:rsid w:val="004E4BC2"/>
    <w:rsid w:val="004E618B"/>
    <w:rsid w:val="004F0A75"/>
    <w:rsid w:val="00502A2D"/>
    <w:rsid w:val="00510ABD"/>
    <w:rsid w:val="005306DE"/>
    <w:rsid w:val="00531C36"/>
    <w:rsid w:val="00537BCB"/>
    <w:rsid w:val="00540B17"/>
    <w:rsid w:val="005421D4"/>
    <w:rsid w:val="005521C0"/>
    <w:rsid w:val="005531DD"/>
    <w:rsid w:val="005626A4"/>
    <w:rsid w:val="0056450F"/>
    <w:rsid w:val="00572BB1"/>
    <w:rsid w:val="0057381E"/>
    <w:rsid w:val="00574056"/>
    <w:rsid w:val="00575076"/>
    <w:rsid w:val="005760E2"/>
    <w:rsid w:val="005765E3"/>
    <w:rsid w:val="00576B67"/>
    <w:rsid w:val="0058237B"/>
    <w:rsid w:val="00585E68"/>
    <w:rsid w:val="00586EC9"/>
    <w:rsid w:val="005901C0"/>
    <w:rsid w:val="005A41C2"/>
    <w:rsid w:val="005A642B"/>
    <w:rsid w:val="005A73BF"/>
    <w:rsid w:val="005B1275"/>
    <w:rsid w:val="005B2292"/>
    <w:rsid w:val="005C08F5"/>
    <w:rsid w:val="005E43E5"/>
    <w:rsid w:val="005E55F0"/>
    <w:rsid w:val="005F42B3"/>
    <w:rsid w:val="006135E3"/>
    <w:rsid w:val="00614458"/>
    <w:rsid w:val="006155CD"/>
    <w:rsid w:val="00620975"/>
    <w:rsid w:val="006339BF"/>
    <w:rsid w:val="00637335"/>
    <w:rsid w:val="00640D5B"/>
    <w:rsid w:val="00646DEA"/>
    <w:rsid w:val="006547AA"/>
    <w:rsid w:val="00654AE6"/>
    <w:rsid w:val="0065666A"/>
    <w:rsid w:val="0067781B"/>
    <w:rsid w:val="006816EB"/>
    <w:rsid w:val="00681DB6"/>
    <w:rsid w:val="00686FDA"/>
    <w:rsid w:val="006911B0"/>
    <w:rsid w:val="0069356A"/>
    <w:rsid w:val="006950FB"/>
    <w:rsid w:val="006959BC"/>
    <w:rsid w:val="006A47CB"/>
    <w:rsid w:val="006A55F5"/>
    <w:rsid w:val="006B05CB"/>
    <w:rsid w:val="006B119A"/>
    <w:rsid w:val="006B6DC5"/>
    <w:rsid w:val="006C0D8C"/>
    <w:rsid w:val="006C2E74"/>
    <w:rsid w:val="006C476B"/>
    <w:rsid w:val="006D2E09"/>
    <w:rsid w:val="006F77CB"/>
    <w:rsid w:val="006F7C2F"/>
    <w:rsid w:val="00702C61"/>
    <w:rsid w:val="007168BC"/>
    <w:rsid w:val="00717AC5"/>
    <w:rsid w:val="0072068D"/>
    <w:rsid w:val="00725677"/>
    <w:rsid w:val="0072612F"/>
    <w:rsid w:val="0072737E"/>
    <w:rsid w:val="0073490B"/>
    <w:rsid w:val="007415CE"/>
    <w:rsid w:val="00741B20"/>
    <w:rsid w:val="00744038"/>
    <w:rsid w:val="00746EBD"/>
    <w:rsid w:val="00767570"/>
    <w:rsid w:val="0076769B"/>
    <w:rsid w:val="00774567"/>
    <w:rsid w:val="00775F59"/>
    <w:rsid w:val="007760F3"/>
    <w:rsid w:val="00781926"/>
    <w:rsid w:val="00793167"/>
    <w:rsid w:val="007941FA"/>
    <w:rsid w:val="007955DA"/>
    <w:rsid w:val="00797B29"/>
    <w:rsid w:val="007A0704"/>
    <w:rsid w:val="007A41C0"/>
    <w:rsid w:val="007A6B3C"/>
    <w:rsid w:val="007C09AE"/>
    <w:rsid w:val="007D59B0"/>
    <w:rsid w:val="007E018C"/>
    <w:rsid w:val="007E0AF3"/>
    <w:rsid w:val="007E6B09"/>
    <w:rsid w:val="00805A2C"/>
    <w:rsid w:val="008142D6"/>
    <w:rsid w:val="008169B0"/>
    <w:rsid w:val="00817EC5"/>
    <w:rsid w:val="00820697"/>
    <w:rsid w:val="00824651"/>
    <w:rsid w:val="0082665B"/>
    <w:rsid w:val="00843907"/>
    <w:rsid w:val="008442F6"/>
    <w:rsid w:val="00846BE6"/>
    <w:rsid w:val="008613E0"/>
    <w:rsid w:val="0086154D"/>
    <w:rsid w:val="00865A81"/>
    <w:rsid w:val="008674F0"/>
    <w:rsid w:val="0087666E"/>
    <w:rsid w:val="00885B86"/>
    <w:rsid w:val="00886E17"/>
    <w:rsid w:val="00887E37"/>
    <w:rsid w:val="00891817"/>
    <w:rsid w:val="008A210E"/>
    <w:rsid w:val="008A2324"/>
    <w:rsid w:val="008B3217"/>
    <w:rsid w:val="008C00A0"/>
    <w:rsid w:val="008C071E"/>
    <w:rsid w:val="008C3EEB"/>
    <w:rsid w:val="008D3DFF"/>
    <w:rsid w:val="008D5EA0"/>
    <w:rsid w:val="008D6011"/>
    <w:rsid w:val="008D7D72"/>
    <w:rsid w:val="008E1A83"/>
    <w:rsid w:val="008F6EF3"/>
    <w:rsid w:val="009066B3"/>
    <w:rsid w:val="00907764"/>
    <w:rsid w:val="00907F71"/>
    <w:rsid w:val="0091157A"/>
    <w:rsid w:val="00912EA5"/>
    <w:rsid w:val="00921D6B"/>
    <w:rsid w:val="00925B31"/>
    <w:rsid w:val="009379B7"/>
    <w:rsid w:val="00937E97"/>
    <w:rsid w:val="00944DB1"/>
    <w:rsid w:val="00945367"/>
    <w:rsid w:val="009623BB"/>
    <w:rsid w:val="00964375"/>
    <w:rsid w:val="009673F5"/>
    <w:rsid w:val="009721AC"/>
    <w:rsid w:val="009729A1"/>
    <w:rsid w:val="009761B0"/>
    <w:rsid w:val="009802F8"/>
    <w:rsid w:val="009805F6"/>
    <w:rsid w:val="009904C5"/>
    <w:rsid w:val="009932D7"/>
    <w:rsid w:val="00997A86"/>
    <w:rsid w:val="009A0EEA"/>
    <w:rsid w:val="009B1AAC"/>
    <w:rsid w:val="009B3330"/>
    <w:rsid w:val="009C344D"/>
    <w:rsid w:val="009D4456"/>
    <w:rsid w:val="009D4FE9"/>
    <w:rsid w:val="009D7CFE"/>
    <w:rsid w:val="009E753B"/>
    <w:rsid w:val="009F179D"/>
    <w:rsid w:val="00A056E1"/>
    <w:rsid w:val="00A20250"/>
    <w:rsid w:val="00A20A61"/>
    <w:rsid w:val="00A35ABE"/>
    <w:rsid w:val="00A37160"/>
    <w:rsid w:val="00A37690"/>
    <w:rsid w:val="00A41CA4"/>
    <w:rsid w:val="00A425F9"/>
    <w:rsid w:val="00A433FF"/>
    <w:rsid w:val="00A55666"/>
    <w:rsid w:val="00A55DB7"/>
    <w:rsid w:val="00A66D70"/>
    <w:rsid w:val="00A70C50"/>
    <w:rsid w:val="00A710F1"/>
    <w:rsid w:val="00A75655"/>
    <w:rsid w:val="00A833F8"/>
    <w:rsid w:val="00A843F3"/>
    <w:rsid w:val="00A92986"/>
    <w:rsid w:val="00A93AA4"/>
    <w:rsid w:val="00A9559A"/>
    <w:rsid w:val="00AA5223"/>
    <w:rsid w:val="00AA6791"/>
    <w:rsid w:val="00AB3C42"/>
    <w:rsid w:val="00AB4A99"/>
    <w:rsid w:val="00AC195D"/>
    <w:rsid w:val="00AC63FB"/>
    <w:rsid w:val="00AE4B03"/>
    <w:rsid w:val="00B0229B"/>
    <w:rsid w:val="00B1065B"/>
    <w:rsid w:val="00B149F5"/>
    <w:rsid w:val="00B1575D"/>
    <w:rsid w:val="00B15E1B"/>
    <w:rsid w:val="00B16FBB"/>
    <w:rsid w:val="00B2560C"/>
    <w:rsid w:val="00B3101E"/>
    <w:rsid w:val="00B31E20"/>
    <w:rsid w:val="00B341EC"/>
    <w:rsid w:val="00B357B5"/>
    <w:rsid w:val="00B406A3"/>
    <w:rsid w:val="00B43CD9"/>
    <w:rsid w:val="00B43DD1"/>
    <w:rsid w:val="00B45CC6"/>
    <w:rsid w:val="00B460BE"/>
    <w:rsid w:val="00B61EE1"/>
    <w:rsid w:val="00B65BB5"/>
    <w:rsid w:val="00B70984"/>
    <w:rsid w:val="00B72605"/>
    <w:rsid w:val="00B74C93"/>
    <w:rsid w:val="00B81624"/>
    <w:rsid w:val="00B82B2A"/>
    <w:rsid w:val="00B84BE4"/>
    <w:rsid w:val="00B850A6"/>
    <w:rsid w:val="00B90FE3"/>
    <w:rsid w:val="00B9660F"/>
    <w:rsid w:val="00B97FB2"/>
    <w:rsid w:val="00BA3EC6"/>
    <w:rsid w:val="00BA6016"/>
    <w:rsid w:val="00BA7C0E"/>
    <w:rsid w:val="00BB54A4"/>
    <w:rsid w:val="00BB739D"/>
    <w:rsid w:val="00BC09F7"/>
    <w:rsid w:val="00BC7256"/>
    <w:rsid w:val="00BD6E39"/>
    <w:rsid w:val="00BE05D9"/>
    <w:rsid w:val="00BF1348"/>
    <w:rsid w:val="00BF4FC8"/>
    <w:rsid w:val="00BF57B6"/>
    <w:rsid w:val="00C02428"/>
    <w:rsid w:val="00C07C1C"/>
    <w:rsid w:val="00C11C55"/>
    <w:rsid w:val="00C2005C"/>
    <w:rsid w:val="00C277B4"/>
    <w:rsid w:val="00C343E2"/>
    <w:rsid w:val="00C357C2"/>
    <w:rsid w:val="00C37228"/>
    <w:rsid w:val="00C57C1A"/>
    <w:rsid w:val="00C64444"/>
    <w:rsid w:val="00C71958"/>
    <w:rsid w:val="00C72003"/>
    <w:rsid w:val="00C72E01"/>
    <w:rsid w:val="00C81760"/>
    <w:rsid w:val="00C8263C"/>
    <w:rsid w:val="00C9383C"/>
    <w:rsid w:val="00C9618B"/>
    <w:rsid w:val="00CB21BC"/>
    <w:rsid w:val="00CB61CE"/>
    <w:rsid w:val="00CC6BEA"/>
    <w:rsid w:val="00CD3024"/>
    <w:rsid w:val="00CD3483"/>
    <w:rsid w:val="00CE1994"/>
    <w:rsid w:val="00CF1509"/>
    <w:rsid w:val="00CF20EB"/>
    <w:rsid w:val="00CF4EB0"/>
    <w:rsid w:val="00D027B9"/>
    <w:rsid w:val="00D0324C"/>
    <w:rsid w:val="00D05AAB"/>
    <w:rsid w:val="00D1091D"/>
    <w:rsid w:val="00D26074"/>
    <w:rsid w:val="00D34BEC"/>
    <w:rsid w:val="00D3704C"/>
    <w:rsid w:val="00D45277"/>
    <w:rsid w:val="00D545B3"/>
    <w:rsid w:val="00D56559"/>
    <w:rsid w:val="00D57B2C"/>
    <w:rsid w:val="00D61B61"/>
    <w:rsid w:val="00D66F88"/>
    <w:rsid w:val="00D715D7"/>
    <w:rsid w:val="00D772CB"/>
    <w:rsid w:val="00D80AFF"/>
    <w:rsid w:val="00D80B36"/>
    <w:rsid w:val="00D8674B"/>
    <w:rsid w:val="00D93D4C"/>
    <w:rsid w:val="00DA3559"/>
    <w:rsid w:val="00DB1C69"/>
    <w:rsid w:val="00DB3FD2"/>
    <w:rsid w:val="00DB4BB9"/>
    <w:rsid w:val="00DC12DA"/>
    <w:rsid w:val="00DC3697"/>
    <w:rsid w:val="00DC740C"/>
    <w:rsid w:val="00DD0ADF"/>
    <w:rsid w:val="00DD279D"/>
    <w:rsid w:val="00DD3C7A"/>
    <w:rsid w:val="00DD4D6A"/>
    <w:rsid w:val="00DE1934"/>
    <w:rsid w:val="00DE5558"/>
    <w:rsid w:val="00DF0C6B"/>
    <w:rsid w:val="00DF5766"/>
    <w:rsid w:val="00E11F19"/>
    <w:rsid w:val="00E15CC8"/>
    <w:rsid w:val="00E272B7"/>
    <w:rsid w:val="00E33C8B"/>
    <w:rsid w:val="00E37FEA"/>
    <w:rsid w:val="00E401F0"/>
    <w:rsid w:val="00E51F76"/>
    <w:rsid w:val="00E52D8A"/>
    <w:rsid w:val="00E62045"/>
    <w:rsid w:val="00E64010"/>
    <w:rsid w:val="00E775F6"/>
    <w:rsid w:val="00E81B7C"/>
    <w:rsid w:val="00E830A8"/>
    <w:rsid w:val="00E83F94"/>
    <w:rsid w:val="00E87C7B"/>
    <w:rsid w:val="00E97CB6"/>
    <w:rsid w:val="00EB1D6A"/>
    <w:rsid w:val="00EB496D"/>
    <w:rsid w:val="00EB6766"/>
    <w:rsid w:val="00EC0CF0"/>
    <w:rsid w:val="00EC32E2"/>
    <w:rsid w:val="00EC4F7A"/>
    <w:rsid w:val="00EC519D"/>
    <w:rsid w:val="00EE0BB2"/>
    <w:rsid w:val="00EF7D58"/>
    <w:rsid w:val="00F03389"/>
    <w:rsid w:val="00F038AA"/>
    <w:rsid w:val="00F07101"/>
    <w:rsid w:val="00F10A1F"/>
    <w:rsid w:val="00F134BA"/>
    <w:rsid w:val="00F25798"/>
    <w:rsid w:val="00F26635"/>
    <w:rsid w:val="00F35944"/>
    <w:rsid w:val="00F41667"/>
    <w:rsid w:val="00F431BE"/>
    <w:rsid w:val="00F44B6C"/>
    <w:rsid w:val="00F6575D"/>
    <w:rsid w:val="00F67156"/>
    <w:rsid w:val="00F7493A"/>
    <w:rsid w:val="00FA17F9"/>
    <w:rsid w:val="00FA4523"/>
    <w:rsid w:val="00FA74E4"/>
    <w:rsid w:val="00FB37EF"/>
    <w:rsid w:val="00FC1536"/>
    <w:rsid w:val="00FC1A8D"/>
    <w:rsid w:val="00FC488E"/>
    <w:rsid w:val="00FD56DA"/>
    <w:rsid w:val="00FD7B6D"/>
    <w:rsid w:val="00FE0B3D"/>
    <w:rsid w:val="00FF051A"/>
    <w:rsid w:val="00FF2E16"/>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88923"/>
  <w15:chartTrackingRefBased/>
  <w15:docId w15:val="{2338A7A2-6BCC-49BA-8405-776F4476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7361"/>
  </w:style>
  <w:style w:type="paragraph" w:styleId="Heading2">
    <w:name w:val="heading 2"/>
    <w:basedOn w:val="Normal"/>
    <w:next w:val="Normal"/>
    <w:link w:val="Heading2Char"/>
    <w:unhideWhenUsed/>
    <w:qFormat/>
    <w:rsid w:val="00177E3D"/>
    <w:pPr>
      <w:keepNext/>
      <w:tabs>
        <w:tab w:val="left" w:pos="2977"/>
      </w:tabs>
      <w:spacing w:after="0" w:line="240" w:lineRule="auto"/>
      <w:outlineLvl w:val="1"/>
    </w:pPr>
    <w:rPr>
      <w:rFonts w:ascii="Times New Roman" w:eastAsia="Times New Roman" w:hAnsi="Times New Roman" w:cs="Times New Roman"/>
      <w:b/>
      <w:sz w:val="24"/>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5944"/>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xcontentpasted0">
    <w:name w:val="x_contentpasted0"/>
    <w:basedOn w:val="DefaultParagraphFont"/>
    <w:rsid w:val="00EC519D"/>
  </w:style>
  <w:style w:type="character" w:styleId="CommentReference">
    <w:name w:val="annotation reference"/>
    <w:basedOn w:val="DefaultParagraphFont"/>
    <w:uiPriority w:val="99"/>
    <w:semiHidden/>
    <w:unhideWhenUsed/>
    <w:rsid w:val="00FC1A8D"/>
    <w:rPr>
      <w:sz w:val="16"/>
      <w:szCs w:val="16"/>
    </w:rPr>
  </w:style>
  <w:style w:type="paragraph" w:styleId="CommentText">
    <w:name w:val="annotation text"/>
    <w:basedOn w:val="Normal"/>
    <w:link w:val="CommentTextChar"/>
    <w:uiPriority w:val="99"/>
    <w:unhideWhenUsed/>
    <w:rsid w:val="00FC1A8D"/>
    <w:pPr>
      <w:spacing w:line="240" w:lineRule="auto"/>
    </w:pPr>
    <w:rPr>
      <w:sz w:val="20"/>
      <w:szCs w:val="20"/>
    </w:rPr>
  </w:style>
  <w:style w:type="character" w:customStyle="1" w:styleId="CommentTextChar">
    <w:name w:val="Comment Text Char"/>
    <w:basedOn w:val="DefaultParagraphFont"/>
    <w:link w:val="CommentText"/>
    <w:uiPriority w:val="99"/>
    <w:rsid w:val="00FC1A8D"/>
    <w:rPr>
      <w:sz w:val="20"/>
      <w:szCs w:val="20"/>
    </w:rPr>
  </w:style>
  <w:style w:type="paragraph" w:styleId="CommentSubject">
    <w:name w:val="annotation subject"/>
    <w:basedOn w:val="CommentText"/>
    <w:next w:val="CommentText"/>
    <w:link w:val="CommentSubjectChar"/>
    <w:uiPriority w:val="99"/>
    <w:semiHidden/>
    <w:unhideWhenUsed/>
    <w:rsid w:val="00FC1A8D"/>
    <w:rPr>
      <w:b/>
      <w:bCs/>
    </w:rPr>
  </w:style>
  <w:style w:type="character" w:customStyle="1" w:styleId="CommentSubjectChar">
    <w:name w:val="Comment Subject Char"/>
    <w:basedOn w:val="CommentTextChar"/>
    <w:link w:val="CommentSubject"/>
    <w:uiPriority w:val="99"/>
    <w:semiHidden/>
    <w:rsid w:val="00FC1A8D"/>
    <w:rPr>
      <w:b/>
      <w:bCs/>
      <w:sz w:val="20"/>
      <w:szCs w:val="20"/>
    </w:rPr>
  </w:style>
  <w:style w:type="paragraph" w:styleId="BalloonText">
    <w:name w:val="Balloon Text"/>
    <w:basedOn w:val="Normal"/>
    <w:link w:val="BalloonTextChar"/>
    <w:uiPriority w:val="99"/>
    <w:semiHidden/>
    <w:unhideWhenUsed/>
    <w:rsid w:val="00FC1A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A8D"/>
    <w:rPr>
      <w:rFonts w:ascii="Segoe UI" w:hAnsi="Segoe UI" w:cs="Segoe UI"/>
      <w:sz w:val="18"/>
      <w:szCs w:val="18"/>
    </w:rPr>
  </w:style>
  <w:style w:type="paragraph" w:styleId="HTMLPreformatted">
    <w:name w:val="HTML Preformatted"/>
    <w:basedOn w:val="Normal"/>
    <w:link w:val="HTMLPreformattedChar"/>
    <w:uiPriority w:val="99"/>
    <w:semiHidden/>
    <w:unhideWhenUsed/>
    <w:rsid w:val="00805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q-AL"/>
    </w:rPr>
  </w:style>
  <w:style w:type="character" w:customStyle="1" w:styleId="HTMLPreformattedChar">
    <w:name w:val="HTML Preformatted Char"/>
    <w:basedOn w:val="DefaultParagraphFont"/>
    <w:link w:val="HTMLPreformatted"/>
    <w:uiPriority w:val="99"/>
    <w:semiHidden/>
    <w:rsid w:val="00805A2C"/>
    <w:rPr>
      <w:rFonts w:ascii="Courier New" w:eastAsia="Times New Roman" w:hAnsi="Courier New" w:cs="Courier New"/>
      <w:sz w:val="20"/>
      <w:szCs w:val="20"/>
      <w:lang w:eastAsia="sq-AL"/>
    </w:rPr>
  </w:style>
  <w:style w:type="character" w:customStyle="1" w:styleId="y2iqfc">
    <w:name w:val="y2iqfc"/>
    <w:basedOn w:val="DefaultParagraphFont"/>
    <w:rsid w:val="00805A2C"/>
  </w:style>
  <w:style w:type="paragraph" w:styleId="NoSpacing">
    <w:name w:val="No Spacing"/>
    <w:link w:val="NoSpacingChar"/>
    <w:uiPriority w:val="1"/>
    <w:qFormat/>
    <w:rsid w:val="003148F2"/>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link w:val="NoSpacing"/>
    <w:uiPriority w:val="1"/>
    <w:rsid w:val="003148F2"/>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3148F2"/>
    <w:pPr>
      <w:spacing w:after="0" w:line="240" w:lineRule="auto"/>
    </w:pPr>
    <w:rPr>
      <w:rFonts w:ascii="Calibri" w:eastAsia="Calibri" w:hAnsi="Calibri" w:cs="Times New Roman"/>
      <w:szCs w:val="21"/>
      <w:lang w:val="en-US"/>
    </w:rPr>
  </w:style>
  <w:style w:type="character" w:customStyle="1" w:styleId="PlainTextChar">
    <w:name w:val="Plain Text Char"/>
    <w:basedOn w:val="DefaultParagraphFont"/>
    <w:link w:val="PlainText"/>
    <w:uiPriority w:val="99"/>
    <w:rsid w:val="003148F2"/>
    <w:rPr>
      <w:rFonts w:ascii="Calibri" w:eastAsia="Calibri" w:hAnsi="Calibri" w:cs="Times New Roman"/>
      <w:szCs w:val="21"/>
      <w:lang w:val="en-US"/>
    </w:rPr>
  </w:style>
  <w:style w:type="paragraph" w:styleId="ListParagraph">
    <w:name w:val="List Paragraph"/>
    <w:basedOn w:val="Normal"/>
    <w:link w:val="ListParagraphChar"/>
    <w:uiPriority w:val="34"/>
    <w:qFormat/>
    <w:rsid w:val="00746EBD"/>
    <w:pPr>
      <w:ind w:left="720"/>
      <w:contextualSpacing/>
    </w:pPr>
  </w:style>
  <w:style w:type="character" w:styleId="Hyperlink">
    <w:name w:val="Hyperlink"/>
    <w:basedOn w:val="DefaultParagraphFont"/>
    <w:uiPriority w:val="99"/>
    <w:unhideWhenUsed/>
    <w:rsid w:val="00E37FEA"/>
    <w:rPr>
      <w:color w:val="0563C1" w:themeColor="hyperlink"/>
      <w:u w:val="single"/>
    </w:rPr>
  </w:style>
  <w:style w:type="paragraph" w:customStyle="1" w:styleId="indicator-full-title">
    <w:name w:val="indicator-full-title"/>
    <w:basedOn w:val="Normal"/>
    <w:rsid w:val="00A425F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B85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0A6"/>
  </w:style>
  <w:style w:type="paragraph" w:styleId="Footer">
    <w:name w:val="footer"/>
    <w:basedOn w:val="Normal"/>
    <w:link w:val="FooterChar"/>
    <w:unhideWhenUsed/>
    <w:rsid w:val="00B850A6"/>
    <w:pPr>
      <w:tabs>
        <w:tab w:val="center" w:pos="4680"/>
        <w:tab w:val="right" w:pos="9360"/>
      </w:tabs>
      <w:spacing w:after="0" w:line="240" w:lineRule="auto"/>
    </w:pPr>
  </w:style>
  <w:style w:type="character" w:customStyle="1" w:styleId="FooterChar">
    <w:name w:val="Footer Char"/>
    <w:basedOn w:val="DefaultParagraphFont"/>
    <w:link w:val="Footer"/>
    <w:rsid w:val="00B850A6"/>
  </w:style>
  <w:style w:type="character" w:customStyle="1" w:styleId="Heading2Char">
    <w:name w:val="Heading 2 Char"/>
    <w:basedOn w:val="DefaultParagraphFont"/>
    <w:link w:val="Heading2"/>
    <w:rsid w:val="00177E3D"/>
    <w:rPr>
      <w:rFonts w:ascii="Times New Roman" w:eastAsia="Times New Roman" w:hAnsi="Times New Roman" w:cs="Times New Roman"/>
      <w:b/>
      <w:sz w:val="24"/>
      <w:szCs w:val="20"/>
      <w:u w:val="single"/>
      <w:lang w:val="en-US"/>
    </w:rPr>
  </w:style>
  <w:style w:type="table" w:styleId="TableGrid">
    <w:name w:val="Table Grid"/>
    <w:basedOn w:val="TableNormal"/>
    <w:uiPriority w:val="39"/>
    <w:rsid w:val="00C82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797B29"/>
    <w:pPr>
      <w:spacing w:after="0" w:line="240" w:lineRule="auto"/>
    </w:pPr>
    <w:rPr>
      <w:rFonts w:eastAsiaTheme="minorEastAsia"/>
      <w:sz w:val="20"/>
      <w:szCs w:val="20"/>
      <w:lang w:val="en-GB" w:eastAsia="en-GB"/>
    </w:rPr>
  </w:style>
  <w:style w:type="character" w:customStyle="1" w:styleId="FootnoteTextChar">
    <w:name w:val="Footnote Text Char"/>
    <w:basedOn w:val="DefaultParagraphFont"/>
    <w:link w:val="FootnoteText"/>
    <w:uiPriority w:val="99"/>
    <w:semiHidden/>
    <w:rsid w:val="00797B29"/>
    <w:rPr>
      <w:rFonts w:eastAsiaTheme="minorEastAsia"/>
      <w:sz w:val="20"/>
      <w:szCs w:val="20"/>
      <w:lang w:val="en-GB" w:eastAsia="en-GB"/>
    </w:rPr>
  </w:style>
  <w:style w:type="character" w:styleId="FootnoteReference">
    <w:name w:val="footnote reference"/>
    <w:basedOn w:val="DefaultParagraphFont"/>
    <w:uiPriority w:val="99"/>
    <w:semiHidden/>
    <w:unhideWhenUsed/>
    <w:rsid w:val="00797B29"/>
    <w:rPr>
      <w:vertAlign w:val="superscript"/>
    </w:rPr>
  </w:style>
  <w:style w:type="character" w:customStyle="1" w:styleId="ListParagraphChar">
    <w:name w:val="List Paragraph Char"/>
    <w:link w:val="ListParagraph"/>
    <w:uiPriority w:val="34"/>
    <w:locked/>
    <w:rsid w:val="00797B29"/>
  </w:style>
  <w:style w:type="paragraph" w:styleId="Revision">
    <w:name w:val="Revision"/>
    <w:hidden/>
    <w:uiPriority w:val="99"/>
    <w:semiHidden/>
    <w:rsid w:val="005738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34138">
      <w:bodyDiv w:val="1"/>
      <w:marLeft w:val="0"/>
      <w:marRight w:val="0"/>
      <w:marTop w:val="0"/>
      <w:marBottom w:val="0"/>
      <w:divBdr>
        <w:top w:val="none" w:sz="0" w:space="0" w:color="auto"/>
        <w:left w:val="none" w:sz="0" w:space="0" w:color="auto"/>
        <w:bottom w:val="none" w:sz="0" w:space="0" w:color="auto"/>
        <w:right w:val="none" w:sz="0" w:space="0" w:color="auto"/>
      </w:divBdr>
    </w:div>
    <w:div w:id="83571294">
      <w:bodyDiv w:val="1"/>
      <w:marLeft w:val="0"/>
      <w:marRight w:val="0"/>
      <w:marTop w:val="0"/>
      <w:marBottom w:val="0"/>
      <w:divBdr>
        <w:top w:val="none" w:sz="0" w:space="0" w:color="auto"/>
        <w:left w:val="none" w:sz="0" w:space="0" w:color="auto"/>
        <w:bottom w:val="none" w:sz="0" w:space="0" w:color="auto"/>
        <w:right w:val="none" w:sz="0" w:space="0" w:color="auto"/>
      </w:divBdr>
    </w:div>
    <w:div w:id="114909891">
      <w:bodyDiv w:val="1"/>
      <w:marLeft w:val="0"/>
      <w:marRight w:val="0"/>
      <w:marTop w:val="0"/>
      <w:marBottom w:val="0"/>
      <w:divBdr>
        <w:top w:val="none" w:sz="0" w:space="0" w:color="auto"/>
        <w:left w:val="none" w:sz="0" w:space="0" w:color="auto"/>
        <w:bottom w:val="none" w:sz="0" w:space="0" w:color="auto"/>
        <w:right w:val="none" w:sz="0" w:space="0" w:color="auto"/>
      </w:divBdr>
      <w:divsChild>
        <w:div w:id="370885794">
          <w:marLeft w:val="0"/>
          <w:marRight w:val="0"/>
          <w:marTop w:val="0"/>
          <w:marBottom w:val="0"/>
          <w:divBdr>
            <w:top w:val="none" w:sz="0" w:space="0" w:color="auto"/>
            <w:left w:val="none" w:sz="0" w:space="0" w:color="auto"/>
            <w:bottom w:val="none" w:sz="0" w:space="0" w:color="auto"/>
            <w:right w:val="none" w:sz="0" w:space="0" w:color="auto"/>
          </w:divBdr>
        </w:div>
      </w:divsChild>
    </w:div>
    <w:div w:id="161433137">
      <w:bodyDiv w:val="1"/>
      <w:marLeft w:val="0"/>
      <w:marRight w:val="0"/>
      <w:marTop w:val="0"/>
      <w:marBottom w:val="0"/>
      <w:divBdr>
        <w:top w:val="none" w:sz="0" w:space="0" w:color="auto"/>
        <w:left w:val="none" w:sz="0" w:space="0" w:color="auto"/>
        <w:bottom w:val="none" w:sz="0" w:space="0" w:color="auto"/>
        <w:right w:val="none" w:sz="0" w:space="0" w:color="auto"/>
      </w:divBdr>
    </w:div>
    <w:div w:id="214658788">
      <w:bodyDiv w:val="1"/>
      <w:marLeft w:val="0"/>
      <w:marRight w:val="0"/>
      <w:marTop w:val="0"/>
      <w:marBottom w:val="0"/>
      <w:divBdr>
        <w:top w:val="none" w:sz="0" w:space="0" w:color="auto"/>
        <w:left w:val="none" w:sz="0" w:space="0" w:color="auto"/>
        <w:bottom w:val="none" w:sz="0" w:space="0" w:color="auto"/>
        <w:right w:val="none" w:sz="0" w:space="0" w:color="auto"/>
      </w:divBdr>
    </w:div>
    <w:div w:id="216550619">
      <w:bodyDiv w:val="1"/>
      <w:marLeft w:val="0"/>
      <w:marRight w:val="0"/>
      <w:marTop w:val="0"/>
      <w:marBottom w:val="0"/>
      <w:divBdr>
        <w:top w:val="none" w:sz="0" w:space="0" w:color="auto"/>
        <w:left w:val="none" w:sz="0" w:space="0" w:color="auto"/>
        <w:bottom w:val="none" w:sz="0" w:space="0" w:color="auto"/>
        <w:right w:val="none" w:sz="0" w:space="0" w:color="auto"/>
      </w:divBdr>
    </w:div>
    <w:div w:id="294456942">
      <w:bodyDiv w:val="1"/>
      <w:marLeft w:val="0"/>
      <w:marRight w:val="0"/>
      <w:marTop w:val="0"/>
      <w:marBottom w:val="0"/>
      <w:divBdr>
        <w:top w:val="none" w:sz="0" w:space="0" w:color="auto"/>
        <w:left w:val="none" w:sz="0" w:space="0" w:color="auto"/>
        <w:bottom w:val="none" w:sz="0" w:space="0" w:color="auto"/>
        <w:right w:val="none" w:sz="0" w:space="0" w:color="auto"/>
      </w:divBdr>
    </w:div>
    <w:div w:id="338853594">
      <w:bodyDiv w:val="1"/>
      <w:marLeft w:val="0"/>
      <w:marRight w:val="0"/>
      <w:marTop w:val="0"/>
      <w:marBottom w:val="0"/>
      <w:divBdr>
        <w:top w:val="none" w:sz="0" w:space="0" w:color="auto"/>
        <w:left w:val="none" w:sz="0" w:space="0" w:color="auto"/>
        <w:bottom w:val="none" w:sz="0" w:space="0" w:color="auto"/>
        <w:right w:val="none" w:sz="0" w:space="0" w:color="auto"/>
      </w:divBdr>
      <w:divsChild>
        <w:div w:id="941570416">
          <w:marLeft w:val="0"/>
          <w:marRight w:val="0"/>
          <w:marTop w:val="0"/>
          <w:marBottom w:val="0"/>
          <w:divBdr>
            <w:top w:val="none" w:sz="0" w:space="0" w:color="auto"/>
            <w:left w:val="none" w:sz="0" w:space="0" w:color="auto"/>
            <w:bottom w:val="none" w:sz="0" w:space="0" w:color="auto"/>
            <w:right w:val="none" w:sz="0" w:space="0" w:color="auto"/>
          </w:divBdr>
        </w:div>
      </w:divsChild>
    </w:div>
    <w:div w:id="433402667">
      <w:bodyDiv w:val="1"/>
      <w:marLeft w:val="0"/>
      <w:marRight w:val="0"/>
      <w:marTop w:val="0"/>
      <w:marBottom w:val="0"/>
      <w:divBdr>
        <w:top w:val="none" w:sz="0" w:space="0" w:color="auto"/>
        <w:left w:val="none" w:sz="0" w:space="0" w:color="auto"/>
        <w:bottom w:val="none" w:sz="0" w:space="0" w:color="auto"/>
        <w:right w:val="none" w:sz="0" w:space="0" w:color="auto"/>
      </w:divBdr>
    </w:div>
    <w:div w:id="437794257">
      <w:bodyDiv w:val="1"/>
      <w:marLeft w:val="0"/>
      <w:marRight w:val="0"/>
      <w:marTop w:val="0"/>
      <w:marBottom w:val="0"/>
      <w:divBdr>
        <w:top w:val="none" w:sz="0" w:space="0" w:color="auto"/>
        <w:left w:val="none" w:sz="0" w:space="0" w:color="auto"/>
        <w:bottom w:val="none" w:sz="0" w:space="0" w:color="auto"/>
        <w:right w:val="none" w:sz="0" w:space="0" w:color="auto"/>
      </w:divBdr>
      <w:divsChild>
        <w:div w:id="862285766">
          <w:marLeft w:val="0"/>
          <w:marRight w:val="0"/>
          <w:marTop w:val="0"/>
          <w:marBottom w:val="0"/>
          <w:divBdr>
            <w:top w:val="none" w:sz="0" w:space="0" w:color="auto"/>
            <w:left w:val="none" w:sz="0" w:space="0" w:color="auto"/>
            <w:bottom w:val="none" w:sz="0" w:space="0" w:color="auto"/>
            <w:right w:val="none" w:sz="0" w:space="0" w:color="auto"/>
          </w:divBdr>
        </w:div>
      </w:divsChild>
    </w:div>
    <w:div w:id="642078517">
      <w:bodyDiv w:val="1"/>
      <w:marLeft w:val="0"/>
      <w:marRight w:val="0"/>
      <w:marTop w:val="0"/>
      <w:marBottom w:val="0"/>
      <w:divBdr>
        <w:top w:val="none" w:sz="0" w:space="0" w:color="auto"/>
        <w:left w:val="none" w:sz="0" w:space="0" w:color="auto"/>
        <w:bottom w:val="none" w:sz="0" w:space="0" w:color="auto"/>
        <w:right w:val="none" w:sz="0" w:space="0" w:color="auto"/>
      </w:divBdr>
      <w:divsChild>
        <w:div w:id="711029525">
          <w:marLeft w:val="0"/>
          <w:marRight w:val="0"/>
          <w:marTop w:val="0"/>
          <w:marBottom w:val="0"/>
          <w:divBdr>
            <w:top w:val="none" w:sz="0" w:space="0" w:color="auto"/>
            <w:left w:val="none" w:sz="0" w:space="0" w:color="auto"/>
            <w:bottom w:val="none" w:sz="0" w:space="0" w:color="auto"/>
            <w:right w:val="none" w:sz="0" w:space="0" w:color="auto"/>
          </w:divBdr>
        </w:div>
      </w:divsChild>
    </w:div>
    <w:div w:id="643123895">
      <w:bodyDiv w:val="1"/>
      <w:marLeft w:val="0"/>
      <w:marRight w:val="0"/>
      <w:marTop w:val="0"/>
      <w:marBottom w:val="0"/>
      <w:divBdr>
        <w:top w:val="none" w:sz="0" w:space="0" w:color="auto"/>
        <w:left w:val="none" w:sz="0" w:space="0" w:color="auto"/>
        <w:bottom w:val="none" w:sz="0" w:space="0" w:color="auto"/>
        <w:right w:val="none" w:sz="0" w:space="0" w:color="auto"/>
      </w:divBdr>
      <w:divsChild>
        <w:div w:id="1832259227">
          <w:marLeft w:val="0"/>
          <w:marRight w:val="0"/>
          <w:marTop w:val="0"/>
          <w:marBottom w:val="0"/>
          <w:divBdr>
            <w:top w:val="none" w:sz="0" w:space="0" w:color="auto"/>
            <w:left w:val="none" w:sz="0" w:space="0" w:color="auto"/>
            <w:bottom w:val="none" w:sz="0" w:space="0" w:color="auto"/>
            <w:right w:val="none" w:sz="0" w:space="0" w:color="auto"/>
          </w:divBdr>
        </w:div>
        <w:div w:id="1370494839">
          <w:marLeft w:val="0"/>
          <w:marRight w:val="0"/>
          <w:marTop w:val="0"/>
          <w:marBottom w:val="0"/>
          <w:divBdr>
            <w:top w:val="none" w:sz="0" w:space="0" w:color="auto"/>
            <w:left w:val="none" w:sz="0" w:space="0" w:color="auto"/>
            <w:bottom w:val="none" w:sz="0" w:space="0" w:color="auto"/>
            <w:right w:val="none" w:sz="0" w:space="0" w:color="auto"/>
          </w:divBdr>
        </w:div>
        <w:div w:id="1081562566">
          <w:marLeft w:val="0"/>
          <w:marRight w:val="0"/>
          <w:marTop w:val="0"/>
          <w:marBottom w:val="0"/>
          <w:divBdr>
            <w:top w:val="none" w:sz="0" w:space="0" w:color="auto"/>
            <w:left w:val="none" w:sz="0" w:space="0" w:color="auto"/>
            <w:bottom w:val="none" w:sz="0" w:space="0" w:color="auto"/>
            <w:right w:val="none" w:sz="0" w:space="0" w:color="auto"/>
          </w:divBdr>
        </w:div>
      </w:divsChild>
    </w:div>
    <w:div w:id="703795879">
      <w:bodyDiv w:val="1"/>
      <w:marLeft w:val="0"/>
      <w:marRight w:val="0"/>
      <w:marTop w:val="0"/>
      <w:marBottom w:val="0"/>
      <w:divBdr>
        <w:top w:val="none" w:sz="0" w:space="0" w:color="auto"/>
        <w:left w:val="none" w:sz="0" w:space="0" w:color="auto"/>
        <w:bottom w:val="none" w:sz="0" w:space="0" w:color="auto"/>
        <w:right w:val="none" w:sz="0" w:space="0" w:color="auto"/>
      </w:divBdr>
    </w:div>
    <w:div w:id="764688463">
      <w:bodyDiv w:val="1"/>
      <w:marLeft w:val="0"/>
      <w:marRight w:val="0"/>
      <w:marTop w:val="0"/>
      <w:marBottom w:val="0"/>
      <w:divBdr>
        <w:top w:val="none" w:sz="0" w:space="0" w:color="auto"/>
        <w:left w:val="none" w:sz="0" w:space="0" w:color="auto"/>
        <w:bottom w:val="none" w:sz="0" w:space="0" w:color="auto"/>
        <w:right w:val="none" w:sz="0" w:space="0" w:color="auto"/>
      </w:divBdr>
      <w:divsChild>
        <w:div w:id="1375615752">
          <w:marLeft w:val="0"/>
          <w:marRight w:val="0"/>
          <w:marTop w:val="0"/>
          <w:marBottom w:val="0"/>
          <w:divBdr>
            <w:top w:val="none" w:sz="0" w:space="0" w:color="auto"/>
            <w:left w:val="none" w:sz="0" w:space="0" w:color="auto"/>
            <w:bottom w:val="none" w:sz="0" w:space="0" w:color="auto"/>
            <w:right w:val="none" w:sz="0" w:space="0" w:color="auto"/>
          </w:divBdr>
        </w:div>
      </w:divsChild>
    </w:div>
    <w:div w:id="934245212">
      <w:bodyDiv w:val="1"/>
      <w:marLeft w:val="0"/>
      <w:marRight w:val="0"/>
      <w:marTop w:val="0"/>
      <w:marBottom w:val="0"/>
      <w:divBdr>
        <w:top w:val="none" w:sz="0" w:space="0" w:color="auto"/>
        <w:left w:val="none" w:sz="0" w:space="0" w:color="auto"/>
        <w:bottom w:val="none" w:sz="0" w:space="0" w:color="auto"/>
        <w:right w:val="none" w:sz="0" w:space="0" w:color="auto"/>
      </w:divBdr>
      <w:divsChild>
        <w:div w:id="482241875">
          <w:marLeft w:val="0"/>
          <w:marRight w:val="0"/>
          <w:marTop w:val="0"/>
          <w:marBottom w:val="0"/>
          <w:divBdr>
            <w:top w:val="none" w:sz="0" w:space="0" w:color="auto"/>
            <w:left w:val="none" w:sz="0" w:space="0" w:color="auto"/>
            <w:bottom w:val="none" w:sz="0" w:space="0" w:color="auto"/>
            <w:right w:val="none" w:sz="0" w:space="0" w:color="auto"/>
          </w:divBdr>
        </w:div>
      </w:divsChild>
    </w:div>
    <w:div w:id="1134711216">
      <w:bodyDiv w:val="1"/>
      <w:marLeft w:val="0"/>
      <w:marRight w:val="0"/>
      <w:marTop w:val="0"/>
      <w:marBottom w:val="0"/>
      <w:divBdr>
        <w:top w:val="none" w:sz="0" w:space="0" w:color="auto"/>
        <w:left w:val="none" w:sz="0" w:space="0" w:color="auto"/>
        <w:bottom w:val="none" w:sz="0" w:space="0" w:color="auto"/>
        <w:right w:val="none" w:sz="0" w:space="0" w:color="auto"/>
      </w:divBdr>
    </w:div>
    <w:div w:id="1383210736">
      <w:bodyDiv w:val="1"/>
      <w:marLeft w:val="0"/>
      <w:marRight w:val="0"/>
      <w:marTop w:val="0"/>
      <w:marBottom w:val="0"/>
      <w:divBdr>
        <w:top w:val="none" w:sz="0" w:space="0" w:color="auto"/>
        <w:left w:val="none" w:sz="0" w:space="0" w:color="auto"/>
        <w:bottom w:val="none" w:sz="0" w:space="0" w:color="auto"/>
        <w:right w:val="none" w:sz="0" w:space="0" w:color="auto"/>
      </w:divBdr>
    </w:div>
    <w:div w:id="1385181046">
      <w:bodyDiv w:val="1"/>
      <w:marLeft w:val="0"/>
      <w:marRight w:val="0"/>
      <w:marTop w:val="0"/>
      <w:marBottom w:val="0"/>
      <w:divBdr>
        <w:top w:val="none" w:sz="0" w:space="0" w:color="auto"/>
        <w:left w:val="none" w:sz="0" w:space="0" w:color="auto"/>
        <w:bottom w:val="none" w:sz="0" w:space="0" w:color="auto"/>
        <w:right w:val="none" w:sz="0" w:space="0" w:color="auto"/>
      </w:divBdr>
    </w:div>
    <w:div w:id="1415013499">
      <w:bodyDiv w:val="1"/>
      <w:marLeft w:val="0"/>
      <w:marRight w:val="0"/>
      <w:marTop w:val="0"/>
      <w:marBottom w:val="0"/>
      <w:divBdr>
        <w:top w:val="none" w:sz="0" w:space="0" w:color="auto"/>
        <w:left w:val="none" w:sz="0" w:space="0" w:color="auto"/>
        <w:bottom w:val="none" w:sz="0" w:space="0" w:color="auto"/>
        <w:right w:val="none" w:sz="0" w:space="0" w:color="auto"/>
      </w:divBdr>
      <w:divsChild>
        <w:div w:id="1969167738">
          <w:marLeft w:val="0"/>
          <w:marRight w:val="0"/>
          <w:marTop w:val="0"/>
          <w:marBottom w:val="0"/>
          <w:divBdr>
            <w:top w:val="none" w:sz="0" w:space="0" w:color="auto"/>
            <w:left w:val="none" w:sz="0" w:space="0" w:color="auto"/>
            <w:bottom w:val="none" w:sz="0" w:space="0" w:color="auto"/>
            <w:right w:val="none" w:sz="0" w:space="0" w:color="auto"/>
          </w:divBdr>
        </w:div>
      </w:divsChild>
    </w:div>
    <w:div w:id="1460605757">
      <w:bodyDiv w:val="1"/>
      <w:marLeft w:val="0"/>
      <w:marRight w:val="0"/>
      <w:marTop w:val="0"/>
      <w:marBottom w:val="0"/>
      <w:divBdr>
        <w:top w:val="none" w:sz="0" w:space="0" w:color="auto"/>
        <w:left w:val="none" w:sz="0" w:space="0" w:color="auto"/>
        <w:bottom w:val="none" w:sz="0" w:space="0" w:color="auto"/>
        <w:right w:val="none" w:sz="0" w:space="0" w:color="auto"/>
      </w:divBdr>
      <w:divsChild>
        <w:div w:id="2072848783">
          <w:marLeft w:val="0"/>
          <w:marRight w:val="0"/>
          <w:marTop w:val="0"/>
          <w:marBottom w:val="0"/>
          <w:divBdr>
            <w:top w:val="none" w:sz="0" w:space="0" w:color="auto"/>
            <w:left w:val="none" w:sz="0" w:space="0" w:color="auto"/>
            <w:bottom w:val="none" w:sz="0" w:space="0" w:color="auto"/>
            <w:right w:val="none" w:sz="0" w:space="0" w:color="auto"/>
          </w:divBdr>
        </w:div>
      </w:divsChild>
    </w:div>
    <w:div w:id="1705519205">
      <w:bodyDiv w:val="1"/>
      <w:marLeft w:val="0"/>
      <w:marRight w:val="0"/>
      <w:marTop w:val="0"/>
      <w:marBottom w:val="0"/>
      <w:divBdr>
        <w:top w:val="none" w:sz="0" w:space="0" w:color="auto"/>
        <w:left w:val="none" w:sz="0" w:space="0" w:color="auto"/>
        <w:bottom w:val="none" w:sz="0" w:space="0" w:color="auto"/>
        <w:right w:val="none" w:sz="0" w:space="0" w:color="auto"/>
      </w:divBdr>
    </w:div>
    <w:div w:id="1746534410">
      <w:bodyDiv w:val="1"/>
      <w:marLeft w:val="0"/>
      <w:marRight w:val="0"/>
      <w:marTop w:val="0"/>
      <w:marBottom w:val="0"/>
      <w:divBdr>
        <w:top w:val="none" w:sz="0" w:space="0" w:color="auto"/>
        <w:left w:val="none" w:sz="0" w:space="0" w:color="auto"/>
        <w:bottom w:val="none" w:sz="0" w:space="0" w:color="auto"/>
        <w:right w:val="none" w:sz="0" w:space="0" w:color="auto"/>
      </w:divBdr>
      <w:divsChild>
        <w:div w:id="647245396">
          <w:marLeft w:val="0"/>
          <w:marRight w:val="0"/>
          <w:marTop w:val="0"/>
          <w:marBottom w:val="0"/>
          <w:divBdr>
            <w:top w:val="none" w:sz="0" w:space="0" w:color="auto"/>
            <w:left w:val="none" w:sz="0" w:space="0" w:color="auto"/>
            <w:bottom w:val="none" w:sz="0" w:space="0" w:color="auto"/>
            <w:right w:val="none" w:sz="0" w:space="0" w:color="auto"/>
          </w:divBdr>
        </w:div>
      </w:divsChild>
    </w:div>
    <w:div w:id="1763645555">
      <w:bodyDiv w:val="1"/>
      <w:marLeft w:val="0"/>
      <w:marRight w:val="0"/>
      <w:marTop w:val="0"/>
      <w:marBottom w:val="0"/>
      <w:divBdr>
        <w:top w:val="none" w:sz="0" w:space="0" w:color="auto"/>
        <w:left w:val="none" w:sz="0" w:space="0" w:color="auto"/>
        <w:bottom w:val="none" w:sz="0" w:space="0" w:color="auto"/>
        <w:right w:val="none" w:sz="0" w:space="0" w:color="auto"/>
      </w:divBdr>
      <w:divsChild>
        <w:div w:id="1502701301">
          <w:marLeft w:val="0"/>
          <w:marRight w:val="0"/>
          <w:marTop w:val="0"/>
          <w:marBottom w:val="0"/>
          <w:divBdr>
            <w:top w:val="none" w:sz="0" w:space="0" w:color="auto"/>
            <w:left w:val="none" w:sz="0" w:space="0" w:color="auto"/>
            <w:bottom w:val="none" w:sz="0" w:space="0" w:color="auto"/>
            <w:right w:val="none" w:sz="0" w:space="0" w:color="auto"/>
          </w:divBdr>
        </w:div>
      </w:divsChild>
    </w:div>
    <w:div w:id="1767269995">
      <w:bodyDiv w:val="1"/>
      <w:marLeft w:val="0"/>
      <w:marRight w:val="0"/>
      <w:marTop w:val="0"/>
      <w:marBottom w:val="0"/>
      <w:divBdr>
        <w:top w:val="none" w:sz="0" w:space="0" w:color="auto"/>
        <w:left w:val="none" w:sz="0" w:space="0" w:color="auto"/>
        <w:bottom w:val="none" w:sz="0" w:space="0" w:color="auto"/>
        <w:right w:val="none" w:sz="0" w:space="0" w:color="auto"/>
      </w:divBdr>
      <w:divsChild>
        <w:div w:id="1443263248">
          <w:marLeft w:val="0"/>
          <w:marRight w:val="0"/>
          <w:marTop w:val="0"/>
          <w:marBottom w:val="0"/>
          <w:divBdr>
            <w:top w:val="none" w:sz="0" w:space="0" w:color="auto"/>
            <w:left w:val="none" w:sz="0" w:space="0" w:color="auto"/>
            <w:bottom w:val="none" w:sz="0" w:space="0" w:color="auto"/>
            <w:right w:val="none" w:sz="0" w:space="0" w:color="auto"/>
          </w:divBdr>
        </w:div>
      </w:divsChild>
    </w:div>
    <w:div w:id="1839542753">
      <w:bodyDiv w:val="1"/>
      <w:marLeft w:val="0"/>
      <w:marRight w:val="0"/>
      <w:marTop w:val="0"/>
      <w:marBottom w:val="0"/>
      <w:divBdr>
        <w:top w:val="none" w:sz="0" w:space="0" w:color="auto"/>
        <w:left w:val="none" w:sz="0" w:space="0" w:color="auto"/>
        <w:bottom w:val="none" w:sz="0" w:space="0" w:color="auto"/>
        <w:right w:val="none" w:sz="0" w:space="0" w:color="auto"/>
      </w:divBdr>
    </w:div>
    <w:div w:id="1871727015">
      <w:bodyDiv w:val="1"/>
      <w:marLeft w:val="0"/>
      <w:marRight w:val="0"/>
      <w:marTop w:val="0"/>
      <w:marBottom w:val="0"/>
      <w:divBdr>
        <w:top w:val="none" w:sz="0" w:space="0" w:color="auto"/>
        <w:left w:val="none" w:sz="0" w:space="0" w:color="auto"/>
        <w:bottom w:val="none" w:sz="0" w:space="0" w:color="auto"/>
        <w:right w:val="none" w:sz="0" w:space="0" w:color="auto"/>
      </w:divBdr>
      <w:divsChild>
        <w:div w:id="1676492807">
          <w:marLeft w:val="0"/>
          <w:marRight w:val="0"/>
          <w:marTop w:val="0"/>
          <w:marBottom w:val="0"/>
          <w:divBdr>
            <w:top w:val="none" w:sz="0" w:space="0" w:color="auto"/>
            <w:left w:val="none" w:sz="0" w:space="0" w:color="auto"/>
            <w:bottom w:val="none" w:sz="0" w:space="0" w:color="auto"/>
            <w:right w:val="none" w:sz="0" w:space="0" w:color="auto"/>
          </w:divBdr>
        </w:div>
      </w:divsChild>
    </w:div>
    <w:div w:id="2024479611">
      <w:bodyDiv w:val="1"/>
      <w:marLeft w:val="0"/>
      <w:marRight w:val="0"/>
      <w:marTop w:val="0"/>
      <w:marBottom w:val="0"/>
      <w:divBdr>
        <w:top w:val="none" w:sz="0" w:space="0" w:color="auto"/>
        <w:left w:val="none" w:sz="0" w:space="0" w:color="auto"/>
        <w:bottom w:val="none" w:sz="0" w:space="0" w:color="auto"/>
        <w:right w:val="none" w:sz="0" w:space="0" w:color="auto"/>
      </w:divBdr>
    </w:div>
    <w:div w:id="204736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CBC3DF9EDF544BC8F3C43A0BDC74E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2025-01-07T09:27:26Z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2025-01-06T00:00:00Z</Date_x0020_protokolli>
    <Titulli xmlns="0e656187-b300-4fb0-8bf4-3a50f872073c">Për zhvillimin e praktikave të mira bazuar në toolbox-in e përbashkët të Bashkimit Evropian: Për reduktimin e kostove të aplikimit për rrjetet me kapacitet shumë të lartë dhe mjedisin miqësor të investimeve për rrjetet 5G"</Titulli>
    <Modifikuesi xmlns="0e656187-b300-4fb0-8bf4-3a50f872073c">alma.lisaku</Modifikuesi>
    <Nr_x002e__x0020_prot_x0020_QBZ xmlns="0e656187-b300-4fb0-8bf4-3a50f872073c">5/2</Nr_x002e__x0020_prot_x0020_QBZ>
    <Data_x0020_e_x0020_Modifikimit xmlns="0e656187-b300-4fb0-8bf4-3a50f872073c">2025-01-10T11:23:25Z</Data_x0020_e_x0020_Modifikimit>
    <Dekretuar xmlns="0e656187-b300-4fb0-8bf4-3a50f872073c">false</Dekretuar>
    <Data xmlns="0e656187-b300-4fb0-8bf4-3a50f872073c">2024-12-23T00:00:00Z</Data>
    <Nr_x002e__x0020_protokolli_x0020_i_x0020_aktit xmlns="0e656187-b300-4fb0-8bf4-3a50f872073c">9999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B9C79-1488-4BA9-AADC-494111AD7DFB}">
  <ds:schemaRefs>
    <ds:schemaRef ds:uri="http://schemas.microsoft.com/sharepoint/v3/contenttype/forms"/>
  </ds:schemaRefs>
</ds:datastoreItem>
</file>

<file path=customXml/itemProps2.xml><?xml version="1.0" encoding="utf-8"?>
<ds:datastoreItem xmlns:ds="http://schemas.openxmlformats.org/officeDocument/2006/customXml" ds:itemID="{72770B8E-9B66-4CEF-AE5B-D644EEA2F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5AA90AC-40C1-44F3-9D2B-2D66096B9103}">
  <ds:schemaRefs>
    <ds:schemaRef ds:uri="http://www.w3.org/XML/1998/namespace"/>
    <ds:schemaRef ds:uri="http://schemas.openxmlformats.org/package/2006/metadata/core-properties"/>
    <ds:schemaRef ds:uri="http://purl.org/dc/terms/"/>
    <ds:schemaRef ds:uri="http://schemas.microsoft.com/office/2006/documentManagement/types"/>
    <ds:schemaRef ds:uri="http://purl.org/dc/elements/1.1/"/>
    <ds:schemaRef ds:uri="http://schemas.microsoft.com/office/2006/metadata/properties"/>
    <ds:schemaRef ds:uri="0e656187-b300-4fb0-8bf4-3a50f872073c"/>
    <ds:schemaRef ds:uri="http://purl.org/dc/dcmitype/"/>
  </ds:schemaRefs>
</ds:datastoreItem>
</file>

<file path=customXml/itemProps4.xml><?xml version="1.0" encoding="utf-8"?>
<ds:datastoreItem xmlns:ds="http://schemas.openxmlformats.org/officeDocument/2006/customXml" ds:itemID="{F3F8C062-CF20-4142-8098-A0F93CD4A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2408</Words>
  <Characters>13729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Për zhvillimin e praktikave të mira bazuar në toolbox-in e përbashkët të Bashkimit Evropian: Për reduktimin e kostove të aplikimit për rrjetet me kapacitet shumë të lartë dhe mjedisin miqësor të investimeve për rrjetet 5G"</vt:lpstr>
    </vt:vector>
  </TitlesOfParts>
  <Company/>
  <LinksUpToDate>false</LinksUpToDate>
  <CharactersWithSpaces>16105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zhvillimin e praktikave të mira bazuar në toolbox-in e përbashkët të Bashkimit Evropian: Për reduktimin e kostove të aplikimit për rrjetet me kapacitet shumë të lartë dhe mjedisin miqësor të investimeve për rrjetet 5G"</dc:title>
  <dc:creator>User</dc:creator>
  <cp:lastModifiedBy>Amarilda Muja</cp:lastModifiedBy>
  <cp:revision>105</cp:revision>
  <cp:lastPrinted>2025-01-07T11:47:00Z</cp:lastPrinted>
  <dcterms:created xsi:type="dcterms:W3CDTF">2025-01-07T14:03:00Z</dcterms:created>
  <dcterms:modified xsi:type="dcterms:W3CDTF">2025-01-10T10:34:00Z</dcterms:modified>
</cp:coreProperties>
</file>