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FBDFD" w14:textId="77777777" w:rsidR="006C162B" w:rsidRPr="001C5A9C" w:rsidRDefault="006C162B" w:rsidP="001C5A9C">
      <w:pPr>
        <w:tabs>
          <w:tab w:val="left" w:pos="1430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5A9C">
        <w:rPr>
          <w:rFonts w:ascii="Garamond" w:hAnsi="Garamond"/>
          <w:b/>
          <w:sz w:val="24"/>
          <w:szCs w:val="24"/>
        </w:rPr>
        <w:t>UDHËZIM</w:t>
      </w:r>
    </w:p>
    <w:p w14:paraId="70288818" w14:textId="29F54330" w:rsidR="006C162B" w:rsidRPr="001C5A9C" w:rsidRDefault="006C162B" w:rsidP="001C5A9C">
      <w:pPr>
        <w:tabs>
          <w:tab w:val="left" w:pos="1430"/>
        </w:tabs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C5A9C">
        <w:rPr>
          <w:rFonts w:ascii="Garamond" w:hAnsi="Garamond"/>
          <w:b/>
          <w:sz w:val="24"/>
          <w:szCs w:val="24"/>
        </w:rPr>
        <w:t>Nr.</w:t>
      </w:r>
      <w:r w:rsidR="001C5A9C" w:rsidRPr="001C5A9C">
        <w:rPr>
          <w:rFonts w:ascii="Garamond" w:hAnsi="Garamond"/>
          <w:b/>
          <w:sz w:val="24"/>
          <w:szCs w:val="24"/>
        </w:rPr>
        <w:t xml:space="preserve"> </w:t>
      </w:r>
      <w:r w:rsidRPr="001C5A9C">
        <w:rPr>
          <w:rFonts w:ascii="Garamond" w:hAnsi="Garamond"/>
          <w:b/>
          <w:sz w:val="24"/>
          <w:szCs w:val="24"/>
        </w:rPr>
        <w:t>1, datë 10.4.2026</w:t>
      </w:r>
    </w:p>
    <w:p w14:paraId="5DFA0437" w14:textId="77777777" w:rsidR="006C162B" w:rsidRPr="001C5A9C" w:rsidRDefault="006C162B" w:rsidP="001C5A9C">
      <w:pPr>
        <w:pStyle w:val="Bodytext1"/>
        <w:shd w:val="clear" w:color="auto" w:fill="auto"/>
        <w:spacing w:before="0"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sq-AL"/>
        </w:rPr>
      </w:pPr>
    </w:p>
    <w:p w14:paraId="5B80A9CA" w14:textId="77777777" w:rsidR="006C162B" w:rsidRPr="001C5A9C" w:rsidRDefault="006C162B" w:rsidP="001C5A9C">
      <w:pPr>
        <w:pStyle w:val="Bodytext1"/>
        <w:shd w:val="clear" w:color="auto" w:fill="auto"/>
        <w:spacing w:before="0" w:after="0" w:line="240" w:lineRule="auto"/>
        <w:ind w:firstLine="0"/>
        <w:jc w:val="center"/>
        <w:rPr>
          <w:rFonts w:ascii="Garamond" w:hAnsi="Garamond"/>
          <w:b/>
          <w:sz w:val="24"/>
          <w:szCs w:val="24"/>
          <w:vertAlign w:val="superscript"/>
          <w:lang w:val="sq-AL" w:eastAsia="sq-AL"/>
        </w:rPr>
      </w:pPr>
      <w:bookmarkStart w:id="0" w:name="_Hlk209003760"/>
      <w:r w:rsidRPr="001C5A9C">
        <w:rPr>
          <w:rFonts w:ascii="Garamond" w:hAnsi="Garamond"/>
          <w:b/>
          <w:sz w:val="24"/>
          <w:szCs w:val="24"/>
          <w:lang w:val="sq-AL" w:eastAsia="sq-AL"/>
        </w:rPr>
        <w:t xml:space="preserve">PËR DISA NDRYSHIME DHE SHTESA NË UDHËZIMIN NR. 3606/2, DATË 28.10.2011, “PËR PAJISJEN E DREJTUESVE TË MJETEVE RRUGORE TË KATEGORIVE </w:t>
      </w:r>
      <w:proofErr w:type="spellStart"/>
      <w:r w:rsidRPr="001C5A9C">
        <w:rPr>
          <w:rFonts w:ascii="Garamond" w:hAnsi="Garamond"/>
          <w:b/>
          <w:sz w:val="24"/>
          <w:szCs w:val="24"/>
          <w:lang w:val="sq-AL" w:eastAsia="sq-AL"/>
        </w:rPr>
        <w:t>C1</w:t>
      </w:r>
      <w:proofErr w:type="spellEnd"/>
      <w:r w:rsidRPr="001C5A9C">
        <w:rPr>
          <w:rFonts w:ascii="Garamond" w:hAnsi="Garamond"/>
          <w:b/>
          <w:sz w:val="24"/>
          <w:szCs w:val="24"/>
          <w:lang w:val="sq-AL" w:eastAsia="sq-AL"/>
        </w:rPr>
        <w:t xml:space="preserve">, C, </w:t>
      </w:r>
      <w:proofErr w:type="spellStart"/>
      <w:r w:rsidRPr="001C5A9C">
        <w:rPr>
          <w:rFonts w:ascii="Garamond" w:hAnsi="Garamond"/>
          <w:b/>
          <w:sz w:val="24"/>
          <w:szCs w:val="24"/>
          <w:lang w:val="sq-AL" w:eastAsia="sq-AL"/>
        </w:rPr>
        <w:t>C1E</w:t>
      </w:r>
      <w:proofErr w:type="spellEnd"/>
      <w:r w:rsidRPr="001C5A9C">
        <w:rPr>
          <w:rFonts w:ascii="Garamond" w:hAnsi="Garamond"/>
          <w:b/>
          <w:sz w:val="24"/>
          <w:szCs w:val="24"/>
          <w:lang w:val="sq-AL" w:eastAsia="sq-AL"/>
        </w:rPr>
        <w:t xml:space="preserve">, </w:t>
      </w:r>
      <w:proofErr w:type="spellStart"/>
      <w:r w:rsidRPr="001C5A9C">
        <w:rPr>
          <w:rFonts w:ascii="Garamond" w:hAnsi="Garamond"/>
          <w:b/>
          <w:sz w:val="24"/>
          <w:szCs w:val="24"/>
          <w:lang w:val="sq-AL" w:eastAsia="sq-AL"/>
        </w:rPr>
        <w:t>D1</w:t>
      </w:r>
      <w:proofErr w:type="spellEnd"/>
      <w:r w:rsidRPr="001C5A9C">
        <w:rPr>
          <w:rFonts w:ascii="Garamond" w:hAnsi="Garamond"/>
          <w:b/>
          <w:sz w:val="24"/>
          <w:szCs w:val="24"/>
          <w:lang w:val="sq-AL" w:eastAsia="sq-AL"/>
        </w:rPr>
        <w:t xml:space="preserve">, D, </w:t>
      </w:r>
      <w:proofErr w:type="spellStart"/>
      <w:r w:rsidRPr="001C5A9C">
        <w:rPr>
          <w:rFonts w:ascii="Garamond" w:hAnsi="Garamond"/>
          <w:b/>
          <w:sz w:val="24"/>
          <w:szCs w:val="24"/>
          <w:lang w:val="sq-AL" w:eastAsia="sq-AL"/>
        </w:rPr>
        <w:t>D1E</w:t>
      </w:r>
      <w:proofErr w:type="spellEnd"/>
      <w:r w:rsidRPr="001C5A9C">
        <w:rPr>
          <w:rFonts w:ascii="Garamond" w:hAnsi="Garamond"/>
          <w:b/>
          <w:sz w:val="24"/>
          <w:szCs w:val="24"/>
          <w:lang w:val="sq-AL" w:eastAsia="sq-AL"/>
        </w:rPr>
        <w:t xml:space="preserve"> DHE DE, ME CERTIFIKATËN E AFTËSISË PROFESIONALE (</w:t>
      </w:r>
      <w:proofErr w:type="spellStart"/>
      <w:r w:rsidRPr="001C5A9C">
        <w:rPr>
          <w:rFonts w:ascii="Garamond" w:hAnsi="Garamond"/>
          <w:b/>
          <w:sz w:val="24"/>
          <w:szCs w:val="24"/>
          <w:lang w:val="sq-AL" w:eastAsia="sq-AL"/>
        </w:rPr>
        <w:t>CAP</w:t>
      </w:r>
      <w:proofErr w:type="spellEnd"/>
      <w:r w:rsidRPr="001C5A9C">
        <w:rPr>
          <w:rFonts w:ascii="Garamond" w:hAnsi="Garamond"/>
          <w:b/>
          <w:sz w:val="24"/>
          <w:szCs w:val="24"/>
          <w:lang w:val="sq-AL" w:eastAsia="sq-AL"/>
        </w:rPr>
        <w:t>)”, I NDRYSHUAR</w:t>
      </w:r>
    </w:p>
    <w:p w14:paraId="71FE953A" w14:textId="77777777" w:rsidR="006C162B" w:rsidRPr="001C5A9C" w:rsidRDefault="006C162B" w:rsidP="001C5A9C">
      <w:pPr>
        <w:pStyle w:val="Bodytext1"/>
        <w:shd w:val="clear" w:color="auto" w:fill="auto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</w:p>
    <w:p w14:paraId="4EAFD305" w14:textId="3EC39C19" w:rsidR="006C162B" w:rsidRPr="001C5A9C" w:rsidRDefault="006C162B" w:rsidP="001C5A9C">
      <w:pPr>
        <w:pStyle w:val="Bodytext1"/>
        <w:shd w:val="clear" w:color="auto" w:fill="auto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Në mbështetje të nenit 102 të Kushtetutës</w:t>
      </w:r>
      <w:r w:rsidR="00395845">
        <w:rPr>
          <w:rFonts w:ascii="Garamond" w:hAnsi="Garamond"/>
          <w:sz w:val="24"/>
          <w:szCs w:val="24"/>
          <w:lang w:val="sq-AL" w:eastAsia="sq-AL"/>
        </w:rPr>
        <w:t>;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 pikave 8 dhe 9</w:t>
      </w:r>
      <w:r w:rsidR="00395845">
        <w:rPr>
          <w:rFonts w:ascii="Garamond" w:hAnsi="Garamond"/>
          <w:sz w:val="24"/>
          <w:szCs w:val="24"/>
          <w:lang w:val="sq-AL" w:eastAsia="sq-AL"/>
        </w:rPr>
        <w:t>,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 të nenit 115</w:t>
      </w:r>
      <w:r w:rsidR="00395845">
        <w:rPr>
          <w:rFonts w:ascii="Garamond" w:hAnsi="Garamond"/>
          <w:sz w:val="24"/>
          <w:szCs w:val="24"/>
          <w:lang w:val="sq-AL" w:eastAsia="sq-AL"/>
        </w:rPr>
        <w:t>,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 dhe të nenit 224</w:t>
      </w:r>
      <w:r w:rsidR="00395845">
        <w:rPr>
          <w:rFonts w:ascii="Garamond" w:hAnsi="Garamond"/>
          <w:sz w:val="24"/>
          <w:szCs w:val="24"/>
          <w:lang w:val="sq-AL" w:eastAsia="sq-AL"/>
        </w:rPr>
        <w:t>,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 të ligjit nr. 8378, datë 22.7.1998, “Kodi Rrugor i Republikës së Shqipërisë”, të ndryshuar</w:t>
      </w:r>
      <w:r w:rsidR="00395845">
        <w:rPr>
          <w:rFonts w:ascii="Garamond" w:hAnsi="Garamond"/>
          <w:sz w:val="24"/>
          <w:szCs w:val="24"/>
          <w:lang w:val="sq-AL" w:eastAsia="sq-AL"/>
        </w:rPr>
        <w:t>;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 dhe të neneve 294, 295, 296 dhe 297 të vendimit të Këshillit të Ministrave nr. 153, datë 7.4.2000, “Për miratimin e rregullores së zbatimit të Kodit Rrugor të Republikës së Shqipërisë”, të ndryshuar, ministri i </w:t>
      </w:r>
      <w:bookmarkStart w:id="1" w:name="_Hlk227679295"/>
      <w:r w:rsidRPr="001C5A9C">
        <w:rPr>
          <w:rFonts w:ascii="Garamond" w:hAnsi="Garamond"/>
          <w:sz w:val="24"/>
          <w:szCs w:val="24"/>
          <w:lang w:val="sq-AL" w:eastAsia="sq-AL"/>
        </w:rPr>
        <w:t>Infrastrukturës dhe Energjisë</w:t>
      </w:r>
      <w:bookmarkEnd w:id="1"/>
    </w:p>
    <w:p w14:paraId="4A3F57E2" w14:textId="77777777" w:rsidR="006C162B" w:rsidRPr="001C5A9C" w:rsidRDefault="006C162B" w:rsidP="001C5A9C">
      <w:pPr>
        <w:pStyle w:val="Bodytext1"/>
        <w:shd w:val="clear" w:color="auto" w:fill="auto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</w:p>
    <w:p w14:paraId="7B1B569C" w14:textId="77777777" w:rsidR="006C162B" w:rsidRPr="001C5A9C" w:rsidRDefault="006C162B" w:rsidP="00380DD1">
      <w:pPr>
        <w:pStyle w:val="Bodytext1"/>
        <w:shd w:val="clear" w:color="auto" w:fill="auto"/>
        <w:spacing w:before="0" w:after="0" w:line="240" w:lineRule="auto"/>
        <w:ind w:firstLine="0"/>
        <w:jc w:val="center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UDHËZON:</w:t>
      </w:r>
    </w:p>
    <w:p w14:paraId="62D692E2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bookmarkEnd w:id="0"/>
    <w:p w14:paraId="5CCDDDD0" w14:textId="730BCF48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I. Në udhëzimin nr. 3606/2, datë 28.10.2011</w:t>
      </w:r>
      <w:r w:rsidR="00015FE7">
        <w:rPr>
          <w:rFonts w:ascii="Garamond" w:hAnsi="Garamond"/>
          <w:sz w:val="24"/>
          <w:szCs w:val="24"/>
          <w:lang w:val="sq-AL" w:eastAsia="sq-AL"/>
        </w:rPr>
        <w:t>,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 “Për pajisjen e drejtuesve të mjeteve rrugore të kategorive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C1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, C,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C1E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,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CE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,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D1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, D,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D1E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dhe DE, me certifikatën e aftësisë profesionale (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CAP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>)”, të ndryshuar, bëhen këto ndryshime dhe shtesa:</w:t>
      </w:r>
    </w:p>
    <w:p w14:paraId="60C35C1D" w14:textId="05405380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1. Në fund të nenit 2, shtohet fjalia</w:t>
      </w:r>
      <w:r w:rsidR="00E9794B">
        <w:rPr>
          <w:rFonts w:ascii="Garamond" w:hAnsi="Garamond"/>
          <w:sz w:val="24"/>
          <w:szCs w:val="24"/>
          <w:lang w:val="sq-AL" w:eastAsia="sq-AL"/>
        </w:rPr>
        <w:t>,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 si më poshtë:</w:t>
      </w:r>
    </w:p>
    <w:p w14:paraId="41B19F6C" w14:textId="119D2D22" w:rsidR="006C162B" w:rsidRPr="001C5A9C" w:rsidRDefault="00E9794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>
        <w:rPr>
          <w:rFonts w:ascii="Garamond" w:hAnsi="Garamond"/>
          <w:sz w:val="24"/>
          <w:szCs w:val="24"/>
          <w:lang w:val="sq-AL" w:eastAsia="sq-AL"/>
        </w:rPr>
        <w:t>“</w:t>
      </w:r>
      <w:r w:rsidR="006C162B" w:rsidRPr="001C5A9C">
        <w:rPr>
          <w:rFonts w:ascii="Garamond" w:hAnsi="Garamond"/>
          <w:sz w:val="24"/>
          <w:szCs w:val="24"/>
          <w:lang w:val="sq-AL" w:eastAsia="sq-AL"/>
        </w:rPr>
        <w:t xml:space="preserve">“Kodi 95”, siç përcaktohet në nenin 292 të vendimit të Këshillit të Ministrave nr. 153, datë 7.4.2000, “Për miratimin e rregullores së zbatimit të Kodit Rrugor të Republikës së Shqipërisë”, i ndryshuar, shënohet në lejen e drejtimit ose në </w:t>
      </w:r>
      <w:proofErr w:type="spellStart"/>
      <w:r w:rsidR="006C162B" w:rsidRPr="001C5A9C">
        <w:rPr>
          <w:rFonts w:ascii="Garamond" w:hAnsi="Garamond"/>
          <w:sz w:val="24"/>
          <w:szCs w:val="24"/>
          <w:lang w:val="sq-AL" w:eastAsia="sq-AL"/>
        </w:rPr>
        <w:t>CAP</w:t>
      </w:r>
      <w:proofErr w:type="spellEnd"/>
      <w:r w:rsidR="006C162B" w:rsidRPr="001C5A9C">
        <w:rPr>
          <w:rFonts w:ascii="Garamond" w:hAnsi="Garamond"/>
          <w:sz w:val="24"/>
          <w:szCs w:val="24"/>
          <w:lang w:val="sq-AL" w:eastAsia="sq-AL"/>
        </w:rPr>
        <w:t>.”</w:t>
      </w:r>
      <w:r>
        <w:rPr>
          <w:rFonts w:ascii="Garamond" w:hAnsi="Garamond"/>
          <w:sz w:val="24"/>
          <w:szCs w:val="24"/>
          <w:lang w:val="sq-AL" w:eastAsia="sq-AL"/>
        </w:rPr>
        <w:t>.</w:t>
      </w:r>
    </w:p>
    <w:p w14:paraId="563DD8BC" w14:textId="1E0E5FAC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2.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Neni 8, ndryshohet si më poshtë vijon:</w:t>
      </w:r>
    </w:p>
    <w:p w14:paraId="1DB090B8" w14:textId="3D85DCFA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“1.</w:t>
      </w:r>
      <w:r w:rsid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DPSHTRR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, përmes strukturave të saj, verifikon nëse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autoshkollat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plotësojnë kriteret teknike dhe profesionale sipas licencës dhe, nëse po, i pajis me vendim miratues.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Autoshkollat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që nuk i plotësojnë këto kritere nuk regjistrohen në sistemin e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DPSHTRR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së.</w:t>
      </w:r>
    </w:p>
    <w:p w14:paraId="19ACB651" w14:textId="55D91C22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 xml:space="preserve">2.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DPSHTRR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>-ja,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nëpërmjet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strukturave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të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saj,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ushtron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kontrolle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të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vazhdueshme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në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autoshkollat</w:t>
      </w:r>
      <w:proofErr w:type="spellEnd"/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e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licencuara.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Kontrollet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kryhen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në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drejtim të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plotësimit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të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bazës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së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nevojshme mësimore,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didaktike,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personelit,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mjeteve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dhe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kërkesave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të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tjera,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që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përcakton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ky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udhëzim. Kontrollet ushtrohen në mënyrë periodike çdo vit, si dhe në të gjitha rastet kur ka dyshime të arsyeshme se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autoshkolla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nuk plotëson një apo më shumë kërkesa të këtij udhëzimi. Kur strukturat e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DPSHTRR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-së konstatojnë se gjatë zhvillimit të aktivitetit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autoshkolla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nuk plotëson një apo më shumë kërkesa të këtij udhëzimi merr masa në përputhje me nenin 121 të ligjit nr. 8378, datë 22.9.1998, “Kodi Rrugor i Republikës së Shqipërisë.”</w:t>
      </w:r>
      <w:r w:rsidR="00E9794B">
        <w:rPr>
          <w:rFonts w:ascii="Garamond" w:hAnsi="Garamond"/>
          <w:sz w:val="24"/>
          <w:szCs w:val="24"/>
          <w:lang w:val="sq-AL" w:eastAsia="sq-AL"/>
        </w:rPr>
        <w:t>.</w:t>
      </w:r>
    </w:p>
    <w:p w14:paraId="11DB023E" w14:textId="77777777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 xml:space="preserve">3. Në shkronjën “b” të nenit 9, fjala “vjet” zëvendësohet me togfjalëshin “vitet e fundit për kategorinë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respektive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të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lejedrejtimit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>”.</w:t>
      </w:r>
    </w:p>
    <w:p w14:paraId="19F1BC93" w14:textId="77777777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4. Neni 11 ndryshohet si më poshtë:</w:t>
      </w:r>
    </w:p>
    <w:p w14:paraId="69DC01C8" w14:textId="5C306C32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“1.</w:t>
      </w:r>
      <w:r w:rsid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Kualifikimi dhe trajnimi periodik, realizohet nëpërmjet një programi mësimor, që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aplikohet në kurset e trajnimit përkatës në përputhje me </w:t>
      </w:r>
      <w:r w:rsidR="00E9794B" w:rsidRPr="001C5A9C">
        <w:rPr>
          <w:rFonts w:ascii="Garamond" w:hAnsi="Garamond"/>
          <w:sz w:val="24"/>
          <w:szCs w:val="24"/>
          <w:lang w:val="sq-AL" w:eastAsia="sq-AL"/>
        </w:rPr>
        <w:t xml:space="preserve">shtojcën </w:t>
      </w:r>
      <w:r w:rsidRPr="001C5A9C">
        <w:rPr>
          <w:rFonts w:ascii="Garamond" w:hAnsi="Garamond"/>
          <w:sz w:val="24"/>
          <w:szCs w:val="24"/>
          <w:lang w:val="sq-AL" w:eastAsia="sq-AL"/>
        </w:rPr>
        <w:t>1, bashkëlidhur dhe pjesë përbërëse e këtij udhëzimi.</w:t>
      </w:r>
    </w:p>
    <w:p w14:paraId="383D4035" w14:textId="77777777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2. Kualifikimi fillestar përbëhet nga 60 orë teori, të cilat kryhen në jo më pak se 15 ditë dhe 10 orë praktikë, të cilat kryhen në jo më pak se 5 ditë.</w:t>
      </w:r>
    </w:p>
    <w:p w14:paraId="20D4EFF9" w14:textId="48B3AEFA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3. Trajnimi periodik përbëhet nga 35 orë teori në jo më pak se 7 ditë.”</w:t>
      </w:r>
      <w:r w:rsidR="00E9794B">
        <w:rPr>
          <w:rFonts w:ascii="Garamond" w:hAnsi="Garamond"/>
          <w:sz w:val="24"/>
          <w:szCs w:val="24"/>
          <w:lang w:val="sq-AL" w:eastAsia="sq-AL"/>
        </w:rPr>
        <w:t>.</w:t>
      </w:r>
    </w:p>
    <w:p w14:paraId="2406D835" w14:textId="6FED8EAC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5.</w:t>
      </w:r>
      <w:r w:rsidR="001C5A9C" w:rsidRP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>Neni 13 ndryshon si më poshtë:</w:t>
      </w:r>
    </w:p>
    <w:p w14:paraId="35A13E4C" w14:textId="3B14E295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“1.</w:t>
      </w:r>
      <w:r w:rsid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Kandidatët që pajisen për herë të parë me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CAP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ndjekin kursin e kualifikimit fillestar dhe i nënshtrohen testimit teorik dhe praktik.</w:t>
      </w:r>
    </w:p>
    <w:p w14:paraId="05DFC9AC" w14:textId="304C8D7B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2.</w:t>
      </w:r>
      <w:r w:rsidR="001C5A9C">
        <w:rPr>
          <w:rFonts w:ascii="Garamond" w:hAnsi="Garamond"/>
          <w:sz w:val="24"/>
          <w:szCs w:val="24"/>
          <w:lang w:val="sq-AL" w:eastAsia="sq-AL"/>
        </w:rPr>
        <w:t xml:space="preserve"> 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Kandidatët që rinovojnë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CAP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ndjekin trajnimin periodik dhe pajisen me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CAP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pas plotësimit të orëve të detyrueshme.”</w:t>
      </w:r>
      <w:r w:rsidR="00E9794B">
        <w:rPr>
          <w:rFonts w:ascii="Garamond" w:hAnsi="Garamond"/>
          <w:sz w:val="24"/>
          <w:szCs w:val="24"/>
          <w:lang w:val="sq-AL" w:eastAsia="sq-AL"/>
        </w:rPr>
        <w:t>.</w:t>
      </w:r>
    </w:p>
    <w:p w14:paraId="754879B6" w14:textId="77777777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6. Paragrafi i tretë i nenit 18 shfuqizohet.</w:t>
      </w:r>
    </w:p>
    <w:p w14:paraId="78723E17" w14:textId="77777777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7. Neni 26 shfuqizohet.</w:t>
      </w:r>
    </w:p>
    <w:p w14:paraId="51C4E5AD" w14:textId="77777777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8. Neni 28 ndryshon me këtë përmbajtje:</w:t>
      </w:r>
    </w:p>
    <w:p w14:paraId="09ABF84A" w14:textId="3870DBDD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lastRenderedPageBreak/>
        <w:t xml:space="preserve">“Rinovimi i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CAP</w:t>
      </w:r>
      <w:proofErr w:type="spellEnd"/>
      <w:r w:rsidR="00E9794B">
        <w:rPr>
          <w:rFonts w:ascii="Garamond" w:hAnsi="Garamond"/>
          <w:sz w:val="24"/>
          <w:szCs w:val="24"/>
          <w:lang w:val="sq-AL" w:eastAsia="sq-AL"/>
        </w:rPr>
        <w:t>-së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 realizohet vetëm pas përfundimit të trajnimit periodik.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Autoshkollat</w:t>
      </w:r>
      <w:proofErr w:type="spellEnd"/>
      <w:r w:rsidRPr="001C5A9C">
        <w:rPr>
          <w:rFonts w:ascii="Garamond" w:hAnsi="Garamond"/>
          <w:sz w:val="24"/>
          <w:szCs w:val="24"/>
          <w:lang w:val="sq-AL" w:eastAsia="sq-AL"/>
        </w:rPr>
        <w:t xml:space="preserve"> përgatisin programet mësimore mbi temat sipas pikës 3 të </w:t>
      </w:r>
      <w:r w:rsidR="00905B97" w:rsidRPr="001C5A9C">
        <w:rPr>
          <w:rFonts w:ascii="Garamond" w:hAnsi="Garamond"/>
          <w:sz w:val="24"/>
          <w:szCs w:val="24"/>
          <w:lang w:val="sq-AL" w:eastAsia="sq-AL"/>
        </w:rPr>
        <w:t xml:space="preserve">shtojcës </w:t>
      </w:r>
      <w:r w:rsidRPr="001C5A9C">
        <w:rPr>
          <w:rFonts w:ascii="Garamond" w:hAnsi="Garamond"/>
          <w:sz w:val="24"/>
          <w:szCs w:val="24"/>
          <w:lang w:val="sq-AL" w:eastAsia="sq-AL"/>
        </w:rPr>
        <w:t xml:space="preserve">1. Kur drejtuesi zotëron dy lloje </w:t>
      </w:r>
      <w:proofErr w:type="spellStart"/>
      <w:r w:rsidRPr="001C5A9C">
        <w:rPr>
          <w:rFonts w:ascii="Garamond" w:hAnsi="Garamond"/>
          <w:sz w:val="24"/>
          <w:szCs w:val="24"/>
          <w:lang w:val="sq-AL" w:eastAsia="sq-AL"/>
        </w:rPr>
        <w:t>CAP</w:t>
      </w:r>
      <w:proofErr w:type="spellEnd"/>
      <w:r w:rsidR="00905B97">
        <w:rPr>
          <w:rFonts w:ascii="Garamond" w:hAnsi="Garamond"/>
          <w:sz w:val="24"/>
          <w:szCs w:val="24"/>
          <w:lang w:val="sq-AL" w:eastAsia="sq-AL"/>
        </w:rPr>
        <w:t>-sh</w:t>
      </w:r>
      <w:r w:rsidRPr="001C5A9C">
        <w:rPr>
          <w:rFonts w:ascii="Garamond" w:hAnsi="Garamond"/>
          <w:sz w:val="24"/>
          <w:szCs w:val="24"/>
          <w:lang w:val="sq-AL" w:eastAsia="sq-AL"/>
        </w:rPr>
        <w:t>, rinovimi mund të kryhet njëkohësisht.”</w:t>
      </w:r>
      <w:r w:rsidR="00905B97">
        <w:rPr>
          <w:rFonts w:ascii="Garamond" w:hAnsi="Garamond"/>
          <w:sz w:val="24"/>
          <w:szCs w:val="24"/>
          <w:lang w:val="sq-AL" w:eastAsia="sq-AL"/>
        </w:rPr>
        <w:t>.</w:t>
      </w:r>
    </w:p>
    <w:p w14:paraId="2560EB94" w14:textId="77777777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 xml:space="preserve"> 9. Neni 32/1 shfuqizohet.</w:t>
      </w:r>
    </w:p>
    <w:p w14:paraId="123A4531" w14:textId="0ED575E7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 xml:space="preserve">10. Shtojca I, zëvendësohet me </w:t>
      </w:r>
      <w:r w:rsidR="00905B97" w:rsidRPr="001C5A9C">
        <w:rPr>
          <w:rFonts w:ascii="Garamond" w:hAnsi="Garamond"/>
          <w:sz w:val="24"/>
          <w:szCs w:val="24"/>
          <w:lang w:val="sq-AL" w:eastAsia="sq-AL"/>
        </w:rPr>
        <w:t xml:space="preserve">shtojcën </w:t>
      </w:r>
      <w:r w:rsidRPr="001C5A9C">
        <w:rPr>
          <w:rFonts w:ascii="Garamond" w:hAnsi="Garamond"/>
          <w:sz w:val="24"/>
          <w:szCs w:val="24"/>
          <w:lang w:val="sq-AL" w:eastAsia="sq-AL"/>
        </w:rPr>
        <w:t>1 bashkëlidhur dhe pjesë përbërëse e këtij udhëzimi.</w:t>
      </w:r>
    </w:p>
    <w:p w14:paraId="607D13A8" w14:textId="77777777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  <w:r w:rsidRPr="001C5A9C">
        <w:rPr>
          <w:rFonts w:ascii="Garamond" w:hAnsi="Garamond"/>
          <w:sz w:val="24"/>
          <w:szCs w:val="24"/>
          <w:lang w:val="sq-AL" w:eastAsia="sq-AL"/>
        </w:rPr>
        <w:t>Ky udhëzim hyn në fuqi pas botimit në Fletoren Zyrtare</w:t>
      </w:r>
    </w:p>
    <w:p w14:paraId="39681057" w14:textId="77777777" w:rsidR="006C162B" w:rsidRPr="001C5A9C" w:rsidRDefault="006C162B" w:rsidP="001C5A9C">
      <w:pPr>
        <w:pStyle w:val="Bodytext1"/>
        <w:spacing w:before="0" w:after="0" w:line="240" w:lineRule="auto"/>
        <w:ind w:firstLine="284"/>
        <w:rPr>
          <w:rFonts w:ascii="Garamond" w:hAnsi="Garamond"/>
          <w:sz w:val="24"/>
          <w:szCs w:val="24"/>
          <w:lang w:val="sq-AL" w:eastAsia="sq-AL"/>
        </w:rPr>
      </w:pPr>
    </w:p>
    <w:p w14:paraId="68479A31" w14:textId="77777777" w:rsidR="006C162B" w:rsidRPr="001C5A9C" w:rsidRDefault="006C162B" w:rsidP="001C5A9C">
      <w:pPr>
        <w:pStyle w:val="Bodytext1"/>
        <w:spacing w:before="0"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1C5A9C">
        <w:rPr>
          <w:rFonts w:ascii="Garamond" w:hAnsi="Garamond"/>
          <w:bCs/>
          <w:sz w:val="24"/>
          <w:szCs w:val="24"/>
          <w:lang w:val="sq-AL"/>
        </w:rPr>
        <w:t xml:space="preserve">MINISTËR I </w:t>
      </w:r>
      <w:r w:rsidRPr="001C5A9C">
        <w:rPr>
          <w:rFonts w:ascii="Garamond" w:hAnsi="Garamond"/>
          <w:sz w:val="24"/>
          <w:szCs w:val="24"/>
          <w:lang w:val="sq-AL" w:eastAsia="sq-AL"/>
        </w:rPr>
        <w:t>INFRASTRUKTURËS DHE ENERGJISË</w:t>
      </w:r>
    </w:p>
    <w:p w14:paraId="1DF339AC" w14:textId="77777777" w:rsidR="006C162B" w:rsidRPr="001C5A9C" w:rsidRDefault="006C162B" w:rsidP="001C5A9C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1C5A9C">
        <w:rPr>
          <w:rFonts w:ascii="Garamond" w:hAnsi="Garamond"/>
          <w:b/>
          <w:bCs/>
          <w:sz w:val="24"/>
          <w:szCs w:val="24"/>
        </w:rPr>
        <w:t>Enea</w:t>
      </w:r>
      <w:proofErr w:type="spellEnd"/>
      <w:r w:rsidRPr="001C5A9C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1C5A9C">
        <w:rPr>
          <w:rFonts w:ascii="Garamond" w:hAnsi="Garamond"/>
          <w:b/>
          <w:bCs/>
          <w:sz w:val="24"/>
          <w:szCs w:val="24"/>
        </w:rPr>
        <w:t>Karakaçi</w:t>
      </w:r>
      <w:proofErr w:type="spellEnd"/>
    </w:p>
    <w:p w14:paraId="16F8363B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4B45387E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3995296B" w14:textId="77777777" w:rsidR="006C162B" w:rsidRPr="001C5A9C" w:rsidRDefault="006C162B" w:rsidP="001C5A9C">
      <w:pPr>
        <w:spacing w:after="0" w:line="240" w:lineRule="auto"/>
        <w:jc w:val="center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SHTOJCA 1</w:t>
      </w:r>
    </w:p>
    <w:p w14:paraId="2A62BA13" w14:textId="77777777" w:rsidR="006C162B" w:rsidRPr="001C5A9C" w:rsidRDefault="006C162B" w:rsidP="001C5A9C">
      <w:pPr>
        <w:spacing w:after="0" w:line="240" w:lineRule="auto"/>
        <w:jc w:val="center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PROGRAMI I KUALIFIKIMIT FILLESTAR DHE TRAJNIMIT PERIODIK</w:t>
      </w:r>
    </w:p>
    <w:p w14:paraId="28893A54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</w:p>
    <w:p w14:paraId="338F70AC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Qëllimi i programit</w:t>
      </w:r>
    </w:p>
    <w:p w14:paraId="20E24D41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Qëllimi i programit të kualifikimit fillestar dhe të trajnimit periodik është:</w:t>
      </w:r>
    </w:p>
    <w:p w14:paraId="24BA7721" w14:textId="6D2432E4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-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përgatitja profesionale e drejtuesve të mjeteve të kategorive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C1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, C,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C1E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,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CE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,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D1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, D,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D1E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 dhe DE;</w:t>
      </w:r>
    </w:p>
    <w:p w14:paraId="2078EF87" w14:textId="32AE93D3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-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rritja e sigurisë së qarkullimit rrugor;</w:t>
      </w:r>
    </w:p>
    <w:p w14:paraId="5A89CCE8" w14:textId="6F08D26F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-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zotërimi i njohurive teknike e profesionale për përdorimin e mjeteve;</w:t>
      </w:r>
    </w:p>
    <w:p w14:paraId="7386C954" w14:textId="37F39F4B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-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ulja e aksidenteve dhe rritja e efikasitetit në transport;</w:t>
      </w:r>
    </w:p>
    <w:p w14:paraId="14E68EAF" w14:textId="6B7D35CD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-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garantimi i standardeve </w:t>
      </w:r>
      <w:r w:rsidR="001C5A9C" w:rsidRPr="001C5A9C">
        <w:rPr>
          <w:rFonts w:ascii="Garamond" w:hAnsi="Garamond"/>
          <w:sz w:val="24"/>
          <w:szCs w:val="24"/>
          <w:lang w:eastAsia="x-none"/>
        </w:rPr>
        <w:t>evropiane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 për marrjen dhe rinovimin e Certifikatës së Aftësisë Profesionale (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CAP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).</w:t>
      </w:r>
    </w:p>
    <w:p w14:paraId="6BFC8A17" w14:textId="67846FC8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A.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PROGRAMI I KUALIFIKIMIT FILLESTAR </w:t>
      </w:r>
    </w:p>
    <w:p w14:paraId="524A8F3D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Programi teorik që do të aplikohet nga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autoshkollat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 për përgatitjen e kandidatëve që do të kërkojnë të pajisen me Certifikatën e Aftësisë Profesionale do të zhvillohet në 60 orë mësimi, të zhvilluara jo më pak se 15 ditë, respektivisht sipas temave të mëposhtme:</w:t>
      </w:r>
    </w:p>
    <w:p w14:paraId="1165ECCE" w14:textId="4197AB1F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Tema 1 – Kuadri ligjor dhe detyrimet për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CAP</w:t>
      </w:r>
      <w:proofErr w:type="spellEnd"/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(4 orë)</w:t>
      </w:r>
    </w:p>
    <w:p w14:paraId="0E3A65EB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Përmbajtja: Kuadri ligjor shqiptar; roli i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DPSHTRR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; kodi 95; detyrimet e drejtuesit.</w:t>
      </w:r>
    </w:p>
    <w:p w14:paraId="71649BFE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Direktiva e BE për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CAP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-in.</w:t>
      </w:r>
    </w:p>
    <w:p w14:paraId="3BC1653F" w14:textId="211A0ECC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2 – Njohuri nga Kodi Rrugor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(8 orë)</w:t>
      </w:r>
    </w:p>
    <w:p w14:paraId="0555F30A" w14:textId="2629410D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Klasifikimi i mjeteve; </w:t>
      </w:r>
      <w:r w:rsidR="00BB0A2B" w:rsidRPr="001C5A9C">
        <w:rPr>
          <w:rFonts w:ascii="Garamond" w:hAnsi="Garamond"/>
          <w:sz w:val="24"/>
          <w:szCs w:val="24"/>
          <w:lang w:eastAsia="x-none"/>
        </w:rPr>
        <w:t xml:space="preserve">normat 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e sjelljes; </w:t>
      </w:r>
      <w:proofErr w:type="spellStart"/>
      <w:r w:rsidR="00BB0A2B" w:rsidRPr="001C5A9C">
        <w:rPr>
          <w:rFonts w:ascii="Garamond" w:hAnsi="Garamond"/>
          <w:sz w:val="24"/>
          <w:szCs w:val="24"/>
          <w:lang w:eastAsia="x-none"/>
        </w:rPr>
        <w:t>sinjalistika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; </w:t>
      </w:r>
      <w:r w:rsidR="00BB0A2B" w:rsidRPr="001C5A9C">
        <w:rPr>
          <w:rFonts w:ascii="Garamond" w:hAnsi="Garamond"/>
          <w:sz w:val="24"/>
          <w:szCs w:val="24"/>
          <w:lang w:eastAsia="x-none"/>
        </w:rPr>
        <w:t xml:space="preserve">transporti </w:t>
      </w:r>
      <w:r w:rsidRPr="001C5A9C">
        <w:rPr>
          <w:rFonts w:ascii="Garamond" w:hAnsi="Garamond"/>
          <w:sz w:val="24"/>
          <w:szCs w:val="24"/>
          <w:lang w:eastAsia="x-none"/>
        </w:rPr>
        <w:t>i mallrave e pasagjerëve.</w:t>
      </w:r>
    </w:p>
    <w:p w14:paraId="4D596F3E" w14:textId="1F8FE2EF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3 – Rregullorja e zbatimit të Kodit Rrugor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(5 orë)</w:t>
      </w:r>
    </w:p>
    <w:p w14:paraId="7B0D8898" w14:textId="5E7E500E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Formalitetet e qarkullimit; </w:t>
      </w:r>
      <w:r w:rsidR="00BB0A2B" w:rsidRPr="001C5A9C">
        <w:rPr>
          <w:rFonts w:ascii="Garamond" w:hAnsi="Garamond"/>
          <w:sz w:val="24"/>
          <w:szCs w:val="24"/>
          <w:lang w:eastAsia="x-none"/>
        </w:rPr>
        <w:t>dokumentacioni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; </w:t>
      </w:r>
      <w:r w:rsidR="00BB0A2B" w:rsidRPr="001C5A9C">
        <w:rPr>
          <w:rFonts w:ascii="Garamond" w:hAnsi="Garamond"/>
          <w:sz w:val="24"/>
          <w:szCs w:val="24"/>
          <w:lang w:eastAsia="x-none"/>
        </w:rPr>
        <w:t xml:space="preserve">mjetet </w:t>
      </w:r>
      <w:r w:rsidRPr="001C5A9C">
        <w:rPr>
          <w:rFonts w:ascii="Garamond" w:hAnsi="Garamond"/>
          <w:sz w:val="24"/>
          <w:szCs w:val="24"/>
          <w:lang w:eastAsia="x-none"/>
        </w:rPr>
        <w:t>jashtë norme.</w:t>
      </w:r>
    </w:p>
    <w:p w14:paraId="513E1EB6" w14:textId="7854BF4C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4 – Ligji për transportet rrugore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(5 orë)</w:t>
      </w:r>
    </w:p>
    <w:p w14:paraId="572D10BF" w14:textId="1AEAA820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Llojet e transporteve; </w:t>
      </w:r>
      <w:r w:rsidR="00BB0A2B" w:rsidRPr="001C5A9C">
        <w:rPr>
          <w:rFonts w:ascii="Garamond" w:hAnsi="Garamond"/>
          <w:sz w:val="24"/>
          <w:szCs w:val="24"/>
          <w:lang w:eastAsia="x-none"/>
        </w:rPr>
        <w:t>licencimi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; </w:t>
      </w:r>
      <w:r w:rsidR="00BB0A2B" w:rsidRPr="001C5A9C">
        <w:rPr>
          <w:rFonts w:ascii="Garamond" w:hAnsi="Garamond"/>
          <w:sz w:val="24"/>
          <w:szCs w:val="24"/>
          <w:lang w:eastAsia="x-none"/>
        </w:rPr>
        <w:t xml:space="preserve">detyrimet </w:t>
      </w:r>
      <w:r w:rsidRPr="001C5A9C">
        <w:rPr>
          <w:rFonts w:ascii="Garamond" w:hAnsi="Garamond"/>
          <w:sz w:val="24"/>
          <w:szCs w:val="24"/>
          <w:lang w:eastAsia="x-none"/>
        </w:rPr>
        <w:t>e operatorëve.</w:t>
      </w:r>
    </w:p>
    <w:p w14:paraId="76E8470D" w14:textId="176C1F30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Tema 5 – Koha e punës dhe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tahografi</w:t>
      </w:r>
      <w:proofErr w:type="spellEnd"/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(2 orë)</w:t>
      </w:r>
    </w:p>
    <w:p w14:paraId="47FAAB7E" w14:textId="05445C46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Regjimet e orëve; </w:t>
      </w:r>
      <w:r w:rsidR="00BB0A2B" w:rsidRPr="001C5A9C">
        <w:rPr>
          <w:rFonts w:ascii="Garamond" w:hAnsi="Garamond"/>
          <w:sz w:val="24"/>
          <w:szCs w:val="24"/>
          <w:lang w:eastAsia="x-none"/>
        </w:rPr>
        <w:t>pushimet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; </w:t>
      </w:r>
      <w:r w:rsidR="00BB0A2B" w:rsidRPr="001C5A9C">
        <w:rPr>
          <w:rFonts w:ascii="Garamond" w:hAnsi="Garamond"/>
          <w:sz w:val="24"/>
          <w:szCs w:val="24"/>
          <w:lang w:eastAsia="x-none"/>
        </w:rPr>
        <w:t xml:space="preserve">rregullorja 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561/2006; </w:t>
      </w:r>
      <w:proofErr w:type="spellStart"/>
      <w:r w:rsidR="00BB0A2B" w:rsidRPr="001C5A9C">
        <w:rPr>
          <w:rFonts w:ascii="Garamond" w:hAnsi="Garamond"/>
          <w:sz w:val="24"/>
          <w:szCs w:val="24"/>
          <w:lang w:eastAsia="x-none"/>
        </w:rPr>
        <w:t>tahografi</w:t>
      </w:r>
      <w:proofErr w:type="spellEnd"/>
      <w:r w:rsidR="00BB0A2B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digjital.</w:t>
      </w:r>
    </w:p>
    <w:p w14:paraId="7691DEA8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Përditësim për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tahografin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 inteligjent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Smart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Tachograph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V2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.</w:t>
      </w:r>
    </w:p>
    <w:p w14:paraId="5517C3B9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6 – Njohuri teknike të mjeteve (10 orë)</w:t>
      </w:r>
    </w:p>
    <w:p w14:paraId="0BBC713E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Motorët, transmetimi, frenat, elektronika, diagnostikimi.</w:t>
      </w:r>
    </w:p>
    <w:p w14:paraId="5751139D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Sistemet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ADAS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 (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AEB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,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ESP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,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LKA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,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LDW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).</w:t>
      </w:r>
    </w:p>
    <w:p w14:paraId="5C6A61CC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Optimizimi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 i konsumit karburantit</w:t>
      </w:r>
    </w:p>
    <w:p w14:paraId="7836C14C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Ngarkesa e mjetit dhe kujdesi</w:t>
      </w:r>
    </w:p>
    <w:p w14:paraId="67A279EB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Rehatia dhe siguria e pasagjerit</w:t>
      </w:r>
    </w:p>
    <w:p w14:paraId="5F2C0935" w14:textId="37FE5E18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7 – Rregullat që menaxhojnë transportin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(4 orë)</w:t>
      </w:r>
    </w:p>
    <w:p w14:paraId="376A121E" w14:textId="4BF5991C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Dokumentet e transportit;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CMR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; </w:t>
      </w:r>
      <w:r w:rsidR="00BB0A2B" w:rsidRPr="001C5A9C">
        <w:rPr>
          <w:rFonts w:ascii="Garamond" w:hAnsi="Garamond"/>
          <w:sz w:val="24"/>
          <w:szCs w:val="24"/>
          <w:lang w:eastAsia="x-none"/>
        </w:rPr>
        <w:t xml:space="preserve">rregullat </w:t>
      </w:r>
      <w:r w:rsidRPr="001C5A9C">
        <w:rPr>
          <w:rFonts w:ascii="Garamond" w:hAnsi="Garamond"/>
          <w:sz w:val="24"/>
          <w:szCs w:val="24"/>
          <w:lang w:eastAsia="x-none"/>
        </w:rPr>
        <w:t>ndërkombëtare, pajisjet e sigurisë.</w:t>
      </w:r>
    </w:p>
    <w:p w14:paraId="7B45D6E5" w14:textId="188F2EFA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8 – Shëndeti, siguria dhe emergjencat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(8 orë)</w:t>
      </w:r>
    </w:p>
    <w:p w14:paraId="415212C4" w14:textId="25808D30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Rreziqet e qarkullimit; </w:t>
      </w:r>
      <w:r w:rsidR="00BB0A2B" w:rsidRPr="001C5A9C">
        <w:rPr>
          <w:rFonts w:ascii="Garamond" w:hAnsi="Garamond"/>
          <w:sz w:val="24"/>
          <w:szCs w:val="24"/>
          <w:lang w:eastAsia="x-none"/>
        </w:rPr>
        <w:t xml:space="preserve">ndihma 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e parë; </w:t>
      </w:r>
      <w:r w:rsidR="00BB0A2B" w:rsidRPr="001C5A9C">
        <w:rPr>
          <w:rFonts w:ascii="Garamond" w:hAnsi="Garamond"/>
          <w:sz w:val="24"/>
          <w:szCs w:val="24"/>
          <w:lang w:eastAsia="x-none"/>
        </w:rPr>
        <w:t xml:space="preserve">evakuimi </w:t>
      </w:r>
      <w:r w:rsidRPr="001C5A9C">
        <w:rPr>
          <w:rFonts w:ascii="Garamond" w:hAnsi="Garamond"/>
          <w:sz w:val="24"/>
          <w:szCs w:val="24"/>
          <w:lang w:eastAsia="x-none"/>
        </w:rPr>
        <w:t>i pasagjerëve.</w:t>
      </w:r>
    </w:p>
    <w:p w14:paraId="04A6C18C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Parandalimi i kriminalitetit dhe trafikimit të paligjshëm.</w:t>
      </w:r>
    </w:p>
    <w:p w14:paraId="0C5BD142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Menaxhimi i stresit dhe faktorët psikologjikë.</w:t>
      </w:r>
    </w:p>
    <w:p w14:paraId="397789B3" w14:textId="05570D00" w:rsidR="006C162B" w:rsidRPr="001C5A9C" w:rsidRDefault="001C5A9C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Rëndesa</w:t>
      </w:r>
      <w:r w:rsidR="006C162B" w:rsidRPr="001C5A9C">
        <w:rPr>
          <w:rFonts w:ascii="Garamond" w:hAnsi="Garamond"/>
          <w:sz w:val="24"/>
          <w:szCs w:val="24"/>
          <w:lang w:eastAsia="x-none"/>
        </w:rPr>
        <w:t xml:space="preserve"> e aftësive fizike dhe mendore, të ushqyerit e balancuar, efektet e alkoolit dhe substancave.</w:t>
      </w:r>
    </w:p>
    <w:p w14:paraId="39EA5EC3" w14:textId="0B21A570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lastRenderedPageBreak/>
        <w:t>Tema 9 – Njohuri tekniko-profesionale të avancuara për riparimin dhe mirëmbajtjen e mjetit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r w:rsidRPr="001C5A9C">
        <w:rPr>
          <w:rFonts w:ascii="Garamond" w:hAnsi="Garamond"/>
          <w:sz w:val="24"/>
          <w:szCs w:val="24"/>
          <w:lang w:eastAsia="x-none"/>
        </w:rPr>
        <w:t>për të garantuar sigurinë në qarkullim dhe mbrojtjen e mjedisit (14 orë)</w:t>
      </w:r>
    </w:p>
    <w:p w14:paraId="6F42244C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Motorët,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shasia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, frenat, sistemi elektrik, mirëmbajtja.</w:t>
      </w:r>
    </w:p>
    <w:p w14:paraId="5777600F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I. PROGRAMI PRAKTIK – KUALIFIKIM FILLESTAR</w:t>
      </w:r>
    </w:p>
    <w:p w14:paraId="19AD0162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10 orë praktikë – të zhvilluara jo më pak se 5 ditë</w:t>
      </w:r>
    </w:p>
    <w:p w14:paraId="1D1ACF97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1 – Ngarkimi dhe siguria e ngarkesës (5 orë)</w:t>
      </w:r>
    </w:p>
    <w:p w14:paraId="289A962B" w14:textId="307596A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Llogaritja e peshave, </w:t>
      </w:r>
      <w:r w:rsidR="003A7112" w:rsidRPr="001C5A9C">
        <w:rPr>
          <w:rFonts w:ascii="Garamond" w:hAnsi="Garamond"/>
          <w:sz w:val="24"/>
          <w:szCs w:val="24"/>
          <w:lang w:eastAsia="x-none"/>
        </w:rPr>
        <w:t xml:space="preserve">pajisjet </w:t>
      </w:r>
      <w:r w:rsidRPr="001C5A9C">
        <w:rPr>
          <w:rFonts w:ascii="Garamond" w:hAnsi="Garamond"/>
          <w:sz w:val="24"/>
          <w:szCs w:val="24"/>
          <w:lang w:eastAsia="x-none"/>
        </w:rPr>
        <w:t xml:space="preserve">e sigurimit, </w:t>
      </w:r>
      <w:r w:rsidR="003A7112" w:rsidRPr="001C5A9C">
        <w:rPr>
          <w:rFonts w:ascii="Garamond" w:hAnsi="Garamond"/>
          <w:sz w:val="24"/>
          <w:szCs w:val="24"/>
          <w:lang w:eastAsia="x-none"/>
        </w:rPr>
        <w:t xml:space="preserve">stabiliteti </w:t>
      </w:r>
      <w:r w:rsidRPr="001C5A9C">
        <w:rPr>
          <w:rFonts w:ascii="Garamond" w:hAnsi="Garamond"/>
          <w:sz w:val="24"/>
          <w:szCs w:val="24"/>
          <w:lang w:eastAsia="x-none"/>
        </w:rPr>
        <w:t>i mjetit.</w:t>
      </w:r>
    </w:p>
    <w:p w14:paraId="4D7FBFF2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2 – Manovrimi dhe drejtimi i mjetit (5 orë)</w:t>
      </w:r>
    </w:p>
    <w:p w14:paraId="38F375F7" w14:textId="056F6A4B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Manovra në poligon. Drejtim urban/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interurban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. Siguria e pasagjerëve (kategoritë</w:t>
      </w:r>
      <w:r w:rsidR="001C5A9C"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D1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/D).</w:t>
      </w:r>
    </w:p>
    <w:p w14:paraId="6F015068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Ngarkimi, shpërndarja e peshës, manovrat, kontrolli i mjeteve dhe siguria e pasagjerëve.</w:t>
      </w:r>
    </w:p>
    <w:p w14:paraId="20769128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II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. PROGRAMI I TRAJNIMIT PERIODIK (35 orë)</w:t>
      </w:r>
    </w:p>
    <w:p w14:paraId="7FAB6A3E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Shpërndarja: 7 ditë × 5 orë, </w:t>
      </w:r>
    </w:p>
    <w:p w14:paraId="6E17CDFF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1 – Zhvillimet për sigurinë rrugore (7 orë)</w:t>
      </w:r>
    </w:p>
    <w:p w14:paraId="2246AB0C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ADAS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; rreziqet moderne; strategjitë e shmangies së aksidenteve.</w:t>
      </w:r>
    </w:p>
    <w:p w14:paraId="0C1CA522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Tema 2 – Rregullat sociale dhe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tahografi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 inteligjent (7 orë)</w:t>
      </w:r>
    </w:p>
    <w:p w14:paraId="41F7BE8D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 xml:space="preserve">Orët e drejtimit/pushimit;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Smart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Tachograph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 xml:space="preserve"> </w:t>
      </w:r>
      <w:proofErr w:type="spellStart"/>
      <w:r w:rsidRPr="001C5A9C">
        <w:rPr>
          <w:rFonts w:ascii="Garamond" w:hAnsi="Garamond"/>
          <w:sz w:val="24"/>
          <w:szCs w:val="24"/>
          <w:lang w:eastAsia="x-none"/>
        </w:rPr>
        <w:t>V2</w:t>
      </w:r>
      <w:proofErr w:type="spellEnd"/>
      <w:r w:rsidRPr="001C5A9C">
        <w:rPr>
          <w:rFonts w:ascii="Garamond" w:hAnsi="Garamond"/>
          <w:sz w:val="24"/>
          <w:szCs w:val="24"/>
          <w:lang w:eastAsia="x-none"/>
        </w:rPr>
        <w:t>; përgjegjësia ligjore.</w:t>
      </w:r>
    </w:p>
    <w:p w14:paraId="5855FFB6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3 – Drejtimi ekologjik i mjetit dhe ndikimi mjedisor (7 orë)</w:t>
      </w:r>
    </w:p>
    <w:p w14:paraId="763FD6CF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Kursimi i karburantit; drejtimi ekologjik; ulja e emetimeve.</w:t>
      </w:r>
    </w:p>
    <w:p w14:paraId="0A20C068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4 – Siguria e ngarkesës/pasagjerëve (7 orë)</w:t>
      </w:r>
    </w:p>
    <w:p w14:paraId="25821D57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Sigurimi i ngarkesës; rreziqet; evakuimi i pasagjerëve.</w:t>
      </w:r>
    </w:p>
    <w:p w14:paraId="0BAC57FE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Tema 5 – Shëndeti dhe sjellja profesionale (7 orë)</w:t>
      </w:r>
    </w:p>
    <w:p w14:paraId="6DB86664" w14:textId="77777777" w:rsidR="006C162B" w:rsidRPr="001C5A9C" w:rsidRDefault="006C162B" w:rsidP="001C5A9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x-none"/>
        </w:rPr>
      </w:pPr>
      <w:r w:rsidRPr="001C5A9C">
        <w:rPr>
          <w:rFonts w:ascii="Garamond" w:hAnsi="Garamond"/>
          <w:sz w:val="24"/>
          <w:szCs w:val="24"/>
          <w:lang w:eastAsia="x-none"/>
        </w:rPr>
        <w:t>Stresi, lodhja, komunikimi profesional, imazhi i kompanisë.</w:t>
      </w:r>
      <w:bookmarkStart w:id="2" w:name="_GoBack"/>
      <w:bookmarkEnd w:id="2"/>
    </w:p>
    <w:p w14:paraId="3209E78A" w14:textId="77777777" w:rsidR="00EC31DC" w:rsidRPr="001C5A9C" w:rsidRDefault="00EC31DC" w:rsidP="001C5A9C">
      <w:pPr>
        <w:jc w:val="both"/>
      </w:pPr>
    </w:p>
    <w:sectPr w:rsidR="00EC31DC" w:rsidRPr="001C5A9C" w:rsidSect="001C5A9C">
      <w:pgSz w:w="11909" w:h="16834" w:code="9"/>
      <w:pgMar w:top="1134" w:right="1418" w:bottom="1134" w:left="1701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85000E" w14:textId="77777777" w:rsidR="001C5A9C" w:rsidRDefault="001C5A9C">
      <w:pPr>
        <w:spacing w:after="0" w:line="240" w:lineRule="auto"/>
      </w:pPr>
      <w:r>
        <w:separator/>
      </w:r>
    </w:p>
  </w:endnote>
  <w:endnote w:type="continuationSeparator" w:id="0">
    <w:p w14:paraId="6C6703B4" w14:textId="77777777" w:rsidR="001C5A9C" w:rsidRDefault="001C5A9C">
      <w:pPr>
        <w:spacing w:after="0" w:line="240" w:lineRule="auto"/>
      </w:pPr>
      <w:r>
        <w:continuationSeparator/>
      </w:r>
    </w:p>
  </w:endnote>
  <w:endnote w:type="continuationNotice" w:id="1">
    <w:p w14:paraId="4CDD1E61" w14:textId="77777777" w:rsidR="001C5A9C" w:rsidRDefault="001C5A9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8A72FE" w14:textId="77777777" w:rsidR="001C5A9C" w:rsidRDefault="001C5A9C">
      <w:pPr>
        <w:spacing w:after="0" w:line="240" w:lineRule="auto"/>
      </w:pPr>
      <w:r>
        <w:separator/>
      </w:r>
    </w:p>
  </w:footnote>
  <w:footnote w:type="continuationSeparator" w:id="0">
    <w:p w14:paraId="334C582B" w14:textId="77777777" w:rsidR="001C5A9C" w:rsidRDefault="001C5A9C">
      <w:pPr>
        <w:spacing w:after="0" w:line="240" w:lineRule="auto"/>
      </w:pPr>
      <w:r>
        <w:continuationSeparator/>
      </w:r>
    </w:p>
  </w:footnote>
  <w:footnote w:type="continuationNotice" w:id="1">
    <w:p w14:paraId="15EA688E" w14:textId="77777777" w:rsidR="001C5A9C" w:rsidRDefault="001C5A9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371799"/>
    <w:multiLevelType w:val="multilevel"/>
    <w:tmpl w:val="1CAE91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B75109"/>
    <w:multiLevelType w:val="hybridMultilevel"/>
    <w:tmpl w:val="DC8A41B8"/>
    <w:lvl w:ilvl="0" w:tplc="95BA81DE">
      <w:start w:val="1"/>
      <w:numFmt w:val="decimal"/>
      <w:lvlText w:val="%1."/>
      <w:lvlJc w:val="left"/>
      <w:pPr>
        <w:ind w:left="309" w:hanging="202"/>
      </w:pPr>
      <w:rPr>
        <w:rFonts w:ascii="Times New Roman" w:eastAsia="Times New Roman" w:hAnsi="Times New Roman" w:cs="Times New Roman" w:hint="default"/>
        <w:spacing w:val="0"/>
        <w:w w:val="99"/>
        <w:sz w:val="24"/>
        <w:szCs w:val="24"/>
        <w:lang w:val="sq-AL" w:eastAsia="en-US" w:bidi="ar-SA"/>
      </w:rPr>
    </w:lvl>
    <w:lvl w:ilvl="1" w:tplc="5BFC57D0">
      <w:numFmt w:val="bullet"/>
      <w:lvlText w:val="•"/>
      <w:lvlJc w:val="left"/>
      <w:pPr>
        <w:ind w:left="1247" w:hanging="202"/>
      </w:pPr>
      <w:rPr>
        <w:rFonts w:hint="default"/>
        <w:lang w:val="sq-AL" w:eastAsia="en-US" w:bidi="ar-SA"/>
      </w:rPr>
    </w:lvl>
    <w:lvl w:ilvl="2" w:tplc="3F0C30F2">
      <w:numFmt w:val="bullet"/>
      <w:lvlText w:val="•"/>
      <w:lvlJc w:val="left"/>
      <w:pPr>
        <w:ind w:left="2194" w:hanging="202"/>
      </w:pPr>
      <w:rPr>
        <w:rFonts w:hint="default"/>
        <w:lang w:val="sq-AL" w:eastAsia="en-US" w:bidi="ar-SA"/>
      </w:rPr>
    </w:lvl>
    <w:lvl w:ilvl="3" w:tplc="1A8AA90C">
      <w:numFmt w:val="bullet"/>
      <w:lvlText w:val="•"/>
      <w:lvlJc w:val="left"/>
      <w:pPr>
        <w:ind w:left="3141" w:hanging="202"/>
      </w:pPr>
      <w:rPr>
        <w:rFonts w:hint="default"/>
        <w:lang w:val="sq-AL" w:eastAsia="en-US" w:bidi="ar-SA"/>
      </w:rPr>
    </w:lvl>
    <w:lvl w:ilvl="4" w:tplc="A8207B7A">
      <w:numFmt w:val="bullet"/>
      <w:lvlText w:val="•"/>
      <w:lvlJc w:val="left"/>
      <w:pPr>
        <w:ind w:left="4088" w:hanging="202"/>
      </w:pPr>
      <w:rPr>
        <w:rFonts w:hint="default"/>
        <w:lang w:val="sq-AL" w:eastAsia="en-US" w:bidi="ar-SA"/>
      </w:rPr>
    </w:lvl>
    <w:lvl w:ilvl="5" w:tplc="796CA9D6">
      <w:numFmt w:val="bullet"/>
      <w:lvlText w:val="•"/>
      <w:lvlJc w:val="left"/>
      <w:pPr>
        <w:ind w:left="5035" w:hanging="202"/>
      </w:pPr>
      <w:rPr>
        <w:rFonts w:hint="default"/>
        <w:lang w:val="sq-AL" w:eastAsia="en-US" w:bidi="ar-SA"/>
      </w:rPr>
    </w:lvl>
    <w:lvl w:ilvl="6" w:tplc="009E0044">
      <w:numFmt w:val="bullet"/>
      <w:lvlText w:val="•"/>
      <w:lvlJc w:val="left"/>
      <w:pPr>
        <w:ind w:left="5982" w:hanging="202"/>
      </w:pPr>
      <w:rPr>
        <w:rFonts w:hint="default"/>
        <w:lang w:val="sq-AL" w:eastAsia="en-US" w:bidi="ar-SA"/>
      </w:rPr>
    </w:lvl>
    <w:lvl w:ilvl="7" w:tplc="9634F66A">
      <w:numFmt w:val="bullet"/>
      <w:lvlText w:val="•"/>
      <w:lvlJc w:val="left"/>
      <w:pPr>
        <w:ind w:left="6929" w:hanging="202"/>
      </w:pPr>
      <w:rPr>
        <w:rFonts w:hint="default"/>
        <w:lang w:val="sq-AL" w:eastAsia="en-US" w:bidi="ar-SA"/>
      </w:rPr>
    </w:lvl>
    <w:lvl w:ilvl="8" w:tplc="F2CC316A">
      <w:numFmt w:val="bullet"/>
      <w:lvlText w:val="•"/>
      <w:lvlJc w:val="left"/>
      <w:pPr>
        <w:ind w:left="7876" w:hanging="202"/>
      </w:pPr>
      <w:rPr>
        <w:rFonts w:hint="default"/>
        <w:lang w:val="sq-AL" w:eastAsia="en-US" w:bidi="ar-SA"/>
      </w:rPr>
    </w:lvl>
  </w:abstractNum>
  <w:abstractNum w:abstractNumId="2" w15:restartNumberingAfterBreak="0">
    <w:nsid w:val="18023451"/>
    <w:multiLevelType w:val="multilevel"/>
    <w:tmpl w:val="ADC03C30"/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3" w15:restartNumberingAfterBreak="0">
    <w:nsid w:val="1D88232B"/>
    <w:multiLevelType w:val="hybridMultilevel"/>
    <w:tmpl w:val="6A62C6B0"/>
    <w:lvl w:ilvl="0" w:tplc="E3DE5B48">
      <w:numFmt w:val="bullet"/>
      <w:lvlText w:val="-"/>
      <w:lvlJc w:val="left"/>
      <w:pPr>
        <w:ind w:left="1080" w:hanging="360"/>
      </w:pPr>
      <w:rPr>
        <w:rFonts w:ascii="Book Antiqua" w:eastAsiaTheme="minorEastAsia" w:hAnsi="Book Antiqua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8E242DE"/>
    <w:multiLevelType w:val="hybridMultilevel"/>
    <w:tmpl w:val="EBDCD83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A91"/>
    <w:rsid w:val="00002E0E"/>
    <w:rsid w:val="00013A91"/>
    <w:rsid w:val="00015FE7"/>
    <w:rsid w:val="00017430"/>
    <w:rsid w:val="000446F9"/>
    <w:rsid w:val="00046453"/>
    <w:rsid w:val="000526AD"/>
    <w:rsid w:val="00082AE9"/>
    <w:rsid w:val="00092DFC"/>
    <w:rsid w:val="00093236"/>
    <w:rsid w:val="000946F8"/>
    <w:rsid w:val="000D7C11"/>
    <w:rsid w:val="000E7FD5"/>
    <w:rsid w:val="00100408"/>
    <w:rsid w:val="00112D11"/>
    <w:rsid w:val="001203E8"/>
    <w:rsid w:val="00122B2F"/>
    <w:rsid w:val="00140DBA"/>
    <w:rsid w:val="001C5A9C"/>
    <w:rsid w:val="001E709D"/>
    <w:rsid w:val="00222AB7"/>
    <w:rsid w:val="00244CC7"/>
    <w:rsid w:val="00251ABD"/>
    <w:rsid w:val="00253513"/>
    <w:rsid w:val="002758E4"/>
    <w:rsid w:val="002806F9"/>
    <w:rsid w:val="00295761"/>
    <w:rsid w:val="002B316E"/>
    <w:rsid w:val="002F04B1"/>
    <w:rsid w:val="0031170E"/>
    <w:rsid w:val="00330B69"/>
    <w:rsid w:val="003437D8"/>
    <w:rsid w:val="0036388E"/>
    <w:rsid w:val="00380DD1"/>
    <w:rsid w:val="00395845"/>
    <w:rsid w:val="003A65D9"/>
    <w:rsid w:val="003A7112"/>
    <w:rsid w:val="003D126D"/>
    <w:rsid w:val="003D59FC"/>
    <w:rsid w:val="003F27F6"/>
    <w:rsid w:val="003F34E4"/>
    <w:rsid w:val="00401A11"/>
    <w:rsid w:val="0040343E"/>
    <w:rsid w:val="00407FCB"/>
    <w:rsid w:val="00412DBA"/>
    <w:rsid w:val="00442109"/>
    <w:rsid w:val="004A459F"/>
    <w:rsid w:val="004B5275"/>
    <w:rsid w:val="004C2B0C"/>
    <w:rsid w:val="004C3C1A"/>
    <w:rsid w:val="004C42E1"/>
    <w:rsid w:val="005072C4"/>
    <w:rsid w:val="00511D7E"/>
    <w:rsid w:val="00520F25"/>
    <w:rsid w:val="00534AC6"/>
    <w:rsid w:val="00543A70"/>
    <w:rsid w:val="00597B33"/>
    <w:rsid w:val="005A0CD0"/>
    <w:rsid w:val="005B4001"/>
    <w:rsid w:val="005E4336"/>
    <w:rsid w:val="006074FD"/>
    <w:rsid w:val="00634D3A"/>
    <w:rsid w:val="00635A16"/>
    <w:rsid w:val="00661CC3"/>
    <w:rsid w:val="00694354"/>
    <w:rsid w:val="006A1BF4"/>
    <w:rsid w:val="006C162B"/>
    <w:rsid w:val="006C27BB"/>
    <w:rsid w:val="006D0CA5"/>
    <w:rsid w:val="006F13DE"/>
    <w:rsid w:val="00716BFC"/>
    <w:rsid w:val="00756253"/>
    <w:rsid w:val="0076043B"/>
    <w:rsid w:val="007628A7"/>
    <w:rsid w:val="007A3D23"/>
    <w:rsid w:val="007D233B"/>
    <w:rsid w:val="007D4BEE"/>
    <w:rsid w:val="007E1ACA"/>
    <w:rsid w:val="007E1C42"/>
    <w:rsid w:val="007E433E"/>
    <w:rsid w:val="00812B2B"/>
    <w:rsid w:val="00812B4D"/>
    <w:rsid w:val="00822282"/>
    <w:rsid w:val="00872E94"/>
    <w:rsid w:val="00896D75"/>
    <w:rsid w:val="00897122"/>
    <w:rsid w:val="008A63EB"/>
    <w:rsid w:val="008A7C9D"/>
    <w:rsid w:val="008C725E"/>
    <w:rsid w:val="008D6E65"/>
    <w:rsid w:val="00905B97"/>
    <w:rsid w:val="009469E3"/>
    <w:rsid w:val="00961908"/>
    <w:rsid w:val="00966A55"/>
    <w:rsid w:val="00981680"/>
    <w:rsid w:val="009B19E6"/>
    <w:rsid w:val="009B1A4C"/>
    <w:rsid w:val="009B1CAC"/>
    <w:rsid w:val="009C70BE"/>
    <w:rsid w:val="009E7E95"/>
    <w:rsid w:val="00A131EA"/>
    <w:rsid w:val="00A21A32"/>
    <w:rsid w:val="00A44202"/>
    <w:rsid w:val="00A44B17"/>
    <w:rsid w:val="00A73FBD"/>
    <w:rsid w:val="00AB290F"/>
    <w:rsid w:val="00B15865"/>
    <w:rsid w:val="00B37D47"/>
    <w:rsid w:val="00B5625F"/>
    <w:rsid w:val="00B7477B"/>
    <w:rsid w:val="00B8407D"/>
    <w:rsid w:val="00B91828"/>
    <w:rsid w:val="00BA754D"/>
    <w:rsid w:val="00BA7C0C"/>
    <w:rsid w:val="00BB0A2B"/>
    <w:rsid w:val="00BB32C5"/>
    <w:rsid w:val="00C02AD8"/>
    <w:rsid w:val="00C51F67"/>
    <w:rsid w:val="00C75224"/>
    <w:rsid w:val="00C85EEB"/>
    <w:rsid w:val="00CA184A"/>
    <w:rsid w:val="00CA48FB"/>
    <w:rsid w:val="00CB466C"/>
    <w:rsid w:val="00CE5CD3"/>
    <w:rsid w:val="00D06421"/>
    <w:rsid w:val="00D213AC"/>
    <w:rsid w:val="00D4563E"/>
    <w:rsid w:val="00D506A2"/>
    <w:rsid w:val="00D50996"/>
    <w:rsid w:val="00DB6C47"/>
    <w:rsid w:val="00E21E27"/>
    <w:rsid w:val="00E33CF2"/>
    <w:rsid w:val="00E56C02"/>
    <w:rsid w:val="00E62113"/>
    <w:rsid w:val="00E7294E"/>
    <w:rsid w:val="00E9794B"/>
    <w:rsid w:val="00EB2D82"/>
    <w:rsid w:val="00EB743B"/>
    <w:rsid w:val="00EC2F28"/>
    <w:rsid w:val="00EC31DC"/>
    <w:rsid w:val="00EE195B"/>
    <w:rsid w:val="00EE370A"/>
    <w:rsid w:val="00F0036A"/>
    <w:rsid w:val="00F155AC"/>
    <w:rsid w:val="00F55860"/>
    <w:rsid w:val="00F62687"/>
    <w:rsid w:val="00F857DF"/>
    <w:rsid w:val="00FA77C7"/>
    <w:rsid w:val="00FC39E7"/>
    <w:rsid w:val="00FC7826"/>
    <w:rsid w:val="00FE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0FEBF"/>
  <w15:chartTrackingRefBased/>
  <w15:docId w15:val="{6E328FC2-223A-4704-AC58-F7DF0E8C6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3FBD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50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996"/>
    <w:rPr>
      <w:lang w:val="sq-AL"/>
    </w:rPr>
  </w:style>
  <w:style w:type="paragraph" w:styleId="Header">
    <w:name w:val="header"/>
    <w:basedOn w:val="Normal"/>
    <w:link w:val="HeaderChar"/>
    <w:uiPriority w:val="99"/>
    <w:unhideWhenUsed/>
    <w:rsid w:val="00E21E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E27"/>
    <w:rPr>
      <w:lang w:val="sq-AL"/>
    </w:rPr>
  </w:style>
  <w:style w:type="paragraph" w:styleId="Revision">
    <w:name w:val="Revision"/>
    <w:hidden/>
    <w:uiPriority w:val="99"/>
    <w:semiHidden/>
    <w:rsid w:val="005072C4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C78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782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7826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782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7826"/>
    <w:rPr>
      <w:b/>
      <w:bCs/>
      <w:sz w:val="20"/>
      <w:szCs w:val="20"/>
      <w:lang w:val="sq-AL"/>
    </w:rPr>
  </w:style>
  <w:style w:type="paragraph" w:customStyle="1" w:styleId="TEKSTIII">
    <w:name w:val="TEKSTIII"/>
    <w:basedOn w:val="Normal"/>
    <w:qFormat/>
    <w:rsid w:val="0098168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Garamond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1680"/>
    <w:pPr>
      <w:ind w:left="720"/>
      <w:contextualSpacing/>
    </w:pPr>
  </w:style>
  <w:style w:type="character" w:customStyle="1" w:styleId="Bodytext">
    <w:name w:val="Body text_"/>
    <w:link w:val="Bodytext1"/>
    <w:rsid w:val="006C162B"/>
    <w:rPr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"/>
    <w:rsid w:val="006C162B"/>
    <w:pPr>
      <w:shd w:val="clear" w:color="auto" w:fill="FFFFFF"/>
      <w:spacing w:before="300" w:after="180" w:line="245" w:lineRule="exact"/>
      <w:ind w:hanging="400"/>
      <w:jc w:val="both"/>
    </w:pPr>
    <w:rPr>
      <w:sz w:val="19"/>
      <w:szCs w:val="19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1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8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63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6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5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37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6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2026-02-17T10:25:30Z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2026-04-20T00:00:00Z</Date_x0020_protokolli>
    <Titulli xmlns="0e656187-b300-4fb0-8bf4-3a50f872073c">Për disa ndryshime dhe shtesa në udhëzimin nr. 3606/2, datë 28.10.2011, "Për pajisjen e drejtuesve të mjeteve rrugore të kategorive C1, C, C1E, D1, D, D1E dhe DE, me certifikatën e aftësisë profesionale (CAP)", i ndryshuar</Titulli>
    <Modifikuesi xmlns="0e656187-b300-4fb0-8bf4-3a50f872073c">elnejda.cokalli</Modifikuesi>
    <Nr_x002e__x0020_prot_x0020_QBZ xmlns="0e656187-b300-4fb0-8bf4-3a50f872073c">876/1</Nr_x002e__x0020_prot_x0020_QBZ>
    <Data_x0020_e_x0020_Modifikimit xmlns="0e656187-b300-4fb0-8bf4-3a50f872073c">2026-04-21T14:49:45Z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2628/1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E6A2D393AF4FBA9E45D6A05BB0EC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E6A2D393AF4FBA9E45D6A05BB0ECE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F5C29-C389-4061-B5B2-11B90ED8359F}">
  <ds:schemaRefs>
    <ds:schemaRef ds:uri="http://purl.org/dc/terms/"/>
    <ds:schemaRef ds:uri="http://purl.org/dc/elements/1.1/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CE8AEF1-EE47-470B-BE11-BDD8B3E24C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E42AD2-F448-4818-8A71-411998141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48B426-8B2F-462B-AEDF-CB7E7B7D9CC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5E3AF84-CCDE-4801-A185-5BEC49B6EC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AB5A710-6ACC-45A2-950C-5ECE5C72006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1082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udhëzimin nr. 3606/2, datë 28.10.2011, "Për pajisjen e drejtuesve të mjeteve rrugore të kategorive C1, C, C1E, D1, D, D1E dhe DE, me certifikatën e aftësisë profesionale (CAP)", i ndryshuar</vt:lpstr>
    </vt:vector>
  </TitlesOfParts>
  <Company/>
  <LinksUpToDate>false</LinksUpToDate>
  <CharactersWithSpaces>7236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 3606/2, datë 28.10.2011, "Për pajisjen e drejtuesve të mjeteve rrugore të kategorive C1, C, C1E, D1, D, D1E dhe DE, me certifikatën e aftësisë profesionale (CAP)", i ndryshuar</dc:title>
  <dc:creator>Ana Semini</dc:creator>
  <cp:lastModifiedBy>Alma Lisaku</cp:lastModifiedBy>
  <cp:revision>12</cp:revision>
  <cp:lastPrinted>2026-01-28T14:08:00Z</cp:lastPrinted>
  <dcterms:created xsi:type="dcterms:W3CDTF">2026-02-17T09:23:00Z</dcterms:created>
  <dcterms:modified xsi:type="dcterms:W3CDTF">2026-04-22T09:56:00Z</dcterms:modified>
</cp:coreProperties>
</file>