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A8EE8" w14:textId="1EB04CE2" w:rsidR="00DC399C" w:rsidRPr="0044221A" w:rsidRDefault="0044221A" w:rsidP="00973EE7">
      <w:pPr>
        <w:spacing w:after="0" w:line="240" w:lineRule="auto"/>
        <w:ind w:firstLine="284"/>
        <w:jc w:val="center"/>
        <w:rPr>
          <w:rFonts w:ascii="Garamond" w:hAnsi="Garamond"/>
          <w:b/>
          <w:sz w:val="24"/>
          <w:szCs w:val="24"/>
        </w:rPr>
      </w:pPr>
      <w:r w:rsidRPr="0044221A">
        <w:rPr>
          <w:rFonts w:ascii="Garamond" w:hAnsi="Garamond"/>
          <w:b/>
          <w:sz w:val="24"/>
          <w:szCs w:val="24"/>
        </w:rPr>
        <w:t>UDHËZIM</w:t>
      </w:r>
    </w:p>
    <w:p w14:paraId="10E117F1" w14:textId="596BD4D1" w:rsidR="00E57538" w:rsidRPr="0044221A" w:rsidRDefault="00EF716B" w:rsidP="00973EE7">
      <w:pPr>
        <w:spacing w:after="0" w:line="240" w:lineRule="auto"/>
        <w:ind w:firstLine="284"/>
        <w:jc w:val="center"/>
        <w:rPr>
          <w:rFonts w:ascii="Garamond" w:hAnsi="Garamond"/>
          <w:b/>
          <w:sz w:val="24"/>
          <w:szCs w:val="24"/>
        </w:rPr>
      </w:pPr>
      <w:r w:rsidRPr="0044221A">
        <w:rPr>
          <w:rFonts w:ascii="Garamond" w:hAnsi="Garamond"/>
          <w:b/>
          <w:sz w:val="24"/>
          <w:szCs w:val="24"/>
        </w:rPr>
        <w:t>Nr</w:t>
      </w:r>
      <w:r w:rsidR="002900E2" w:rsidRPr="0044221A">
        <w:rPr>
          <w:rFonts w:ascii="Garamond" w:hAnsi="Garamond"/>
          <w:b/>
          <w:sz w:val="24"/>
          <w:szCs w:val="24"/>
        </w:rPr>
        <w:t>.</w:t>
      </w:r>
      <w:r w:rsidR="0023442A" w:rsidRPr="0044221A">
        <w:rPr>
          <w:rFonts w:ascii="Garamond" w:hAnsi="Garamond"/>
          <w:b/>
          <w:sz w:val="24"/>
          <w:szCs w:val="24"/>
        </w:rPr>
        <w:t xml:space="preserve"> </w:t>
      </w:r>
      <w:r w:rsidR="00F444B7" w:rsidRPr="0044221A">
        <w:rPr>
          <w:rFonts w:ascii="Garamond" w:hAnsi="Garamond"/>
          <w:b/>
          <w:sz w:val="24"/>
          <w:szCs w:val="24"/>
        </w:rPr>
        <w:t>1</w:t>
      </w:r>
      <w:r w:rsidR="002900E2" w:rsidRPr="0044221A">
        <w:rPr>
          <w:rFonts w:ascii="Garamond" w:hAnsi="Garamond"/>
          <w:b/>
          <w:sz w:val="24"/>
          <w:szCs w:val="24"/>
        </w:rPr>
        <w:t>, dat</w:t>
      </w:r>
      <w:r w:rsidR="0044221A">
        <w:rPr>
          <w:rFonts w:ascii="Garamond" w:hAnsi="Garamond"/>
          <w:b/>
          <w:sz w:val="24"/>
          <w:szCs w:val="24"/>
        </w:rPr>
        <w:t>ë</w:t>
      </w:r>
      <w:r w:rsidR="002900E2" w:rsidRPr="0044221A">
        <w:rPr>
          <w:rFonts w:ascii="Garamond" w:hAnsi="Garamond"/>
          <w:b/>
          <w:sz w:val="24"/>
          <w:szCs w:val="24"/>
        </w:rPr>
        <w:t xml:space="preserve"> </w:t>
      </w:r>
      <w:r w:rsidR="00F444B7" w:rsidRPr="0044221A">
        <w:rPr>
          <w:rFonts w:ascii="Garamond" w:hAnsi="Garamond"/>
          <w:b/>
          <w:sz w:val="24"/>
          <w:szCs w:val="24"/>
        </w:rPr>
        <w:t>9</w:t>
      </w:r>
      <w:r w:rsidR="00393C28" w:rsidRPr="0044221A">
        <w:rPr>
          <w:rFonts w:ascii="Garamond" w:hAnsi="Garamond"/>
          <w:b/>
          <w:sz w:val="24"/>
          <w:szCs w:val="24"/>
        </w:rPr>
        <w:t>.1</w:t>
      </w:r>
      <w:r w:rsidR="00F444B7" w:rsidRPr="0044221A">
        <w:rPr>
          <w:rFonts w:ascii="Garamond" w:hAnsi="Garamond"/>
          <w:b/>
          <w:sz w:val="24"/>
          <w:szCs w:val="24"/>
        </w:rPr>
        <w:t>.2026</w:t>
      </w:r>
    </w:p>
    <w:p w14:paraId="195F678A" w14:textId="0D162A46" w:rsidR="00EF716B" w:rsidRPr="0044221A" w:rsidRDefault="00EF716B" w:rsidP="00973EE7">
      <w:pPr>
        <w:spacing w:after="0" w:line="240" w:lineRule="auto"/>
        <w:ind w:firstLine="284"/>
        <w:rPr>
          <w:rFonts w:ascii="Garamond" w:hAnsi="Garamond"/>
          <w:sz w:val="24"/>
          <w:szCs w:val="24"/>
        </w:rPr>
      </w:pPr>
    </w:p>
    <w:p w14:paraId="17D5F5BA" w14:textId="6BB8C8CE" w:rsidR="007942C7" w:rsidRPr="0044221A" w:rsidRDefault="007942C7" w:rsidP="00973EE7">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44221A">
        <w:rPr>
          <w:rFonts w:ascii="Garamond" w:hAnsi="Garamond" w:cs="Times New Roman"/>
          <w:b/>
          <w:bCs/>
          <w:color w:val="000000"/>
          <w:sz w:val="24"/>
          <w:szCs w:val="24"/>
        </w:rPr>
        <w:t>PËR PËRCAKTIMIN E RREGULLAVE TË BRENDSHME MBI EKZEKUTIMIN E VENDIMEVE GJYQËSORE TË FORMËS SË PRERË ME DEBITOR MINISTRINË PËRGJEGJËSE PËR</w:t>
      </w:r>
      <w:r w:rsidR="0044221A">
        <w:rPr>
          <w:rFonts w:ascii="Garamond" w:hAnsi="Garamond" w:cs="Times New Roman"/>
          <w:b/>
          <w:bCs/>
          <w:color w:val="000000"/>
          <w:sz w:val="24"/>
          <w:szCs w:val="24"/>
        </w:rPr>
        <w:t xml:space="preserve"> TURIZMIN, KULTURËN DHE SPORTIN</w:t>
      </w:r>
    </w:p>
    <w:p w14:paraId="064091CD" w14:textId="77777777" w:rsidR="007942C7" w:rsidRPr="0044221A" w:rsidRDefault="007942C7" w:rsidP="00973EE7">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44221A">
        <w:rPr>
          <w:rFonts w:ascii="Garamond" w:hAnsi="Garamond" w:cs="Times New Roman"/>
          <w:b/>
          <w:bCs/>
          <w:color w:val="000000"/>
          <w:sz w:val="24"/>
          <w:szCs w:val="24"/>
        </w:rPr>
        <w:t xml:space="preserve"> </w:t>
      </w:r>
    </w:p>
    <w:p w14:paraId="762625E8" w14:textId="445CF700"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Në mbështetje të pikës 4</w:t>
      </w:r>
      <w:r w:rsidR="0044221A">
        <w:rPr>
          <w:rFonts w:ascii="Garamond" w:hAnsi="Garamond" w:cs="Times New Roman"/>
          <w:color w:val="000000"/>
          <w:sz w:val="24"/>
          <w:szCs w:val="24"/>
        </w:rPr>
        <w:t>,</w:t>
      </w:r>
      <w:r w:rsidRPr="0044221A">
        <w:rPr>
          <w:rFonts w:ascii="Garamond" w:hAnsi="Garamond" w:cs="Times New Roman"/>
          <w:color w:val="000000"/>
          <w:sz w:val="24"/>
          <w:szCs w:val="24"/>
        </w:rPr>
        <w:t xml:space="preserve"> të nenit 102 të Kushtetutës; </w:t>
      </w:r>
      <w:r w:rsidR="0044221A">
        <w:rPr>
          <w:rFonts w:ascii="Garamond" w:hAnsi="Garamond" w:cs="Times New Roman"/>
          <w:color w:val="000000"/>
          <w:sz w:val="24"/>
          <w:szCs w:val="24"/>
        </w:rPr>
        <w:t xml:space="preserve">të </w:t>
      </w:r>
      <w:r w:rsidRPr="0044221A">
        <w:rPr>
          <w:rFonts w:ascii="Garamond" w:hAnsi="Garamond" w:cs="Times New Roman"/>
          <w:color w:val="000000"/>
          <w:sz w:val="24"/>
          <w:szCs w:val="24"/>
        </w:rPr>
        <w:t>neneve 510, 589, të ligjit nr. 8116, datë 29.3.1996, “Kodi i Procedurës Civile të Republikës</w:t>
      </w:r>
      <w:r w:rsidR="0044221A">
        <w:rPr>
          <w:rFonts w:ascii="Garamond" w:hAnsi="Garamond" w:cs="Times New Roman"/>
          <w:color w:val="000000"/>
          <w:sz w:val="24"/>
          <w:szCs w:val="24"/>
        </w:rPr>
        <w:t xml:space="preserve"> së Shqipërisë”, të ndryshuar; </w:t>
      </w:r>
      <w:bookmarkStart w:id="0" w:name="_GoBack"/>
      <w:bookmarkEnd w:id="0"/>
      <w:r w:rsidR="0044221A">
        <w:rPr>
          <w:rFonts w:ascii="Garamond" w:hAnsi="Garamond" w:cs="Times New Roman"/>
          <w:color w:val="000000"/>
          <w:sz w:val="24"/>
          <w:szCs w:val="24"/>
        </w:rPr>
        <w:t xml:space="preserve">të </w:t>
      </w:r>
      <w:r w:rsidRPr="0044221A">
        <w:rPr>
          <w:rFonts w:ascii="Garamond" w:hAnsi="Garamond" w:cs="Times New Roman"/>
          <w:color w:val="000000"/>
          <w:sz w:val="24"/>
          <w:szCs w:val="24"/>
        </w:rPr>
        <w:t xml:space="preserve">ligjit nr. 152, datë 30.5.2013, “Për nëpunësin civil”, të ndryshuar; </w:t>
      </w:r>
      <w:r w:rsidR="0044221A">
        <w:rPr>
          <w:rFonts w:ascii="Garamond" w:hAnsi="Garamond" w:cs="Times New Roman"/>
          <w:color w:val="000000"/>
          <w:sz w:val="24"/>
          <w:szCs w:val="24"/>
        </w:rPr>
        <w:t xml:space="preserve">të </w:t>
      </w:r>
      <w:r w:rsidRPr="0044221A">
        <w:rPr>
          <w:rFonts w:ascii="Garamond" w:hAnsi="Garamond" w:cs="Times New Roman"/>
          <w:color w:val="000000"/>
          <w:sz w:val="24"/>
          <w:szCs w:val="24"/>
        </w:rPr>
        <w:t>pikës 2</w:t>
      </w:r>
      <w:r w:rsidR="0044221A">
        <w:rPr>
          <w:rFonts w:ascii="Garamond" w:hAnsi="Garamond" w:cs="Times New Roman"/>
          <w:color w:val="000000"/>
          <w:sz w:val="24"/>
          <w:szCs w:val="24"/>
        </w:rPr>
        <w:t>,</w:t>
      </w:r>
      <w:r w:rsidRPr="0044221A">
        <w:rPr>
          <w:rFonts w:ascii="Garamond" w:hAnsi="Garamond" w:cs="Times New Roman"/>
          <w:color w:val="000000"/>
          <w:sz w:val="24"/>
          <w:szCs w:val="24"/>
        </w:rPr>
        <w:t xml:space="preserve"> të nenit 29</w:t>
      </w:r>
      <w:r w:rsidR="0044221A">
        <w:rPr>
          <w:rFonts w:ascii="Garamond" w:hAnsi="Garamond" w:cs="Times New Roman"/>
          <w:color w:val="000000"/>
          <w:sz w:val="24"/>
          <w:szCs w:val="24"/>
        </w:rPr>
        <w:t>,</w:t>
      </w:r>
      <w:r w:rsidRPr="0044221A">
        <w:rPr>
          <w:rFonts w:ascii="Garamond" w:hAnsi="Garamond" w:cs="Times New Roman"/>
          <w:color w:val="000000"/>
          <w:sz w:val="24"/>
          <w:szCs w:val="24"/>
        </w:rPr>
        <w:t xml:space="preserve"> të </w:t>
      </w:r>
      <w:r w:rsidR="0044221A" w:rsidRPr="0044221A">
        <w:rPr>
          <w:rFonts w:ascii="Garamond" w:hAnsi="Garamond" w:cs="Times New Roman"/>
          <w:color w:val="000000"/>
          <w:sz w:val="24"/>
          <w:szCs w:val="24"/>
        </w:rPr>
        <w:t>ligjit nr</w:t>
      </w:r>
      <w:r w:rsidRPr="0044221A">
        <w:rPr>
          <w:rFonts w:ascii="Garamond" w:hAnsi="Garamond" w:cs="Times New Roman"/>
          <w:color w:val="000000"/>
          <w:sz w:val="24"/>
          <w:szCs w:val="24"/>
        </w:rPr>
        <w:t xml:space="preserve">. 90/2012, “Për organizimin dhe funksionimin e administratës shtetërore”; </w:t>
      </w:r>
      <w:r w:rsidR="0044221A">
        <w:rPr>
          <w:rFonts w:ascii="Garamond" w:hAnsi="Garamond" w:cs="Times New Roman"/>
          <w:color w:val="000000"/>
          <w:sz w:val="24"/>
          <w:szCs w:val="24"/>
        </w:rPr>
        <w:t xml:space="preserve">të </w:t>
      </w:r>
      <w:r w:rsidRPr="0044221A">
        <w:rPr>
          <w:rFonts w:ascii="Garamond" w:hAnsi="Garamond" w:cs="Times New Roman"/>
          <w:color w:val="000000"/>
          <w:sz w:val="24"/>
          <w:szCs w:val="24"/>
        </w:rPr>
        <w:t xml:space="preserve">neneve 43 e 54, të ligjit nr. 9936, datë 26.6.2008, “Për menaxhimin e sistemit buxhetor në Republikën e Shqipërisë”, të ndryshuar; </w:t>
      </w:r>
      <w:r w:rsidR="0044221A">
        <w:rPr>
          <w:rFonts w:ascii="Garamond" w:hAnsi="Garamond" w:cs="Times New Roman"/>
          <w:color w:val="000000"/>
          <w:sz w:val="24"/>
          <w:szCs w:val="24"/>
        </w:rPr>
        <w:t xml:space="preserve">të </w:t>
      </w:r>
      <w:r w:rsidRPr="0044221A">
        <w:rPr>
          <w:rFonts w:ascii="Garamond" w:hAnsi="Garamond" w:cs="Times New Roman"/>
          <w:color w:val="000000"/>
          <w:sz w:val="24"/>
          <w:szCs w:val="24"/>
        </w:rPr>
        <w:t xml:space="preserve">ligjit nr. 10296, datë 8.7.2012, “Për menaxhimin financiar dhe kontrollin”, të ndryshuar, si dhe </w:t>
      </w:r>
      <w:r w:rsidR="0044221A">
        <w:rPr>
          <w:rFonts w:ascii="Garamond" w:hAnsi="Garamond" w:cs="Times New Roman"/>
          <w:color w:val="000000"/>
          <w:sz w:val="24"/>
          <w:szCs w:val="24"/>
        </w:rPr>
        <w:t xml:space="preserve">të </w:t>
      </w:r>
      <w:r w:rsidR="0044221A" w:rsidRPr="0044221A">
        <w:rPr>
          <w:rFonts w:ascii="Garamond" w:hAnsi="Garamond" w:cs="Times New Roman"/>
          <w:color w:val="000000"/>
          <w:sz w:val="24"/>
          <w:szCs w:val="24"/>
        </w:rPr>
        <w:t xml:space="preserve">vendimit </w:t>
      </w:r>
      <w:r w:rsidRPr="0044221A">
        <w:rPr>
          <w:rFonts w:ascii="Garamond" w:hAnsi="Garamond" w:cs="Times New Roman"/>
          <w:color w:val="000000"/>
          <w:sz w:val="24"/>
          <w:szCs w:val="24"/>
        </w:rPr>
        <w:t xml:space="preserve">të Këshillit të Ministrave </w:t>
      </w:r>
      <w:r w:rsidR="0044221A" w:rsidRPr="0044221A">
        <w:rPr>
          <w:rFonts w:ascii="Garamond" w:hAnsi="Garamond" w:cs="Times New Roman"/>
          <w:color w:val="000000"/>
          <w:sz w:val="24"/>
          <w:szCs w:val="24"/>
        </w:rPr>
        <w:t>n</w:t>
      </w:r>
      <w:r w:rsidRPr="0044221A">
        <w:rPr>
          <w:rFonts w:ascii="Garamond" w:hAnsi="Garamond" w:cs="Times New Roman"/>
          <w:color w:val="000000"/>
          <w:sz w:val="24"/>
          <w:szCs w:val="24"/>
        </w:rPr>
        <w:t>r.</w:t>
      </w:r>
      <w:r w:rsidR="0044221A">
        <w:rPr>
          <w:rFonts w:ascii="Garamond" w:hAnsi="Garamond" w:cs="Times New Roman"/>
          <w:color w:val="000000"/>
          <w:sz w:val="24"/>
          <w:szCs w:val="24"/>
        </w:rPr>
        <w:t xml:space="preserve"> 512, datë 25.</w:t>
      </w:r>
      <w:r w:rsidRPr="0044221A">
        <w:rPr>
          <w:rFonts w:ascii="Garamond" w:hAnsi="Garamond" w:cs="Times New Roman"/>
          <w:color w:val="000000"/>
          <w:sz w:val="24"/>
          <w:szCs w:val="24"/>
        </w:rPr>
        <w:t>9.2025, “Për përcaktimin e fushës së përgjegjësisë shtetërore të Ministrisë së T</w:t>
      </w:r>
      <w:r w:rsidR="0044221A">
        <w:rPr>
          <w:rFonts w:ascii="Garamond" w:hAnsi="Garamond" w:cs="Times New Roman"/>
          <w:color w:val="000000"/>
          <w:sz w:val="24"/>
          <w:szCs w:val="24"/>
        </w:rPr>
        <w:t>urizmit, Kulturës dhe Sportit”,</w:t>
      </w:r>
    </w:p>
    <w:p w14:paraId="30893D94" w14:textId="77777777"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p>
    <w:p w14:paraId="1C0C19D4" w14:textId="1D4C4095" w:rsidR="007942C7" w:rsidRPr="0044221A" w:rsidRDefault="007942C7" w:rsidP="00973EE7">
      <w:pPr>
        <w:keepNext/>
        <w:autoSpaceDE w:val="0"/>
        <w:autoSpaceDN w:val="0"/>
        <w:adjustRightInd w:val="0"/>
        <w:spacing w:after="0" w:line="240" w:lineRule="auto"/>
        <w:ind w:firstLine="284"/>
        <w:jc w:val="center"/>
        <w:rPr>
          <w:rFonts w:ascii="Garamond" w:hAnsi="Garamond" w:cs="Times New Roman"/>
          <w:bCs/>
          <w:color w:val="000000"/>
          <w:sz w:val="24"/>
          <w:szCs w:val="24"/>
        </w:rPr>
      </w:pPr>
      <w:r w:rsidRPr="0044221A">
        <w:rPr>
          <w:rFonts w:ascii="Garamond" w:hAnsi="Garamond" w:cs="Times New Roman"/>
          <w:bCs/>
          <w:color w:val="000000"/>
          <w:sz w:val="24"/>
          <w:szCs w:val="24"/>
        </w:rPr>
        <w:t xml:space="preserve">UDHËZOJ: </w:t>
      </w:r>
    </w:p>
    <w:p w14:paraId="1747A34C" w14:textId="77777777" w:rsidR="007942C7" w:rsidRPr="0044221A" w:rsidRDefault="007942C7" w:rsidP="00973EE7">
      <w:pPr>
        <w:keepNext/>
        <w:autoSpaceDE w:val="0"/>
        <w:autoSpaceDN w:val="0"/>
        <w:adjustRightInd w:val="0"/>
        <w:spacing w:after="0" w:line="240" w:lineRule="auto"/>
        <w:ind w:firstLine="284"/>
        <w:jc w:val="center"/>
        <w:rPr>
          <w:rFonts w:ascii="Garamond" w:hAnsi="Garamond" w:cs="Times New Roman"/>
          <w:b/>
          <w:bCs/>
          <w:color w:val="000000"/>
          <w:sz w:val="24"/>
          <w:szCs w:val="24"/>
        </w:rPr>
      </w:pPr>
    </w:p>
    <w:p w14:paraId="325066D0" w14:textId="77777777" w:rsidR="007942C7" w:rsidRPr="0044221A" w:rsidRDefault="007942C7" w:rsidP="00973EE7">
      <w:pPr>
        <w:keepNext/>
        <w:autoSpaceDE w:val="0"/>
        <w:autoSpaceDN w:val="0"/>
        <w:adjustRightInd w:val="0"/>
        <w:spacing w:after="0" w:line="240" w:lineRule="auto"/>
        <w:ind w:firstLine="284"/>
        <w:jc w:val="center"/>
        <w:rPr>
          <w:rFonts w:ascii="Garamond" w:hAnsi="Garamond" w:cs="Times New Roman"/>
          <w:color w:val="000000"/>
          <w:spacing w:val="-15"/>
          <w:sz w:val="24"/>
          <w:szCs w:val="24"/>
        </w:rPr>
      </w:pPr>
      <w:r w:rsidRPr="0044221A">
        <w:rPr>
          <w:rFonts w:ascii="Garamond" w:hAnsi="Garamond" w:cs="Times New Roman"/>
          <w:color w:val="000000"/>
          <w:spacing w:val="-15"/>
          <w:sz w:val="24"/>
          <w:szCs w:val="24"/>
        </w:rPr>
        <w:t xml:space="preserve">KREU I </w:t>
      </w:r>
    </w:p>
    <w:p w14:paraId="518508FC" w14:textId="77777777" w:rsidR="007942C7" w:rsidRPr="0044221A" w:rsidRDefault="007942C7" w:rsidP="00973EE7">
      <w:pPr>
        <w:keepNext/>
        <w:autoSpaceDE w:val="0"/>
        <w:autoSpaceDN w:val="0"/>
        <w:adjustRightInd w:val="0"/>
        <w:spacing w:after="0" w:line="240" w:lineRule="auto"/>
        <w:ind w:firstLine="284"/>
        <w:jc w:val="center"/>
        <w:rPr>
          <w:rFonts w:ascii="Garamond" w:hAnsi="Garamond" w:cs="Times New Roman"/>
          <w:color w:val="000000"/>
          <w:spacing w:val="-15"/>
          <w:sz w:val="24"/>
          <w:szCs w:val="24"/>
        </w:rPr>
      </w:pPr>
      <w:r w:rsidRPr="0044221A">
        <w:rPr>
          <w:rFonts w:ascii="Garamond" w:hAnsi="Garamond" w:cs="Times New Roman"/>
          <w:color w:val="000000"/>
          <w:spacing w:val="-15"/>
          <w:sz w:val="24"/>
          <w:szCs w:val="24"/>
        </w:rPr>
        <w:t>DISPOZITA TË PËRGJITHSHME</w:t>
      </w:r>
    </w:p>
    <w:p w14:paraId="77B69A10" w14:textId="77777777" w:rsidR="007942C7" w:rsidRPr="0044221A" w:rsidRDefault="007942C7" w:rsidP="00973EE7">
      <w:pPr>
        <w:keepNext/>
        <w:autoSpaceDE w:val="0"/>
        <w:autoSpaceDN w:val="0"/>
        <w:adjustRightInd w:val="0"/>
        <w:spacing w:after="0" w:line="240" w:lineRule="auto"/>
        <w:ind w:firstLine="284"/>
        <w:rPr>
          <w:rFonts w:ascii="Garamond" w:hAnsi="Garamond" w:cs="Times New Roman"/>
          <w:color w:val="000000"/>
          <w:sz w:val="24"/>
          <w:szCs w:val="24"/>
        </w:rPr>
      </w:pPr>
    </w:p>
    <w:p w14:paraId="334154F2" w14:textId="1B93F63B"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1.</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Qëllimi i këtij udhëzimi është përcaktimi i mënyrës së ekzekutimit të detyrimeve monetare që rrjedhin nga vendimet gjyqësore të formës së prerë, me debitor ministrinë përgjegjëse për turizmin, kulturën dhe sportin.</w:t>
      </w:r>
    </w:p>
    <w:p w14:paraId="67D8663D" w14:textId="121266C7"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2.</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Ekzekutimi i vendimeve gjyqësore realizohet nga struktura përgjegjëse për financat:</w:t>
      </w:r>
    </w:p>
    <w:p w14:paraId="73D70F4B" w14:textId="2945DC4D"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a)</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me fondet buxhetore, të akorduara në ligjin vjetor të buxhetit përkatës, për ekzekutimin e vendimeve gjyqësore;</w:t>
      </w:r>
    </w:p>
    <w:p w14:paraId="1C72A7FC" w14:textId="2D6AB97E"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b)</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nga të ardhura të tjera, të siguruara nga ministria përgjegjëse për turizmin, kulturën dhe sportin, në bazë të legjislacionit përkatës, të cilat shërbejnë si burime financimi për vetë njësinë (nëse ka).</w:t>
      </w:r>
    </w:p>
    <w:p w14:paraId="0FE40044" w14:textId="218939DA"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3.</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Struktura përgjegjëse për financat, çdo vit, parashikon fondet buxhetore të planifikuara për shpenzimet që do të kryejë institucioni për ekzekutimin e vendimeve gjyqësore të formës së prerë.</w:t>
      </w:r>
    </w:p>
    <w:p w14:paraId="2873F109" w14:textId="6614495B"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4.</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Struktura përgjegjëse për financat është përgjegjëse për dokumentimin e të gjitha transaksioneve financiare. Ajo, gjithashtu, garanton para miratimit të shkresave/urdhrave me karakter financiar ligjshmërinë, rregullshmërinë dhe respektimin e parimeve të </w:t>
      </w:r>
      <w:proofErr w:type="spellStart"/>
      <w:r w:rsidRPr="0044221A">
        <w:rPr>
          <w:rFonts w:ascii="Garamond" w:hAnsi="Garamond" w:cs="Times New Roman"/>
          <w:color w:val="000000"/>
          <w:sz w:val="24"/>
          <w:szCs w:val="24"/>
        </w:rPr>
        <w:t>ekonomicitetit</w:t>
      </w:r>
      <w:proofErr w:type="spellEnd"/>
      <w:r w:rsidRPr="0044221A">
        <w:rPr>
          <w:rFonts w:ascii="Garamond" w:hAnsi="Garamond" w:cs="Times New Roman"/>
          <w:color w:val="000000"/>
          <w:sz w:val="24"/>
          <w:szCs w:val="24"/>
        </w:rPr>
        <w:t xml:space="preserve">, </w:t>
      </w:r>
      <w:proofErr w:type="spellStart"/>
      <w:r w:rsidRPr="0044221A">
        <w:rPr>
          <w:rFonts w:ascii="Garamond" w:hAnsi="Garamond" w:cs="Times New Roman"/>
          <w:color w:val="000000"/>
          <w:sz w:val="24"/>
          <w:szCs w:val="24"/>
        </w:rPr>
        <w:t>eficiencës</w:t>
      </w:r>
      <w:proofErr w:type="spellEnd"/>
      <w:r w:rsidRPr="0044221A">
        <w:rPr>
          <w:rFonts w:ascii="Garamond" w:hAnsi="Garamond" w:cs="Times New Roman"/>
          <w:color w:val="000000"/>
          <w:sz w:val="24"/>
          <w:szCs w:val="24"/>
        </w:rPr>
        <w:t xml:space="preserve"> dhe efektivitetit.</w:t>
      </w:r>
    </w:p>
    <w:p w14:paraId="355F083E" w14:textId="7AC3524F"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5.</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Struktura përgjegjëse për financat, me përparësi në vitet e ardhshme, planifikon fondet e nevojshme për shlyerjen e detyrimeve të mbartura, duke ndjekur procedurat përkatëse të planifikimit të fondeve buxhetore, të përcaktuara në aktet ligjore dhe nënligjore </w:t>
      </w:r>
      <w:proofErr w:type="spellStart"/>
      <w:r w:rsidRPr="0044221A">
        <w:rPr>
          <w:rFonts w:ascii="Garamond" w:hAnsi="Garamond" w:cs="Times New Roman"/>
          <w:color w:val="000000"/>
          <w:sz w:val="24"/>
          <w:szCs w:val="24"/>
        </w:rPr>
        <w:t>respektive</w:t>
      </w:r>
      <w:proofErr w:type="spellEnd"/>
      <w:r w:rsidRPr="0044221A">
        <w:rPr>
          <w:rFonts w:ascii="Garamond" w:hAnsi="Garamond" w:cs="Times New Roman"/>
          <w:color w:val="000000"/>
          <w:sz w:val="24"/>
          <w:szCs w:val="24"/>
        </w:rPr>
        <w:t>.</w:t>
      </w:r>
    </w:p>
    <w:p w14:paraId="41F24C42" w14:textId="64AE3464"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6.</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Në procesin e shlyerjes së vendimeve gjyqësore, struktura përgjegjëse për financat zbaton parimin e përparësisë së detyrimeve më të hershme dhe/ose atyre të dhëna me ekzekutim të përkohshëm, sipas </w:t>
      </w:r>
      <w:proofErr w:type="spellStart"/>
      <w:r w:rsidRPr="0044221A">
        <w:rPr>
          <w:rFonts w:ascii="Garamond" w:hAnsi="Garamond" w:cs="Times New Roman"/>
          <w:color w:val="000000"/>
          <w:sz w:val="24"/>
          <w:szCs w:val="24"/>
        </w:rPr>
        <w:t>disponimit</w:t>
      </w:r>
      <w:proofErr w:type="spellEnd"/>
      <w:r w:rsidRPr="0044221A">
        <w:rPr>
          <w:rFonts w:ascii="Garamond" w:hAnsi="Garamond" w:cs="Times New Roman"/>
          <w:color w:val="000000"/>
          <w:sz w:val="24"/>
          <w:szCs w:val="24"/>
        </w:rPr>
        <w:t xml:space="preserve"> të gjykatës.</w:t>
      </w:r>
    </w:p>
    <w:p w14:paraId="07644750" w14:textId="77777777"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p>
    <w:p w14:paraId="2D10788B" w14:textId="77777777" w:rsidR="007942C7" w:rsidRPr="0044221A" w:rsidRDefault="007942C7" w:rsidP="00973EE7">
      <w:pPr>
        <w:keepNext/>
        <w:autoSpaceDE w:val="0"/>
        <w:autoSpaceDN w:val="0"/>
        <w:adjustRightInd w:val="0"/>
        <w:spacing w:after="0" w:line="240" w:lineRule="auto"/>
        <w:ind w:firstLine="284"/>
        <w:jc w:val="center"/>
        <w:rPr>
          <w:rFonts w:ascii="Garamond" w:hAnsi="Garamond" w:cs="Times New Roman"/>
          <w:color w:val="000000"/>
          <w:spacing w:val="-15"/>
          <w:sz w:val="24"/>
          <w:szCs w:val="24"/>
        </w:rPr>
      </w:pPr>
      <w:r w:rsidRPr="0044221A">
        <w:rPr>
          <w:rFonts w:ascii="Garamond" w:hAnsi="Garamond" w:cs="Times New Roman"/>
          <w:color w:val="000000"/>
          <w:spacing w:val="-15"/>
          <w:sz w:val="24"/>
          <w:szCs w:val="24"/>
        </w:rPr>
        <w:t xml:space="preserve">KREU </w:t>
      </w:r>
      <w:proofErr w:type="spellStart"/>
      <w:r w:rsidRPr="0044221A">
        <w:rPr>
          <w:rFonts w:ascii="Garamond" w:hAnsi="Garamond" w:cs="Times New Roman"/>
          <w:color w:val="000000"/>
          <w:spacing w:val="-15"/>
          <w:sz w:val="24"/>
          <w:szCs w:val="24"/>
        </w:rPr>
        <w:t>II</w:t>
      </w:r>
      <w:proofErr w:type="spellEnd"/>
    </w:p>
    <w:p w14:paraId="6BED33FA" w14:textId="4F53396D" w:rsidR="007942C7" w:rsidRPr="0044221A" w:rsidRDefault="007942C7" w:rsidP="00973EE7">
      <w:pPr>
        <w:keepNext/>
        <w:autoSpaceDE w:val="0"/>
        <w:autoSpaceDN w:val="0"/>
        <w:adjustRightInd w:val="0"/>
        <w:spacing w:after="0" w:line="240" w:lineRule="auto"/>
        <w:ind w:firstLine="284"/>
        <w:jc w:val="center"/>
        <w:rPr>
          <w:rFonts w:ascii="Garamond" w:hAnsi="Garamond" w:cs="Times New Roman"/>
          <w:color w:val="000000"/>
          <w:spacing w:val="-15"/>
          <w:sz w:val="24"/>
          <w:szCs w:val="24"/>
        </w:rPr>
      </w:pPr>
      <w:r w:rsidRPr="0044221A">
        <w:rPr>
          <w:rFonts w:ascii="Garamond" w:hAnsi="Garamond" w:cs="Times New Roman"/>
          <w:color w:val="000000"/>
          <w:spacing w:val="-15"/>
          <w:sz w:val="24"/>
          <w:szCs w:val="24"/>
        </w:rPr>
        <w:t>PROCEDURAT DHE AFATET</w:t>
      </w:r>
      <w:r w:rsidR="0044221A">
        <w:rPr>
          <w:rFonts w:ascii="Garamond" w:hAnsi="Garamond" w:cs="Times New Roman"/>
          <w:color w:val="000000"/>
          <w:spacing w:val="-15"/>
          <w:sz w:val="24"/>
          <w:szCs w:val="24"/>
        </w:rPr>
        <w:t>,</w:t>
      </w:r>
      <w:r w:rsidRPr="0044221A">
        <w:rPr>
          <w:rFonts w:ascii="Garamond" w:hAnsi="Garamond" w:cs="Times New Roman"/>
          <w:color w:val="000000"/>
          <w:spacing w:val="-15"/>
          <w:sz w:val="24"/>
          <w:szCs w:val="24"/>
        </w:rPr>
        <w:t xml:space="preserve"> LIDHUR ME EKZEKUTIMIN E VENDIMEVE GJYQËSORE</w:t>
      </w:r>
    </w:p>
    <w:p w14:paraId="05EFE29A" w14:textId="77777777"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pacing w:val="-15"/>
          <w:sz w:val="24"/>
          <w:szCs w:val="24"/>
        </w:rPr>
      </w:pPr>
    </w:p>
    <w:p w14:paraId="5ED4ED42" w14:textId="0F04486C" w:rsidR="007942C7" w:rsidRPr="0044221A" w:rsidRDefault="007942C7" w:rsidP="00973EE7">
      <w:pPr>
        <w:keepNext/>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7.</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Për vendimet gjyqësorë të formës së prerë ose ato të dhëna me ekzekutim të përkohshëm, struktura përgjegjëse për këshillimin e çështjeve ligjore dhe gjyqësore, pas marrjes së kërkesës për ekzekutim të vendimit gjyqësor, kryen verifikimin e dokumentacionit shoqërues dhe plotësimit të kritereve ligjore. Nëse kërkesa për ekzekutimin e vendimit, e paraqitur vullnetarisht ose nëpërmjet shërbimit përmbarimor, nuk shoqërohet me dokumentacionin e nevojshëm ose nuk plotëson </w:t>
      </w:r>
      <w:r w:rsidRPr="0044221A">
        <w:rPr>
          <w:rFonts w:ascii="Garamond" w:hAnsi="Garamond" w:cs="Times New Roman"/>
          <w:color w:val="000000"/>
          <w:sz w:val="24"/>
          <w:szCs w:val="24"/>
        </w:rPr>
        <w:lastRenderedPageBreak/>
        <w:t>kriteret ligjore, i kërkohet kreditorit/shërbimit përmbarimor plotësimi i dokumentacionit dhe/ose kthehet përgjigje mbi shkaqet e refuzimit. Në rastet e pavlefshmërisë së titullit ekzekutiv dhe/ose kundërshtimit të veprimeve përmbarimore, veprohet sipas legjislacionit procedural në fuqi.</w:t>
      </w:r>
    </w:p>
    <w:p w14:paraId="299EE979" w14:textId="46CEE69C" w:rsidR="007942C7" w:rsidRPr="0044221A" w:rsidRDefault="007942C7" w:rsidP="00973EE7">
      <w:pPr>
        <w:keepNext/>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8.</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Pas verifikimit të dokumentacionit shoqërues dhe të plotësimit të kritereve ligjore, sipas pikës 7, vendimi gjyqësor i formës së prerë dhe dokumentacioni shoqërues i përcillen strukturës përgjegjëse për financat</w:t>
      </w:r>
      <w:r w:rsidR="0044221A">
        <w:rPr>
          <w:rFonts w:ascii="Garamond" w:hAnsi="Garamond" w:cs="Times New Roman"/>
          <w:color w:val="000000"/>
          <w:sz w:val="24"/>
          <w:szCs w:val="24"/>
        </w:rPr>
        <w:t>,</w:t>
      </w:r>
      <w:r w:rsidRPr="0044221A">
        <w:rPr>
          <w:rFonts w:ascii="Garamond" w:hAnsi="Garamond" w:cs="Times New Roman"/>
          <w:color w:val="000000"/>
          <w:sz w:val="24"/>
          <w:szCs w:val="24"/>
        </w:rPr>
        <w:t xml:space="preserve"> brenda 5 (pesë) ditëve nga administrimi i kërkesës/praktikës përmbarimore apo dokumentacionit të plotësuar, për parashikimin e fondeve buxhetore për likuidim.</w:t>
      </w:r>
    </w:p>
    <w:p w14:paraId="506FA165" w14:textId="69829359" w:rsidR="007942C7" w:rsidRPr="0044221A" w:rsidRDefault="007942C7" w:rsidP="00973EE7">
      <w:pPr>
        <w:keepNext/>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9.</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Me paraqitjen e kërkesës për ekzekutim nga shërbimi përmbarimor për detyrime monetare me vlera atipike ose të një rëndësie të posaçme, struktura përgjegjëse për këshillimin e çështjeve ligjore dhe gjyqësore paraqet pranë Gjykatës së Lartë, në përputhje me legjislacionin procedural në fuqi, kërkesën për pezullimin e ekzekutimit të vendimit gjyqësor të formës së prerë, duke njoftuar njëkohësisht edhe përmbaruesin gjyqësor.</w:t>
      </w:r>
    </w:p>
    <w:p w14:paraId="50814135" w14:textId="427E1C40" w:rsidR="007942C7" w:rsidRPr="0044221A" w:rsidRDefault="007942C7" w:rsidP="00973EE7">
      <w:pPr>
        <w:keepNext/>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10.</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Në rastet kur struktura përgjegjëse për financat do të kryejë ekzekutimin e vendimit gjyqësor të formës së prerë, nga ana e kreditorit/përmbaruesit gjyqësor duhet të jetë depozituar:</w:t>
      </w:r>
    </w:p>
    <w:p w14:paraId="09AF6433" w14:textId="7AB5ECA3"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a)</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dokumenti që vërteton njoftimin e njësisë shpenzuese </w:t>
      </w:r>
      <w:proofErr w:type="spellStart"/>
      <w:r w:rsidRPr="0044221A">
        <w:rPr>
          <w:rFonts w:ascii="Garamond" w:hAnsi="Garamond" w:cs="Times New Roman"/>
          <w:color w:val="000000"/>
          <w:sz w:val="24"/>
          <w:szCs w:val="24"/>
        </w:rPr>
        <w:t>debitore</w:t>
      </w:r>
      <w:proofErr w:type="spellEnd"/>
      <w:r w:rsidRPr="0044221A">
        <w:rPr>
          <w:rFonts w:ascii="Garamond" w:hAnsi="Garamond" w:cs="Times New Roman"/>
          <w:color w:val="000000"/>
          <w:sz w:val="24"/>
          <w:szCs w:val="24"/>
        </w:rPr>
        <w:t xml:space="preserve"> për ekzekutimin vullnetar dhe/ose të detyruar të detyrimit dhe marrjen dijeni nga ana e saj;</w:t>
      </w:r>
    </w:p>
    <w:p w14:paraId="28A3B91E" w14:textId="400D159B"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b)</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vendimi gjyqësor, i cili, në kuptim të nenit 510 të Kodit të Procedurës Civile, konsiderohet titull ekzekutiv, sipas rastit, në origjinal ose i </w:t>
      </w:r>
      <w:proofErr w:type="spellStart"/>
      <w:r w:rsidRPr="0044221A">
        <w:rPr>
          <w:rFonts w:ascii="Garamond" w:hAnsi="Garamond" w:cs="Times New Roman"/>
          <w:color w:val="000000"/>
          <w:sz w:val="24"/>
          <w:szCs w:val="24"/>
        </w:rPr>
        <w:t>noterizuar</w:t>
      </w:r>
      <w:proofErr w:type="spellEnd"/>
      <w:r w:rsidRPr="0044221A">
        <w:rPr>
          <w:rFonts w:ascii="Garamond" w:hAnsi="Garamond" w:cs="Times New Roman"/>
          <w:color w:val="000000"/>
          <w:sz w:val="24"/>
          <w:szCs w:val="24"/>
        </w:rPr>
        <w:t>.</w:t>
      </w:r>
    </w:p>
    <w:p w14:paraId="5034B986" w14:textId="55B15D0D"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11.</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Struktura përgjegjëse për financat, pas marrjes së dokumentacionit nga struktura përgjegjëse për këshillimin e çështjeve ligjore dhe gjyqësore, së bashku me kërkesën e miratuar për ekzekutimin e vendimit gjyqësor, sipas pikës 8, brenda 5 (pesë) ditëve nga administrimi i saj, kryen verifikimin e fondeve buxhetore dhe radhës së pagesës, sipas </w:t>
      </w:r>
      <w:proofErr w:type="spellStart"/>
      <w:r w:rsidRPr="0044221A">
        <w:rPr>
          <w:rFonts w:ascii="Garamond" w:hAnsi="Garamond" w:cs="Times New Roman"/>
          <w:color w:val="000000"/>
          <w:sz w:val="24"/>
          <w:szCs w:val="24"/>
        </w:rPr>
        <w:t>databazës</w:t>
      </w:r>
      <w:proofErr w:type="spellEnd"/>
      <w:r w:rsidRPr="0044221A">
        <w:rPr>
          <w:rFonts w:ascii="Garamond" w:hAnsi="Garamond" w:cs="Times New Roman"/>
          <w:color w:val="000000"/>
          <w:sz w:val="24"/>
          <w:szCs w:val="24"/>
        </w:rPr>
        <w:t xml:space="preserve"> së përcjellë nga struktura përgjegjëse për këshillimin e çështjeve ligjore dhe gjyqësore, dhe i paraqet nëpunësit autorizues propozimin për miratimin e kërkesës së pagesës, të shoqëruar me aktin financiar, në kuadër të ekzekutimit të vendimit gjyqësor të formës së prerë ose të dhënë me ekzekutim të përkohshëm.</w:t>
      </w:r>
    </w:p>
    <w:p w14:paraId="11BE331B" w14:textId="41C083F0"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12.</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Nëse kërkesa për ekzekutim lidhet me një vendim gjyqësor që parashikon rikthimin në punë të një ish-nëpunësi, pjesë e shërbimit civil, praktika i përcillet edhe strukturës përgjegjëse për burimet njerëzore. Kjo e fundit, pas marrjes dijeni, brenda afateve të parashikuara në aktet ligjore/nënligjore për shërbimin civil, njofton Sekretarin e Përgjithshëm dhe merr masat për caktimin e mbledhjes së Komisionit të Posaçëm për Shqyrtimin e Vendimeve Gjyqësore të Formës së Prerë, me qëllim shqyrtimin e kërkesës për ekzekutim.</w:t>
      </w:r>
    </w:p>
    <w:p w14:paraId="48BB5C17" w14:textId="37F88E5D"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13.</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Përjashtohen nga rregulli i përcaktuar në pikën 11, lidhur me radhën e kryerjes së pagesës:</w:t>
      </w:r>
    </w:p>
    <w:p w14:paraId="6B43FF5F" w14:textId="514BFEF6"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a)</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ekzekutimi i vendimeve gjyqësore të formës së prerë, që urdhërohet nga titullari i institucionit/Sekretari i Përgjithshëm për rrethana lehtësuese të </w:t>
      </w:r>
      <w:proofErr w:type="spellStart"/>
      <w:r w:rsidRPr="0044221A">
        <w:rPr>
          <w:rFonts w:ascii="Garamond" w:hAnsi="Garamond" w:cs="Times New Roman"/>
          <w:color w:val="000000"/>
          <w:sz w:val="24"/>
          <w:szCs w:val="24"/>
        </w:rPr>
        <w:t>gjyqfituesve</w:t>
      </w:r>
      <w:proofErr w:type="spellEnd"/>
      <w:r w:rsidRPr="0044221A">
        <w:rPr>
          <w:rFonts w:ascii="Garamond" w:hAnsi="Garamond" w:cs="Times New Roman"/>
          <w:color w:val="000000"/>
          <w:sz w:val="24"/>
          <w:szCs w:val="24"/>
        </w:rPr>
        <w:t>;</w:t>
      </w:r>
    </w:p>
    <w:p w14:paraId="2AA8CE08" w14:textId="50E2F061"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b)</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ekzekutimi i vendimeve gjyqësore të formës së prerë me objekt kthim page apo dëmshpërblim për largim nga puna, për </w:t>
      </w:r>
      <w:proofErr w:type="spellStart"/>
      <w:r w:rsidRPr="0044221A">
        <w:rPr>
          <w:rFonts w:ascii="Garamond" w:hAnsi="Garamond" w:cs="Times New Roman"/>
          <w:color w:val="000000"/>
          <w:sz w:val="24"/>
          <w:szCs w:val="24"/>
        </w:rPr>
        <w:t>gjyqfituesit</w:t>
      </w:r>
      <w:proofErr w:type="spellEnd"/>
      <w:r w:rsidRPr="0044221A">
        <w:rPr>
          <w:rFonts w:ascii="Garamond" w:hAnsi="Garamond" w:cs="Times New Roman"/>
          <w:color w:val="000000"/>
          <w:sz w:val="24"/>
          <w:szCs w:val="24"/>
        </w:rPr>
        <w:t xml:space="preserve"> që kanë mbushur moshën e daljes në pension pleqërie dhe për ata të cilëve u është ekzekutuar pjesërisht vendimi për rikthim në punë dhe ka mbetur për ekzekutim pjesa e kthimit të pagës;</w:t>
      </w:r>
    </w:p>
    <w:p w14:paraId="28F4DFC0" w14:textId="22B430B3"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c)</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për vendimet me objekt dëmshpërblim për largim nga puna apo kthim page të ish-punonjësve të institucioneve të varësisë (ekzekutimi kryhet nga vetë këto institucione, pas çeljes së fondit sipas parashikimeve ligjore);</w:t>
      </w:r>
    </w:p>
    <w:p w14:paraId="5538903B" w14:textId="6D214658"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d)</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kur kreditori paraqet kërkesë për shlyerjen e detyrimit deri në momentin e dorëzimit të kërkesës dhe heq dorë nga pjesa tjetër e ekzekutimit të vendimit të formës së prerë.</w:t>
      </w:r>
    </w:p>
    <w:p w14:paraId="479B5938" w14:textId="4A7697A4" w:rsidR="007942C7" w:rsidRPr="0044221A" w:rsidRDefault="007942C7" w:rsidP="00973EE7">
      <w:pPr>
        <w:keepNext/>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14.</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Në rastet kur struktura përgjegjëse për financat, me fondet buxhetore që ka në dispozicion, nuk është në gjendje të shlyejë detyrimin e plotë sipas vendimit gjyqësor, ajo njofton nëpunësin autorizues. Në informacionin e paraqitur, struktura përgjegjëse për financat parashtron mundësitë për ekzekutim, sa i takon vlerës </w:t>
      </w:r>
      <w:r w:rsidR="0044221A">
        <w:rPr>
          <w:rFonts w:ascii="Garamond" w:hAnsi="Garamond" w:cs="Times New Roman"/>
          <w:color w:val="000000"/>
          <w:sz w:val="24"/>
          <w:szCs w:val="24"/>
        </w:rPr>
        <w:t xml:space="preserve">dhe </w:t>
      </w:r>
      <w:proofErr w:type="spellStart"/>
      <w:r w:rsidR="0044221A">
        <w:rPr>
          <w:rFonts w:ascii="Garamond" w:hAnsi="Garamond" w:cs="Times New Roman"/>
          <w:color w:val="000000"/>
          <w:sz w:val="24"/>
          <w:szCs w:val="24"/>
        </w:rPr>
        <w:t>periodicitetit</w:t>
      </w:r>
      <w:proofErr w:type="spellEnd"/>
      <w:r w:rsidR="0044221A">
        <w:rPr>
          <w:rFonts w:ascii="Garamond" w:hAnsi="Garamond" w:cs="Times New Roman"/>
          <w:color w:val="000000"/>
          <w:sz w:val="24"/>
          <w:szCs w:val="24"/>
        </w:rPr>
        <w:t xml:space="preserve"> të pagesave.</w:t>
      </w:r>
    </w:p>
    <w:p w14:paraId="6B6DAF92" w14:textId="0F2C1BAA" w:rsidR="007942C7" w:rsidRPr="0044221A" w:rsidRDefault="007942C7" w:rsidP="00973EE7">
      <w:pPr>
        <w:keepNext/>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15.</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Në çdo rast, pavarësisht parashikimeve të këtij udhëzimi, struktura përgjegjëse për financën zbaton me përparësi modalitetet e </w:t>
      </w:r>
      <w:r w:rsidR="0044221A" w:rsidRPr="0044221A">
        <w:rPr>
          <w:rFonts w:ascii="Garamond" w:hAnsi="Garamond" w:cs="Times New Roman"/>
          <w:color w:val="000000"/>
          <w:sz w:val="24"/>
          <w:szCs w:val="24"/>
        </w:rPr>
        <w:t>U</w:t>
      </w:r>
      <w:r w:rsidRPr="0044221A">
        <w:rPr>
          <w:rFonts w:ascii="Garamond" w:hAnsi="Garamond" w:cs="Times New Roman"/>
          <w:color w:val="000000"/>
          <w:sz w:val="24"/>
          <w:szCs w:val="24"/>
        </w:rPr>
        <w:t xml:space="preserve">dhëzimit të Këshillit të Ministrave nr. 1, datë 4.6.2014, </w:t>
      </w:r>
      <w:r w:rsidRPr="0044221A">
        <w:rPr>
          <w:rFonts w:ascii="Garamond" w:hAnsi="Garamond" w:cs="Times New Roman"/>
          <w:iCs/>
          <w:color w:val="000000"/>
          <w:sz w:val="24"/>
          <w:szCs w:val="24"/>
        </w:rPr>
        <w:t xml:space="preserve">“Për mënyrën e ekzekutimit të detyrimeve monetare të njësive të qeverisjes së përgjithshme në llogari </w:t>
      </w:r>
      <w:r w:rsidRPr="0044221A">
        <w:rPr>
          <w:rFonts w:ascii="Garamond" w:hAnsi="Garamond" w:cs="Times New Roman"/>
          <w:iCs/>
          <w:color w:val="000000"/>
          <w:sz w:val="24"/>
          <w:szCs w:val="24"/>
        </w:rPr>
        <w:lastRenderedPageBreak/>
        <w:t>të thesarit”</w:t>
      </w:r>
      <w:r w:rsidRPr="0044221A">
        <w:rPr>
          <w:rFonts w:ascii="Garamond" w:hAnsi="Garamond" w:cs="Times New Roman"/>
          <w:color w:val="000000"/>
          <w:sz w:val="24"/>
          <w:szCs w:val="24"/>
        </w:rPr>
        <w:t xml:space="preserve"> dhe publikon grafikun e ekzekutimit të vendimeve gjyqësore në rastet e mungesës së fondeve buxhetore. Në këtë rast, struktura përgjegjëse për financën i kthen përgjigje kërkuesit/</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përmbaruesit gjyqësor dhe/ose degës së thesarit përkatëse, duke vënë në dijeni edhe strukturën përgjegjëse për ndjekjen e proceseve gjyqësore, brenda afateve të përcaktuara në aktet ligjore/nënligjore.</w:t>
      </w:r>
    </w:p>
    <w:p w14:paraId="69F556B8" w14:textId="27C7976F" w:rsidR="007942C7" w:rsidRPr="0044221A" w:rsidRDefault="007942C7" w:rsidP="00973EE7">
      <w:pPr>
        <w:keepNext/>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16.</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Me kërkesën e strukturës përgjegjëse për financat dhe miratimin e nëpunësit autorizues, në rast të mungesës së fondeve buxhetore apo detyrimeve monetare me vlera atipike, struktura përgjegjëse për këshillimin e çështjeve ligjore dhe gjyqësore, në bazë të nenit 517 të Kodit të Procedurës Civile, i drejtohet gjykatës me kërkesë për ndarjen/shlyerje pjesore të detyrimit me fondet e vitit/viteve në vijim, duke bërë edhe njoftimin përkatës edhe pranë përmbaruesit gjyqësor.</w:t>
      </w:r>
    </w:p>
    <w:p w14:paraId="040CB33B" w14:textId="1419DB2A" w:rsidR="007942C7" w:rsidRPr="0044221A" w:rsidRDefault="007942C7" w:rsidP="00973EE7">
      <w:pPr>
        <w:keepNext/>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17.</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 xml:space="preserve">Struktura përgjegjëse për këshillimin e çështjeve ligjore dhe gjyqësore mban dhe i komunikon periodikisht strukturës përgjegjëse për financat </w:t>
      </w:r>
      <w:proofErr w:type="spellStart"/>
      <w:r w:rsidRPr="0044221A">
        <w:rPr>
          <w:rFonts w:ascii="Garamond" w:hAnsi="Garamond" w:cs="Times New Roman"/>
          <w:color w:val="000000"/>
          <w:sz w:val="24"/>
          <w:szCs w:val="24"/>
        </w:rPr>
        <w:t>databazën</w:t>
      </w:r>
      <w:proofErr w:type="spellEnd"/>
      <w:r w:rsidRPr="0044221A">
        <w:rPr>
          <w:rFonts w:ascii="Garamond" w:hAnsi="Garamond" w:cs="Times New Roman"/>
          <w:color w:val="000000"/>
          <w:sz w:val="24"/>
          <w:szCs w:val="24"/>
        </w:rPr>
        <w:t xml:space="preserve"> e veçantë me të dhënat për vendimet gjyqësore të formës së prerë dhe ato të dhëna me ekzekutim të përkohshëm që përmbajnë detyrim monetar. Struktura përgjegjëse për financat përditëson </w:t>
      </w:r>
      <w:proofErr w:type="spellStart"/>
      <w:r w:rsidRPr="0044221A">
        <w:rPr>
          <w:rFonts w:ascii="Garamond" w:hAnsi="Garamond" w:cs="Times New Roman"/>
          <w:color w:val="000000"/>
          <w:sz w:val="24"/>
          <w:szCs w:val="24"/>
        </w:rPr>
        <w:t>databazën</w:t>
      </w:r>
      <w:proofErr w:type="spellEnd"/>
      <w:r w:rsidRPr="0044221A">
        <w:rPr>
          <w:rFonts w:ascii="Garamond" w:hAnsi="Garamond" w:cs="Times New Roman"/>
          <w:color w:val="000000"/>
          <w:sz w:val="24"/>
          <w:szCs w:val="24"/>
        </w:rPr>
        <w:t xml:space="preserve"> me përllogaritjet financiare të detyrimeve monetare, si dhe të dhëna dokumentare pas ekzekutimit të vendimeve gjyqësore të formës së prerë.</w:t>
      </w:r>
    </w:p>
    <w:p w14:paraId="76447E80" w14:textId="77777777"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p>
    <w:p w14:paraId="3CB5EAD0" w14:textId="77777777" w:rsidR="007942C7" w:rsidRPr="0044221A" w:rsidRDefault="007942C7" w:rsidP="00973EE7">
      <w:pPr>
        <w:keepNext/>
        <w:autoSpaceDE w:val="0"/>
        <w:autoSpaceDN w:val="0"/>
        <w:adjustRightInd w:val="0"/>
        <w:spacing w:after="0" w:line="240" w:lineRule="auto"/>
        <w:ind w:firstLine="284"/>
        <w:jc w:val="center"/>
        <w:rPr>
          <w:rFonts w:ascii="Garamond" w:hAnsi="Garamond" w:cs="Times New Roman"/>
          <w:color w:val="000000"/>
          <w:sz w:val="24"/>
          <w:szCs w:val="24"/>
        </w:rPr>
      </w:pPr>
      <w:r w:rsidRPr="0044221A">
        <w:rPr>
          <w:rFonts w:ascii="Garamond" w:hAnsi="Garamond" w:cs="Times New Roman"/>
          <w:color w:val="000000"/>
          <w:sz w:val="24"/>
          <w:szCs w:val="24"/>
        </w:rPr>
        <w:t xml:space="preserve">KREU </w:t>
      </w:r>
      <w:proofErr w:type="spellStart"/>
      <w:r w:rsidRPr="0044221A">
        <w:rPr>
          <w:rFonts w:ascii="Garamond" w:hAnsi="Garamond" w:cs="Times New Roman"/>
          <w:color w:val="000000"/>
          <w:sz w:val="24"/>
          <w:szCs w:val="24"/>
        </w:rPr>
        <w:t>III</w:t>
      </w:r>
      <w:proofErr w:type="spellEnd"/>
    </w:p>
    <w:p w14:paraId="29FE0036" w14:textId="77777777" w:rsidR="007942C7" w:rsidRPr="0044221A" w:rsidRDefault="007942C7" w:rsidP="00973EE7">
      <w:pPr>
        <w:keepNext/>
        <w:autoSpaceDE w:val="0"/>
        <w:autoSpaceDN w:val="0"/>
        <w:adjustRightInd w:val="0"/>
        <w:spacing w:after="0" w:line="240" w:lineRule="auto"/>
        <w:ind w:firstLine="284"/>
        <w:jc w:val="center"/>
        <w:rPr>
          <w:rFonts w:ascii="Garamond" w:hAnsi="Garamond" w:cs="Times New Roman"/>
          <w:color w:val="000000"/>
          <w:sz w:val="24"/>
          <w:szCs w:val="24"/>
        </w:rPr>
      </w:pPr>
      <w:r w:rsidRPr="0044221A">
        <w:rPr>
          <w:rFonts w:ascii="Garamond" w:hAnsi="Garamond" w:cs="Times New Roman"/>
          <w:color w:val="000000"/>
          <w:sz w:val="24"/>
          <w:szCs w:val="24"/>
        </w:rPr>
        <w:t>DISPOZITA PËRFUNDIMTARE</w:t>
      </w:r>
    </w:p>
    <w:p w14:paraId="105AD882" w14:textId="77777777"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p>
    <w:p w14:paraId="0830B23F" w14:textId="0A9EEA5B"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17.</w:t>
      </w:r>
      <w:r w:rsidR="00973EE7" w:rsidRPr="0044221A">
        <w:rPr>
          <w:rFonts w:ascii="Garamond" w:hAnsi="Garamond" w:cs="Times New Roman"/>
          <w:color w:val="000000"/>
          <w:sz w:val="24"/>
          <w:szCs w:val="24"/>
        </w:rPr>
        <w:t xml:space="preserve"> </w:t>
      </w:r>
      <w:r w:rsidRPr="0044221A">
        <w:rPr>
          <w:rFonts w:ascii="Garamond" w:hAnsi="Garamond" w:cs="Times New Roman"/>
          <w:color w:val="000000"/>
          <w:sz w:val="24"/>
          <w:szCs w:val="24"/>
        </w:rPr>
        <w:t>Ngarkohet Drejtoria e Programimit, Hartimit, Harmonizimit të Kuadrit Rregullator, Drejtoria e Buxhetit dhe Menaxhimit Financiar, Drejtoria e Burimeve Njerëzore për zbatimin e këtij udhëzimi, si dhe Sektori i Arkiv-Protokollit për komunikimin e tij.</w:t>
      </w:r>
    </w:p>
    <w:p w14:paraId="69C2075D" w14:textId="77777777"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r w:rsidRPr="0044221A">
        <w:rPr>
          <w:rFonts w:ascii="Garamond" w:hAnsi="Garamond" w:cs="Times New Roman"/>
          <w:color w:val="000000"/>
          <w:sz w:val="24"/>
          <w:szCs w:val="24"/>
        </w:rPr>
        <w:t>Ky udhëzim hyn në fuqi pas botimit në Fletoren Zyrtare.</w:t>
      </w:r>
    </w:p>
    <w:p w14:paraId="53A15C57" w14:textId="77777777" w:rsidR="007942C7" w:rsidRPr="0044221A" w:rsidRDefault="007942C7" w:rsidP="00973EE7">
      <w:pPr>
        <w:keepNext/>
        <w:autoSpaceDE w:val="0"/>
        <w:autoSpaceDN w:val="0"/>
        <w:adjustRightInd w:val="0"/>
        <w:spacing w:after="0" w:line="240" w:lineRule="auto"/>
        <w:ind w:firstLine="284"/>
        <w:jc w:val="both"/>
        <w:rPr>
          <w:rFonts w:ascii="Garamond" w:hAnsi="Garamond" w:cs="Times New Roman"/>
          <w:color w:val="000000"/>
          <w:sz w:val="24"/>
          <w:szCs w:val="24"/>
        </w:rPr>
      </w:pPr>
    </w:p>
    <w:p w14:paraId="70606279" w14:textId="0FD3BCE5" w:rsidR="007942C7" w:rsidRPr="0044221A" w:rsidRDefault="007942C7" w:rsidP="00973EE7">
      <w:pPr>
        <w:keepNext/>
        <w:autoSpaceDE w:val="0"/>
        <w:autoSpaceDN w:val="0"/>
        <w:adjustRightInd w:val="0"/>
        <w:spacing w:after="0" w:line="240" w:lineRule="auto"/>
        <w:ind w:firstLine="284"/>
        <w:jc w:val="right"/>
        <w:rPr>
          <w:rFonts w:ascii="Garamond" w:hAnsi="Garamond" w:cs="Times New Roman"/>
          <w:bCs/>
          <w:color w:val="000000"/>
          <w:sz w:val="24"/>
          <w:szCs w:val="24"/>
        </w:rPr>
      </w:pPr>
      <w:r w:rsidRPr="0044221A">
        <w:rPr>
          <w:rFonts w:ascii="Garamond" w:hAnsi="Garamond" w:cs="Times New Roman"/>
          <w:bCs/>
          <w:color w:val="000000"/>
          <w:sz w:val="24"/>
          <w:szCs w:val="24"/>
        </w:rPr>
        <w:t>MINIST</w:t>
      </w:r>
      <w:r w:rsidR="00973EE7" w:rsidRPr="0044221A">
        <w:rPr>
          <w:rFonts w:ascii="Garamond" w:hAnsi="Garamond" w:cs="Times New Roman"/>
          <w:bCs/>
          <w:color w:val="000000"/>
          <w:sz w:val="24"/>
          <w:szCs w:val="24"/>
        </w:rPr>
        <w:t>Ë</w:t>
      </w:r>
      <w:r w:rsidRPr="0044221A">
        <w:rPr>
          <w:rFonts w:ascii="Garamond" w:hAnsi="Garamond" w:cs="Times New Roman"/>
          <w:bCs/>
          <w:color w:val="000000"/>
          <w:sz w:val="24"/>
          <w:szCs w:val="24"/>
        </w:rPr>
        <w:t xml:space="preserve">R </w:t>
      </w:r>
      <w:r w:rsidR="00973EE7" w:rsidRPr="0044221A">
        <w:rPr>
          <w:rFonts w:ascii="Garamond" w:hAnsi="Garamond" w:cs="Times New Roman"/>
          <w:bCs/>
          <w:color w:val="000000"/>
          <w:sz w:val="24"/>
          <w:szCs w:val="24"/>
        </w:rPr>
        <w:t xml:space="preserve">I </w:t>
      </w:r>
      <w:r w:rsidR="00973EE7" w:rsidRPr="0044221A">
        <w:rPr>
          <w:rFonts w:ascii="Garamond" w:eastAsia="Times New Roman Bold" w:hAnsi="Garamond" w:cs="Times New Roman Bold"/>
          <w:sz w:val="24"/>
          <w:szCs w:val="24"/>
        </w:rPr>
        <w:t>TURIZMIT, KULTURËS DHE SPORTIT</w:t>
      </w:r>
    </w:p>
    <w:p w14:paraId="3CAEB93D" w14:textId="3B5B498C" w:rsidR="007942C7" w:rsidRPr="0044221A" w:rsidRDefault="007942C7" w:rsidP="00973EE7">
      <w:pPr>
        <w:keepNext/>
        <w:autoSpaceDE w:val="0"/>
        <w:autoSpaceDN w:val="0"/>
        <w:adjustRightInd w:val="0"/>
        <w:spacing w:after="0" w:line="240" w:lineRule="auto"/>
        <w:ind w:firstLine="284"/>
        <w:jc w:val="right"/>
        <w:rPr>
          <w:rFonts w:ascii="Garamond" w:hAnsi="Garamond" w:cs="Times New Roman"/>
          <w:b/>
          <w:bCs/>
          <w:color w:val="000000"/>
          <w:sz w:val="24"/>
          <w:szCs w:val="24"/>
        </w:rPr>
      </w:pPr>
      <w:r w:rsidRPr="0044221A">
        <w:rPr>
          <w:rFonts w:ascii="Garamond" w:hAnsi="Garamond" w:cs="Times New Roman"/>
          <w:b/>
          <w:bCs/>
          <w:color w:val="000000"/>
          <w:sz w:val="24"/>
          <w:szCs w:val="24"/>
        </w:rPr>
        <w:t>Blendi G</w:t>
      </w:r>
      <w:r w:rsidR="00973EE7" w:rsidRPr="0044221A">
        <w:rPr>
          <w:rFonts w:ascii="Garamond" w:hAnsi="Garamond" w:cs="Times New Roman"/>
          <w:b/>
          <w:bCs/>
          <w:color w:val="000000"/>
          <w:sz w:val="24"/>
          <w:szCs w:val="24"/>
        </w:rPr>
        <w:t>onxhja</w:t>
      </w:r>
    </w:p>
    <w:p w14:paraId="266082DE" w14:textId="77777777" w:rsidR="007942C7" w:rsidRPr="0044221A" w:rsidRDefault="007942C7" w:rsidP="00973EE7">
      <w:pPr>
        <w:spacing w:after="0" w:line="240" w:lineRule="auto"/>
        <w:ind w:firstLine="284"/>
        <w:rPr>
          <w:rFonts w:ascii="Garamond" w:hAnsi="Garamond"/>
          <w:sz w:val="24"/>
          <w:szCs w:val="24"/>
        </w:rPr>
      </w:pPr>
    </w:p>
    <w:sectPr w:rsidR="007942C7" w:rsidRPr="0044221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89A"/>
    <w:rsid w:val="0001344B"/>
    <w:rsid w:val="000219E2"/>
    <w:rsid w:val="0005006E"/>
    <w:rsid w:val="000E0C98"/>
    <w:rsid w:val="0023442A"/>
    <w:rsid w:val="002900E2"/>
    <w:rsid w:val="002B3B82"/>
    <w:rsid w:val="003818C0"/>
    <w:rsid w:val="00393C28"/>
    <w:rsid w:val="0041665E"/>
    <w:rsid w:val="0044221A"/>
    <w:rsid w:val="004731F4"/>
    <w:rsid w:val="004A7AC3"/>
    <w:rsid w:val="00516526"/>
    <w:rsid w:val="0053073A"/>
    <w:rsid w:val="00565A95"/>
    <w:rsid w:val="0058558B"/>
    <w:rsid w:val="005A1130"/>
    <w:rsid w:val="005C417A"/>
    <w:rsid w:val="005D6843"/>
    <w:rsid w:val="00614F88"/>
    <w:rsid w:val="006A689A"/>
    <w:rsid w:val="006C5F28"/>
    <w:rsid w:val="006D78D5"/>
    <w:rsid w:val="00744FEA"/>
    <w:rsid w:val="00755591"/>
    <w:rsid w:val="007638FD"/>
    <w:rsid w:val="007942C7"/>
    <w:rsid w:val="007C2D6F"/>
    <w:rsid w:val="007C7D77"/>
    <w:rsid w:val="007D7358"/>
    <w:rsid w:val="00805361"/>
    <w:rsid w:val="008053D7"/>
    <w:rsid w:val="00814E07"/>
    <w:rsid w:val="0082419A"/>
    <w:rsid w:val="00840DF6"/>
    <w:rsid w:val="00874750"/>
    <w:rsid w:val="008D5A4B"/>
    <w:rsid w:val="008F553D"/>
    <w:rsid w:val="00973EE7"/>
    <w:rsid w:val="009869EA"/>
    <w:rsid w:val="00990061"/>
    <w:rsid w:val="009B4516"/>
    <w:rsid w:val="009F5EE2"/>
    <w:rsid w:val="009F7F0C"/>
    <w:rsid w:val="009F7F8A"/>
    <w:rsid w:val="00A219BD"/>
    <w:rsid w:val="00A814E7"/>
    <w:rsid w:val="00A90559"/>
    <w:rsid w:val="00AB50DE"/>
    <w:rsid w:val="00B31A8E"/>
    <w:rsid w:val="00B50755"/>
    <w:rsid w:val="00B90111"/>
    <w:rsid w:val="00BD4897"/>
    <w:rsid w:val="00BF1EB7"/>
    <w:rsid w:val="00C13963"/>
    <w:rsid w:val="00C22CDA"/>
    <w:rsid w:val="00C36207"/>
    <w:rsid w:val="00C46821"/>
    <w:rsid w:val="00C8132F"/>
    <w:rsid w:val="00CC24D0"/>
    <w:rsid w:val="00D13D5A"/>
    <w:rsid w:val="00D416BC"/>
    <w:rsid w:val="00D80559"/>
    <w:rsid w:val="00D952F5"/>
    <w:rsid w:val="00DC399C"/>
    <w:rsid w:val="00DE6128"/>
    <w:rsid w:val="00E43C65"/>
    <w:rsid w:val="00E56616"/>
    <w:rsid w:val="00E57538"/>
    <w:rsid w:val="00EC2F47"/>
    <w:rsid w:val="00EF716B"/>
    <w:rsid w:val="00F02E56"/>
    <w:rsid w:val="00F444B7"/>
    <w:rsid w:val="00F5748D"/>
    <w:rsid w:val="00F80ACF"/>
    <w:rsid w:val="00F91D0C"/>
    <w:rsid w:val="00FC300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117F1"/>
  <w15:chartTrackingRefBased/>
  <w15:docId w15:val="{7EE7A219-D66E-4F56-A447-3E2301168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rsid w:val="007942C7"/>
    <w:pPr>
      <w:keepNext/>
      <w:autoSpaceDE w:val="0"/>
      <w:autoSpaceDN w:val="0"/>
      <w:adjustRightInd w:val="0"/>
      <w:spacing w:after="0" w:line="240" w:lineRule="auto"/>
      <w:jc w:val="center"/>
    </w:pPr>
    <w:rPr>
      <w:rFonts w:ascii="Times New Roman" w:hAnsi="Times New Roman" w:cs="Times New Roman"/>
      <w:color w:val="000000"/>
      <w:sz w:val="24"/>
      <w:szCs w:val="24"/>
    </w:rPr>
  </w:style>
  <w:style w:type="paragraph" w:styleId="NormalWeb">
    <w:name w:val="Normal (Web)"/>
    <w:basedOn w:val="Normal"/>
    <w:uiPriority w:val="99"/>
    <w:rsid w:val="007942C7"/>
    <w:pPr>
      <w:autoSpaceDE w:val="0"/>
      <w:autoSpaceDN w:val="0"/>
      <w:adjustRightInd w:val="0"/>
      <w:spacing w:before="100" w:after="10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2026-01-15T15:03:51Z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2026-01-15T00:00:00Z</Date_x0020_protokolli>
    <Titulli xmlns="0e656187-b300-4fb0-8bf4-3a50f872073c">Për përcaktimin e rregullave të brendshme mbi ekzekutimin e vendimeve gjyqësore të formës së prerë me debitor ministrinë përgjegjëse për  turizimin, kulturën dhe sportin</Titulli>
    <Modifikuesi xmlns="0e656187-b300-4fb0-8bf4-3a50f872073c">ermira.bukaci</Modifikuesi>
    <Nr_x002e__x0020_prot_x0020_QBZ xmlns="0e656187-b300-4fb0-8bf4-3a50f872073c">77/1</Nr_x002e__x0020_prot_x0020_QBZ>
    <Data_x0020_e_x0020_Modifikimit xmlns="0e656187-b300-4fb0-8bf4-3a50f872073c">2026-01-16T12:26:50Z</Data_x0020_e_x0020_Modifikimit>
    <Dekretuar xmlns="0e656187-b300-4fb0-8bf4-3a50f872073c">false</Dekretuar>
    <Data xmlns="0e656187-b300-4fb0-8bf4-3a50f872073c">2026-01-09T00:00:00Z</Data>
    <Nr_x002e__x0020_protokolli_x0020_i_x0020_aktit xmlns="0e656187-b300-4fb0-8bf4-3a50f872073c">239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80D06D90034461281145B38B8CF3F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8AE8D13-3304-4D8A-AAFA-3EA26C45F4AC}">
  <ds:schemaRefs>
    <ds:schemaRef ds:uri="http://schemas.microsoft.com/office/2006/metadata/properties"/>
    <ds:schemaRef ds:uri="http://purl.org/dc/terms/"/>
    <ds:schemaRef ds:uri="http://schemas.microsoft.com/office/2006/documentManagement/types"/>
    <ds:schemaRef ds:uri="http://purl.org/dc/elements/1.1/"/>
    <ds:schemaRef ds:uri="http://schemas.openxmlformats.org/package/2006/metadata/core-properties"/>
    <ds:schemaRef ds:uri="http://purl.org/dc/dcmitype/"/>
    <ds:schemaRef ds:uri="0e656187-b300-4fb0-8bf4-3a50f872073c"/>
    <ds:schemaRef ds:uri="http://www.w3.org/XML/1998/namespace"/>
  </ds:schemaRefs>
</ds:datastoreItem>
</file>

<file path=customXml/itemProps2.xml><?xml version="1.0" encoding="utf-8"?>
<ds:datastoreItem xmlns:ds="http://schemas.openxmlformats.org/officeDocument/2006/customXml" ds:itemID="{A1AEC0E5-C590-4FA1-A0E9-648EEC38BEBA}">
  <ds:schemaRefs>
    <ds:schemaRef ds:uri="http://schemas.microsoft.com/sharepoint/v3/contenttype/forms"/>
  </ds:schemaRefs>
</ds:datastoreItem>
</file>

<file path=customXml/itemProps3.xml><?xml version="1.0" encoding="utf-8"?>
<ds:datastoreItem xmlns:ds="http://schemas.openxmlformats.org/officeDocument/2006/customXml" ds:itemID="{2146419C-F666-474F-AB68-2B9577F01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1397</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brendshme mbi ekzekutimin e vendimeve gjyqësore të formës së prerë me debitor ministrinë përgjegjëse për turizimin, kulturën dhe sportin</dc:title>
  <dc:creator>Entela Suli</dc:creator>
  <cp:lastModifiedBy>Fjora Cahani</cp:lastModifiedBy>
  <cp:revision>3</cp:revision>
  <dcterms:created xsi:type="dcterms:W3CDTF">2026-01-16T11:33:00Z</dcterms:created>
  <dcterms:modified xsi:type="dcterms:W3CDTF">2026-01-16T12:31:00Z</dcterms:modified>
</cp:coreProperties>
</file>