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FAE" w:rsidRPr="00037F1B" w:rsidRDefault="007B3FAE" w:rsidP="007B3FAE">
      <w:pPr>
        <w:pStyle w:val="Akti"/>
        <w:keepNext w:val="0"/>
      </w:pPr>
      <w:bookmarkStart w:id="0" w:name="_GoBack"/>
      <w:bookmarkEnd w:id="0"/>
      <w:r w:rsidRPr="00037F1B">
        <w:t>URDHËR</w:t>
      </w:r>
    </w:p>
    <w:p w:rsidR="007B3FAE" w:rsidRPr="00037F1B" w:rsidRDefault="007B3FAE" w:rsidP="007B3FAE">
      <w:pPr>
        <w:pStyle w:val="NumriData"/>
        <w:keepNext w:val="0"/>
      </w:pPr>
      <w:r w:rsidRPr="00037F1B">
        <w:t>Nr.570, datë 15.12.2010</w:t>
      </w:r>
    </w:p>
    <w:p w:rsidR="007B3FAE" w:rsidRPr="00037F1B" w:rsidRDefault="007B3FAE" w:rsidP="007B3FAE">
      <w:pPr>
        <w:pStyle w:val="Paragrafi"/>
      </w:pPr>
    </w:p>
    <w:p w:rsidR="007B3FAE" w:rsidRPr="00037F1B" w:rsidRDefault="007B3FAE" w:rsidP="007B3FAE">
      <w:pPr>
        <w:pStyle w:val="Titulli"/>
        <w:keepNext w:val="0"/>
      </w:pPr>
      <w:r>
        <w:t xml:space="preserve">PËR </w:t>
      </w:r>
      <w:r w:rsidRPr="00037F1B">
        <w:t>SHPËRNDARJEN E KUOTAVE TË PRANIMIT PËR TRANSFERIM STUDIMESH, NË CIKLIN E PARË TË STUDIMEVE ME KOHË TË PJESSHME DHE EDUKIMIN NË DISTANC</w:t>
      </w:r>
      <w:r>
        <w:t>Ë, PËR VITIN AKADEMIK 2010-2011</w:t>
      </w:r>
    </w:p>
    <w:p w:rsidR="007B3FAE" w:rsidRPr="00037F1B" w:rsidRDefault="007B3FAE" w:rsidP="007B3FAE">
      <w:pPr>
        <w:pStyle w:val="Paragrafi"/>
      </w:pPr>
    </w:p>
    <w:p w:rsidR="007B3FAE" w:rsidRPr="00037F1B" w:rsidRDefault="007B3FAE" w:rsidP="007B3FAE">
      <w:pPr>
        <w:pStyle w:val="Paragrafi"/>
      </w:pPr>
      <w:r w:rsidRPr="00037F1B">
        <w:t xml:space="preserve">Në mbështetje të nenit 102 të Kushtetutës, nenit 33, 35 dhe 36 të ligjit nr.9741, datë 21.5.2007 “Për arsimin e lartë në Republikën e Shqipërisë”, </w:t>
      </w:r>
      <w:r>
        <w:t>të</w:t>
      </w:r>
      <w:r w:rsidRPr="00037F1B">
        <w:t xml:space="preserve"> ndryshuar, në shkronjën “c” të pikës 1, pikat 3, 10, 13 të vendimit nr.826, datë 13.10.2010 të Këshillit të Min</w:t>
      </w:r>
      <w:r>
        <w:t>istrave “Për kuotat e pranimeve</w:t>
      </w:r>
      <w:r w:rsidRPr="00037F1B">
        <w:t xml:space="preserve"> në institucionet publike të arsimit të lartë dhe tarifat e shkollimit për studimet e ciklit të parë, me kohë të pjesshme, e të edukimit në distancë, në vitin akademik 2010-2011”, </w:t>
      </w:r>
      <w:r>
        <w:t>të</w:t>
      </w:r>
      <w:r w:rsidRPr="00037F1B">
        <w:t xml:space="preserve"> ndryshuar</w:t>
      </w:r>
      <w:r>
        <w:t>,</w:t>
      </w:r>
      <w:r w:rsidRPr="00037F1B">
        <w:t xml:space="preserve"> </w:t>
      </w:r>
    </w:p>
    <w:p w:rsidR="007B3FAE" w:rsidRPr="00037F1B" w:rsidRDefault="007B3FAE" w:rsidP="007B3FAE">
      <w:pPr>
        <w:pStyle w:val="Paragrafi"/>
      </w:pPr>
    </w:p>
    <w:p w:rsidR="007B3FAE" w:rsidRPr="00037F1B" w:rsidRDefault="007B3FAE" w:rsidP="007B3FAE">
      <w:pPr>
        <w:pStyle w:val="VENDOSI"/>
        <w:keepNext w:val="0"/>
      </w:pPr>
      <w:r w:rsidRPr="00037F1B">
        <w:t>URDHËROJ:</w:t>
      </w:r>
    </w:p>
    <w:p w:rsidR="007B3FAE" w:rsidRPr="00037F1B" w:rsidRDefault="007B3FAE" w:rsidP="007B3FAE">
      <w:pPr>
        <w:pStyle w:val="Paragrafi"/>
      </w:pPr>
    </w:p>
    <w:p w:rsidR="007B3FAE" w:rsidRPr="00037F1B" w:rsidRDefault="007B3FAE" w:rsidP="007B3FAE">
      <w:pPr>
        <w:pStyle w:val="Paragrafi"/>
      </w:pPr>
      <w:r w:rsidRPr="00037F1B">
        <w:t>1.</w:t>
      </w:r>
      <w:r>
        <w:t xml:space="preserve"> </w:t>
      </w:r>
      <w:r w:rsidRPr="00037F1B">
        <w:t>Shpërndarjen e kuotave të pranimit për transferim studimesh në institucionet publike të arsimit të lartë për vitin akademik 2010-2011,</w:t>
      </w:r>
      <w:r>
        <w:t xml:space="preserve"> sipas shkronjës “c” të pikës 1</w:t>
      </w:r>
      <w:r w:rsidRPr="00037F1B">
        <w:t xml:space="preserve"> të vend</w:t>
      </w:r>
      <w:r>
        <w:t xml:space="preserve">imit </w:t>
      </w:r>
      <w:r w:rsidRPr="00037F1B">
        <w:t>nr.826, datë 13.10.2010 të Këshillit të Ministrave “Për kuotat e pranimeve, në institucionet publike të arsimit të lartë dhe tarifat e shkollimit për studimet e ciklit të parë, me kohë të pjesshme, e të edukimit në distancë, në vitin akademik 2010-2011”, i ndryshuar, mbështetur në kërkesën e institucioneve publike të arsimit të lartë.</w:t>
      </w:r>
    </w:p>
    <w:p w:rsidR="007B3FAE" w:rsidRPr="00037F1B" w:rsidRDefault="007B3FAE" w:rsidP="007B3FAE">
      <w:pPr>
        <w:pStyle w:val="Paragrafi"/>
      </w:pPr>
      <w:r w:rsidRPr="00037F1B">
        <w:t>2.</w:t>
      </w:r>
      <w:r>
        <w:t xml:space="preserve"> </w:t>
      </w:r>
      <w:r w:rsidRPr="00037F1B">
        <w:t xml:space="preserve">Kuotat e transferimit të studimeve dhënë institucioneve publike të arsimit të lartë, sipas shkronjës “c” të pikës 1 të vendimit nr.826, datë 13.10.2010 të Këshillit të Ministrave “Për kuotat e pranimeve, në institucionet publike të arsimit të lartë dhe tarifat e shkollimit për studimet e ciklit të parë, me kohë të pjesshme, e të edukimit në distancë, në vitin akademik 2010-2011”, </w:t>
      </w:r>
      <w:r>
        <w:t>të</w:t>
      </w:r>
      <w:r w:rsidRPr="00037F1B">
        <w:t xml:space="preserve"> ndryshuar, të shpërndahen sipas programeve të studimit dhe institucioneve publike të arsimit të lartë të tabelës nr.1, bashkëlidhur këtij urdhri.</w:t>
      </w:r>
    </w:p>
    <w:p w:rsidR="007B3FAE" w:rsidRPr="00037F1B" w:rsidRDefault="007B3FAE" w:rsidP="007B3FAE">
      <w:pPr>
        <w:pStyle w:val="Paragrafi"/>
      </w:pPr>
      <w:r w:rsidRPr="00037F1B">
        <w:t>3.</w:t>
      </w:r>
      <w:r>
        <w:t xml:space="preserve"> </w:t>
      </w:r>
      <w:r w:rsidRPr="00037F1B">
        <w:t xml:space="preserve">Kuotat e transferimit të studimeve, të përcaktuara në shkronjën “c” të pikës 1 të vendimit nr.826, datë 13.10.2010 të Këshillit të Ministrave “Për kuotat e pranimeve, në institucionet publike të arsimit të lartë dhe tarifat e shkollimit për studimet e ciklit të parë, me kohë të pjesshme, e të edukimit në distancë, në vitin akademik 2010-2011”, </w:t>
      </w:r>
      <w:r>
        <w:t>të</w:t>
      </w:r>
      <w:r w:rsidRPr="00037F1B">
        <w:t xml:space="preserve"> ndryshuar,</w:t>
      </w:r>
      <w:r>
        <w:t xml:space="preserve"> </w:t>
      </w:r>
      <w:r w:rsidRPr="00037F1B">
        <w:t xml:space="preserve">të shfrytëzohen edhe për transferime nga </w:t>
      </w:r>
      <w:r>
        <w:t>institucionet private</w:t>
      </w:r>
      <w:r w:rsidRPr="00037F1B">
        <w:t xml:space="preserve"> të arsimit të lartë, drejt institucioneve publike të arsimit të lartë, deri në masën 30% të kuotës për transferim të përcaktuar për çdo program studimi.</w:t>
      </w:r>
    </w:p>
    <w:p w:rsidR="007B3FAE" w:rsidRPr="00037F1B" w:rsidRDefault="007B3FAE" w:rsidP="007B3FAE">
      <w:pPr>
        <w:pStyle w:val="Paragrafi"/>
      </w:pPr>
      <w:r w:rsidRPr="00037F1B">
        <w:t>4.</w:t>
      </w:r>
      <w:r>
        <w:t xml:space="preserve"> </w:t>
      </w:r>
      <w:r w:rsidRPr="00037F1B">
        <w:t xml:space="preserve">Kuotat e dhëna institucioneve publike të arsimit të lartë për transferime, sipas shkronjës “c” të pikës 1 të vendimit nr.826, datë 13.10.2010 të Këshillit të Ministrave “Për kuotat e pranimeve, në institucionet publike të arsimit të lartë dhe tarifat e shkollimit për studimet e ciklit të parë, me kohë të pjesshme, e të edukimit në distancë, në vitin akademik 2010-2011”, </w:t>
      </w:r>
      <w:r>
        <w:t>të</w:t>
      </w:r>
      <w:r w:rsidRPr="00037F1B">
        <w:t xml:space="preserve"> ndryshuar, të shpërndahen, duke respektuar, ng</w:t>
      </w:r>
      <w:r>
        <w:t>a këta të</w:t>
      </w:r>
      <w:r w:rsidRPr="00037F1B">
        <w:t xml:space="preserve"> fundit</w:t>
      </w:r>
      <w:r>
        <w:t>,</w:t>
      </w:r>
      <w:r w:rsidRPr="00037F1B">
        <w:t xml:space="preserve"> kriteret e vemdosura në përputhje me aktet nënligjore dhe të publikuara më parë në vende të dukshme prej tyre.</w:t>
      </w:r>
    </w:p>
    <w:p w:rsidR="007B3FAE" w:rsidRPr="00037F1B" w:rsidRDefault="007B3FAE" w:rsidP="007B3FAE">
      <w:pPr>
        <w:pStyle w:val="Paragrafi"/>
      </w:pPr>
      <w:r w:rsidRPr="00037F1B">
        <w:t>5. Ngarkohen Sekretari i Përgjithshëm, Drejtoria e Arsimit të Lartë dhe Kërkimit Shkencor të Ministrisë  së Arsimit dhe Shkencës, si dhe institucionet publike të arsimit të lartë për zbatimin e këtij urdhri.</w:t>
      </w:r>
    </w:p>
    <w:p w:rsidR="007B3FAE" w:rsidRPr="00037F1B" w:rsidRDefault="007B3FAE" w:rsidP="007B3FAE">
      <w:pPr>
        <w:pStyle w:val="Paragrafi"/>
      </w:pPr>
      <w:r w:rsidRPr="00037F1B">
        <w:t>Ky urdhër hyn në fuqi menjëherë dhe botohet në Fletoren Zyrtare.</w:t>
      </w:r>
    </w:p>
    <w:p w:rsidR="007B3FAE" w:rsidRPr="00037F1B" w:rsidRDefault="007B3FAE" w:rsidP="007B3FAE">
      <w:pPr>
        <w:pStyle w:val="Paragrafi"/>
      </w:pPr>
    </w:p>
    <w:p w:rsidR="007B3FAE" w:rsidRPr="00037F1B" w:rsidRDefault="007B3FAE" w:rsidP="007B3FAE">
      <w:pPr>
        <w:pStyle w:val="Autoriteti"/>
        <w:keepNext w:val="0"/>
      </w:pPr>
      <w:r w:rsidRPr="00037F1B">
        <w:t>MINISTRI I ARSIMIT DHE SHKENCËS</w:t>
      </w:r>
    </w:p>
    <w:p w:rsidR="007B3FAE" w:rsidRDefault="007B3FAE" w:rsidP="007B3FAE">
      <w:pPr>
        <w:pStyle w:val="AutoritetiEmer"/>
      </w:pPr>
      <w:r w:rsidRPr="00037F1B">
        <w:t>Myqerem Tafa</w:t>
      </w:r>
      <w:r>
        <w:t>j</w:t>
      </w:r>
    </w:p>
    <w:p w:rsidR="007B3FAE" w:rsidRPr="00B2004E" w:rsidRDefault="007B3FAE" w:rsidP="007B3FAE">
      <w:pPr>
        <w:widowControl w:val="0"/>
        <w:rPr>
          <w:lang w:val="en-GB"/>
        </w:rPr>
      </w:pPr>
    </w:p>
    <w:p w:rsidR="007B3FAE" w:rsidRPr="00037F1B" w:rsidRDefault="007B3FAE" w:rsidP="007B3FAE">
      <w:pPr>
        <w:pStyle w:val="Paragrafi"/>
        <w:jc w:val="right"/>
      </w:pPr>
      <w:r w:rsidRPr="00037F1B">
        <w:t>Tabela nr.1</w:t>
      </w:r>
    </w:p>
    <w:p w:rsidR="007B3FAE" w:rsidRDefault="007B3FAE" w:rsidP="007B3FAE">
      <w:pPr>
        <w:pStyle w:val="Paragrafi"/>
        <w:jc w:val="center"/>
      </w:pPr>
    </w:p>
    <w:p w:rsidR="007B3FAE" w:rsidRPr="00037F1B" w:rsidRDefault="007B3FAE" w:rsidP="007B3FAE">
      <w:pPr>
        <w:pStyle w:val="Paragrafi"/>
        <w:jc w:val="center"/>
      </w:pPr>
      <w:r w:rsidRPr="00037F1B">
        <w:t>TABELA E KUOTAVE PËR TRANSFERIM STUDIMESH NË CIKLIN E PARË TË STUDIMEVE ME KOHË TË PJESSHME</w:t>
      </w:r>
    </w:p>
    <w:p w:rsidR="007B3FAE" w:rsidRPr="00037F1B" w:rsidRDefault="007B3FAE" w:rsidP="007B3FAE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"/>
        <w:gridCol w:w="4766"/>
        <w:gridCol w:w="875"/>
        <w:gridCol w:w="875"/>
        <w:gridCol w:w="778"/>
        <w:gridCol w:w="875"/>
        <w:gridCol w:w="902"/>
      </w:tblGrid>
      <w:tr w:rsidR="007B3FAE" w:rsidRPr="00037F1B" w:rsidTr="00F51C43">
        <w:tc>
          <w:tcPr>
            <w:tcW w:w="263" w:type="pct"/>
            <w:vMerge w:val="restart"/>
          </w:tcPr>
          <w:p w:rsidR="007B3FAE" w:rsidRPr="00037F1B" w:rsidRDefault="007B3FAE" w:rsidP="00F51C43">
            <w:pPr>
              <w:pStyle w:val="Tabele"/>
              <w:widowControl w:val="0"/>
            </w:pPr>
          </w:p>
        </w:tc>
        <w:tc>
          <w:tcPr>
            <w:tcW w:w="2488" w:type="pct"/>
            <w:vMerge w:val="restart"/>
          </w:tcPr>
          <w:p w:rsidR="007B3FAE" w:rsidRPr="001E5C85" w:rsidRDefault="007B3FAE" w:rsidP="00F51C43">
            <w:pPr>
              <w:pStyle w:val="Tabele"/>
              <w:widowControl w:val="0"/>
              <w:jc w:val="center"/>
              <w:rPr>
                <w:b/>
              </w:rPr>
            </w:pPr>
            <w:r w:rsidRPr="001E5C85">
              <w:rPr>
                <w:b/>
              </w:rPr>
              <w:t>Programi i studimit</w:t>
            </w:r>
          </w:p>
        </w:tc>
        <w:tc>
          <w:tcPr>
            <w:tcW w:w="2248" w:type="pct"/>
            <w:gridSpan w:val="5"/>
          </w:tcPr>
          <w:p w:rsidR="007B3FAE" w:rsidRPr="001E5C85" w:rsidRDefault="007B3FAE" w:rsidP="00F51C43">
            <w:pPr>
              <w:pStyle w:val="Tabele"/>
              <w:widowControl w:val="0"/>
              <w:jc w:val="center"/>
              <w:rPr>
                <w:b/>
              </w:rPr>
            </w:pPr>
            <w:r w:rsidRPr="001E5C85">
              <w:rPr>
                <w:b/>
              </w:rPr>
              <w:t>IAL</w:t>
            </w:r>
          </w:p>
        </w:tc>
      </w:tr>
      <w:tr w:rsidR="007B3FAE" w:rsidRPr="00037F1B" w:rsidTr="00F51C43">
        <w:tc>
          <w:tcPr>
            <w:tcW w:w="263" w:type="pct"/>
            <w:vMerge/>
          </w:tcPr>
          <w:p w:rsidR="007B3FAE" w:rsidRPr="00037F1B" w:rsidRDefault="007B3FAE" w:rsidP="00F51C43">
            <w:pPr>
              <w:pStyle w:val="Tabele"/>
              <w:widowControl w:val="0"/>
            </w:pPr>
          </w:p>
        </w:tc>
        <w:tc>
          <w:tcPr>
            <w:tcW w:w="2488" w:type="pct"/>
            <w:vMerge/>
          </w:tcPr>
          <w:p w:rsidR="007B3FAE" w:rsidRPr="00037F1B" w:rsidRDefault="007B3FAE" w:rsidP="00F51C43">
            <w:pPr>
              <w:pStyle w:val="Tabele"/>
              <w:widowControl w:val="0"/>
            </w:pPr>
          </w:p>
        </w:tc>
        <w:tc>
          <w:tcPr>
            <w:tcW w:w="457" w:type="pct"/>
          </w:tcPr>
          <w:p w:rsidR="007B3FAE" w:rsidRPr="001E5C85" w:rsidRDefault="007B3FAE" w:rsidP="00F51C43">
            <w:pPr>
              <w:pStyle w:val="Tabele"/>
              <w:widowControl w:val="0"/>
              <w:jc w:val="center"/>
              <w:rPr>
                <w:b/>
              </w:rPr>
            </w:pPr>
            <w:r w:rsidRPr="001E5C85">
              <w:rPr>
                <w:b/>
              </w:rPr>
              <w:t>UE</w:t>
            </w:r>
          </w:p>
        </w:tc>
        <w:tc>
          <w:tcPr>
            <w:tcW w:w="457" w:type="pct"/>
          </w:tcPr>
          <w:p w:rsidR="007B3FAE" w:rsidRPr="001E5C85" w:rsidRDefault="007B3FAE" w:rsidP="00F51C43">
            <w:pPr>
              <w:pStyle w:val="Tabele"/>
              <w:widowControl w:val="0"/>
              <w:jc w:val="center"/>
              <w:rPr>
                <w:b/>
              </w:rPr>
            </w:pPr>
            <w:r w:rsidRPr="001E5C85">
              <w:rPr>
                <w:b/>
              </w:rPr>
              <w:t>UBT</w:t>
            </w:r>
          </w:p>
        </w:tc>
        <w:tc>
          <w:tcPr>
            <w:tcW w:w="406" w:type="pct"/>
          </w:tcPr>
          <w:p w:rsidR="007B3FAE" w:rsidRPr="001E5C85" w:rsidRDefault="007B3FAE" w:rsidP="00F51C43">
            <w:pPr>
              <w:pStyle w:val="Tabele"/>
              <w:widowControl w:val="0"/>
              <w:jc w:val="center"/>
              <w:rPr>
                <w:b/>
              </w:rPr>
            </w:pPr>
            <w:r w:rsidRPr="001E5C85">
              <w:rPr>
                <w:b/>
              </w:rPr>
              <w:t>UGJ</w:t>
            </w:r>
          </w:p>
        </w:tc>
        <w:tc>
          <w:tcPr>
            <w:tcW w:w="457" w:type="pct"/>
          </w:tcPr>
          <w:p w:rsidR="007B3FAE" w:rsidRPr="001E5C85" w:rsidRDefault="007B3FAE" w:rsidP="00F51C43">
            <w:pPr>
              <w:pStyle w:val="Tabele"/>
              <w:widowControl w:val="0"/>
              <w:jc w:val="center"/>
              <w:rPr>
                <w:b/>
              </w:rPr>
            </w:pPr>
            <w:r w:rsidRPr="001E5C85">
              <w:rPr>
                <w:b/>
              </w:rPr>
              <w:t>USH</w:t>
            </w:r>
          </w:p>
        </w:tc>
        <w:tc>
          <w:tcPr>
            <w:tcW w:w="471" w:type="pct"/>
          </w:tcPr>
          <w:p w:rsidR="007B3FAE" w:rsidRPr="001E5C85" w:rsidRDefault="007B3FAE" w:rsidP="00F51C43">
            <w:pPr>
              <w:pStyle w:val="Tabele"/>
              <w:widowControl w:val="0"/>
              <w:jc w:val="center"/>
              <w:rPr>
                <w:b/>
              </w:rPr>
            </w:pPr>
            <w:r w:rsidRPr="001E5C85">
              <w:rPr>
                <w:b/>
              </w:rPr>
              <w:t>Shuma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1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Histori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2</w:t>
            </w: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2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2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Gjeografi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2</w:t>
            </w: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2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3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Histori-gjeografi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3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3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4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Gjuhë-letërsi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2</w:t>
            </w: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2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5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 xml:space="preserve">Cikli i </w:t>
            </w:r>
            <w:r>
              <w:t>u</w:t>
            </w:r>
            <w:r w:rsidRPr="00037F1B">
              <w:t>lët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3</w:t>
            </w: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3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6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 xml:space="preserve">Cikli i </w:t>
            </w:r>
            <w:r>
              <w:t>u</w:t>
            </w:r>
            <w:r w:rsidRPr="00037F1B">
              <w:t>lët parashkollor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2</w:t>
            </w: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2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7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Matematikë-fizikë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3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4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8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Matematikë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2</w:t>
            </w: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2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9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Fizikë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2</w:t>
            </w: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2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10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Biologji-kimi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3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2</w:t>
            </w: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5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11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Drejtësi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20</w:t>
            </w: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20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12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Administrim publik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4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4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13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Administrim biznes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10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3</w:t>
            </w: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13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14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Financë-kontabilitet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5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4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2</w:t>
            </w: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11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15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Turizëm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4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2</w:t>
            </w: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6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16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Prodhim bimor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10</w:t>
            </w: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10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17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Agromekanizim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10</w:t>
            </w: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10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18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Hortikulturë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10</w:t>
            </w: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10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19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Mbrojtje bimësh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10</w:t>
            </w: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10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20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Akuakulturë dhe menaxhim peshkimi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10</w:t>
            </w: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10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21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Zootekni dhe biznes blegtoral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19</w:t>
            </w: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19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22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Menaxhim agrobiznesi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10</w:t>
            </w: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10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23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>
              <w:t>Ekonomi dhe p</w:t>
            </w:r>
            <w:r w:rsidRPr="00037F1B">
              <w:t>olitikë agrare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10</w:t>
            </w: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10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24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Financë-kontabilitet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10</w:t>
            </w: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10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25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Inxhinieri agroushqimore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5</w:t>
            </w: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5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26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Vreshtari-enologji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5</w:t>
            </w: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5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27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>
              <w:t>Inxhinie</w:t>
            </w:r>
            <w:r w:rsidRPr="00037F1B">
              <w:t>ri pyjore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5</w:t>
            </w: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5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28</w:t>
            </w:r>
          </w:p>
        </w:tc>
        <w:tc>
          <w:tcPr>
            <w:tcW w:w="2488" w:type="pct"/>
          </w:tcPr>
          <w:p w:rsidR="007B3FAE" w:rsidRPr="00037F1B" w:rsidRDefault="007B3FAE" w:rsidP="00F51C43">
            <w:pPr>
              <w:pStyle w:val="Tabele"/>
              <w:widowControl w:val="0"/>
            </w:pPr>
            <w:r w:rsidRPr="00037F1B">
              <w:t>Inxhinieri përpunim druri</w:t>
            </w: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5</w:t>
            </w:r>
          </w:p>
        </w:tc>
        <w:tc>
          <w:tcPr>
            <w:tcW w:w="406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57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</w:p>
        </w:tc>
        <w:tc>
          <w:tcPr>
            <w:tcW w:w="471" w:type="pct"/>
          </w:tcPr>
          <w:p w:rsidR="007B3FAE" w:rsidRPr="00037F1B" w:rsidRDefault="007B3FAE" w:rsidP="00F51C43">
            <w:pPr>
              <w:pStyle w:val="Tabele"/>
              <w:widowControl w:val="0"/>
              <w:jc w:val="center"/>
            </w:pPr>
            <w:r w:rsidRPr="00037F1B">
              <w:t>5</w:t>
            </w:r>
          </w:p>
        </w:tc>
      </w:tr>
      <w:tr w:rsidR="007B3FAE" w:rsidRPr="00037F1B" w:rsidTr="00F51C43">
        <w:tc>
          <w:tcPr>
            <w:tcW w:w="263" w:type="pct"/>
          </w:tcPr>
          <w:p w:rsidR="007B3FAE" w:rsidRPr="00037F1B" w:rsidRDefault="007B3FAE" w:rsidP="00F51C43">
            <w:pPr>
              <w:pStyle w:val="Tabele"/>
              <w:widowControl w:val="0"/>
            </w:pPr>
          </w:p>
        </w:tc>
        <w:tc>
          <w:tcPr>
            <w:tcW w:w="2488" w:type="pct"/>
          </w:tcPr>
          <w:p w:rsidR="007B3FAE" w:rsidRPr="001E5C85" w:rsidRDefault="007B3FAE" w:rsidP="00F51C43">
            <w:pPr>
              <w:pStyle w:val="Tabele"/>
              <w:widowControl w:val="0"/>
              <w:rPr>
                <w:b/>
              </w:rPr>
            </w:pPr>
            <w:r w:rsidRPr="001E5C85">
              <w:rPr>
                <w:b/>
              </w:rPr>
              <w:t>Gjithsej</w:t>
            </w:r>
          </w:p>
        </w:tc>
        <w:tc>
          <w:tcPr>
            <w:tcW w:w="457" w:type="pct"/>
          </w:tcPr>
          <w:p w:rsidR="007B3FAE" w:rsidRPr="001E5C85" w:rsidRDefault="007B3FAE" w:rsidP="00F51C43">
            <w:pPr>
              <w:pStyle w:val="Tabele"/>
              <w:widowControl w:val="0"/>
              <w:jc w:val="center"/>
              <w:rPr>
                <w:b/>
              </w:rPr>
            </w:pPr>
            <w:r w:rsidRPr="001E5C85">
              <w:rPr>
                <w:b/>
              </w:rPr>
              <w:t>16</w:t>
            </w:r>
          </w:p>
        </w:tc>
        <w:tc>
          <w:tcPr>
            <w:tcW w:w="457" w:type="pct"/>
          </w:tcPr>
          <w:p w:rsidR="007B3FAE" w:rsidRPr="001E5C85" w:rsidRDefault="007B3FAE" w:rsidP="00F51C43">
            <w:pPr>
              <w:pStyle w:val="Tabele"/>
              <w:widowControl w:val="0"/>
              <w:jc w:val="center"/>
              <w:rPr>
                <w:b/>
              </w:rPr>
            </w:pPr>
            <w:r w:rsidRPr="001E5C85">
              <w:rPr>
                <w:b/>
              </w:rPr>
              <w:t>119</w:t>
            </w:r>
          </w:p>
        </w:tc>
        <w:tc>
          <w:tcPr>
            <w:tcW w:w="406" w:type="pct"/>
          </w:tcPr>
          <w:p w:rsidR="007B3FAE" w:rsidRPr="001E5C85" w:rsidRDefault="007B3FAE" w:rsidP="00F51C43">
            <w:pPr>
              <w:pStyle w:val="Tabele"/>
              <w:widowControl w:val="0"/>
              <w:jc w:val="center"/>
              <w:rPr>
                <w:b/>
              </w:rPr>
            </w:pPr>
            <w:r w:rsidRPr="001E5C85">
              <w:rPr>
                <w:b/>
              </w:rPr>
              <w:t>21</w:t>
            </w:r>
          </w:p>
        </w:tc>
        <w:tc>
          <w:tcPr>
            <w:tcW w:w="457" w:type="pct"/>
          </w:tcPr>
          <w:p w:rsidR="007B3FAE" w:rsidRPr="001E5C85" w:rsidRDefault="007B3FAE" w:rsidP="00F51C43">
            <w:pPr>
              <w:pStyle w:val="Tabele"/>
              <w:widowControl w:val="0"/>
              <w:jc w:val="center"/>
              <w:rPr>
                <w:b/>
              </w:rPr>
            </w:pPr>
            <w:r w:rsidRPr="001E5C85">
              <w:rPr>
                <w:b/>
              </w:rPr>
              <w:t>44</w:t>
            </w:r>
          </w:p>
        </w:tc>
        <w:tc>
          <w:tcPr>
            <w:tcW w:w="471" w:type="pct"/>
          </w:tcPr>
          <w:p w:rsidR="007B3FAE" w:rsidRPr="001E5C85" w:rsidRDefault="007B3FAE" w:rsidP="00F51C43">
            <w:pPr>
              <w:pStyle w:val="Tabele"/>
              <w:widowControl w:val="0"/>
              <w:jc w:val="center"/>
              <w:rPr>
                <w:b/>
              </w:rPr>
            </w:pPr>
            <w:r w:rsidRPr="001E5C85">
              <w:rPr>
                <w:b/>
              </w:rPr>
              <w:t>200</w:t>
            </w:r>
          </w:p>
        </w:tc>
      </w:tr>
    </w:tbl>
    <w:p w:rsidR="007B3FAE" w:rsidRPr="00037F1B" w:rsidRDefault="007B3FAE" w:rsidP="007B3FAE">
      <w:pPr>
        <w:pStyle w:val="Paragrafi"/>
      </w:pPr>
    </w:p>
    <w:sectPr w:rsidR="007B3FAE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3FAE"/>
    <w:rsid w:val="00131990"/>
    <w:rsid w:val="001B34A9"/>
    <w:rsid w:val="00280E90"/>
    <w:rsid w:val="003430B4"/>
    <w:rsid w:val="004C31D9"/>
    <w:rsid w:val="004F6270"/>
    <w:rsid w:val="00502B60"/>
    <w:rsid w:val="007B3FAE"/>
    <w:rsid w:val="00922BF7"/>
    <w:rsid w:val="009F4C0B"/>
    <w:rsid w:val="00A434B8"/>
    <w:rsid w:val="00C02F03"/>
    <w:rsid w:val="00ED430B"/>
    <w:rsid w:val="00F5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2348F5-04E1-47CF-B0AD-3C7D35CB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FAE"/>
    <w:rPr>
      <w:rFonts w:eastAsia="Times New Roman"/>
      <w:sz w:val="24"/>
      <w:szCs w:val="24"/>
      <w:lang w:val="am-ET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7B3FAE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7B3FAE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2019-03-17T18:47:00Z</dcterms:created>
  <dcterms:modified xsi:type="dcterms:W3CDTF">2019-03-17T18:47:00Z</dcterms:modified>
</cp:coreProperties>
</file>