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B26" w:rsidRDefault="00B81B26" w:rsidP="00B81B26">
      <w:pPr>
        <w:pStyle w:val="NeniTitull"/>
        <w:rPr>
          <w:spacing w:val="-4"/>
          <w:lang w:val="sq-AL"/>
        </w:rPr>
      </w:pPr>
      <w:r>
        <w:rPr>
          <w:spacing w:val="-4"/>
          <w:lang w:val="sq-AL"/>
        </w:rPr>
        <w:t>URDHËR I PËRBASHKËT</w:t>
      </w:r>
    </w:p>
    <w:p w:rsidR="00B81B26" w:rsidRDefault="00B81B26" w:rsidP="00B81B26">
      <w:pPr>
        <w:pStyle w:val="NeniTitull"/>
        <w:rPr>
          <w:spacing w:val="-4"/>
          <w:lang w:val="sq-AL"/>
        </w:rPr>
      </w:pPr>
      <w:r>
        <w:rPr>
          <w:spacing w:val="-4"/>
          <w:lang w:val="sq-AL"/>
        </w:rPr>
        <w:t xml:space="preserve">Nr. </w:t>
      </w:r>
      <w:bookmarkStart w:id="0" w:name="_GoBack"/>
      <w:r>
        <w:rPr>
          <w:spacing w:val="-4"/>
          <w:lang w:val="sq-AL"/>
        </w:rPr>
        <w:t>54, datë 30.1.2019</w:t>
      </w:r>
      <w:bookmarkEnd w:id="0"/>
    </w:p>
    <w:p w:rsidR="00B81B26" w:rsidRDefault="00B81B26" w:rsidP="00B81B26">
      <w:pPr>
        <w:pStyle w:val="NeniTitull"/>
        <w:rPr>
          <w:spacing w:val="-4"/>
          <w:sz w:val="16"/>
          <w:lang w:val="sq-AL"/>
        </w:rPr>
      </w:pPr>
    </w:p>
    <w:p w:rsidR="00B81B26" w:rsidRDefault="00B81B26" w:rsidP="00B81B26">
      <w:pPr>
        <w:pStyle w:val="NeniTitull"/>
        <w:rPr>
          <w:spacing w:val="-6"/>
          <w:lang w:val="sq-AL"/>
        </w:rPr>
      </w:pPr>
      <w:r>
        <w:rPr>
          <w:spacing w:val="-6"/>
          <w:lang w:val="sq-AL"/>
        </w:rPr>
        <w:t>PËR MIRATIMIN E FORMATIT TË PUBLIKIMIT TË TË DHËNAVE TË DETAJUARA MBI TË ARDHURAT DHE SHPENZIMET FINANCIARE TË INSTITUCIONEVE PUBLIKE TË ARSIMIT TË LARTË</w:t>
      </w:r>
    </w:p>
    <w:p w:rsidR="00B81B26" w:rsidRDefault="00B81B26" w:rsidP="00B81B26">
      <w:pPr>
        <w:pStyle w:val="Paragrafi"/>
        <w:rPr>
          <w:spacing w:val="-4"/>
          <w:sz w:val="14"/>
          <w:lang w:val="sq-AL"/>
        </w:rPr>
      </w:pPr>
    </w:p>
    <w:p w:rsidR="00B81B26" w:rsidRDefault="00B81B26" w:rsidP="00B81B26">
      <w:pPr>
        <w:pStyle w:val="Paragrafi"/>
        <w:rPr>
          <w:spacing w:val="-4"/>
          <w:lang w:val="sq-AL"/>
        </w:rPr>
      </w:pPr>
      <w:r>
        <w:rPr>
          <w:spacing w:val="-4"/>
          <w:lang w:val="sq-AL"/>
        </w:rPr>
        <w:t>Në mbështetje të pikës 4 të, nenit 102 të Kushtetutës dhe shkronjës “a”, të pikës 2, të vendimit nr. 781, datë 26.12.2018, të Këshillit të Ministrave “Për garantimin e transparencës në institucionet publike të arsimit të lartë”,</w:t>
      </w:r>
    </w:p>
    <w:p w:rsidR="00B81B26" w:rsidRDefault="00B81B26" w:rsidP="00B81B26">
      <w:pPr>
        <w:pStyle w:val="Paragrafi"/>
        <w:rPr>
          <w:spacing w:val="-4"/>
          <w:sz w:val="10"/>
          <w:lang w:val="sq-AL"/>
        </w:rPr>
      </w:pPr>
    </w:p>
    <w:p w:rsidR="00B81B26" w:rsidRDefault="00B81B26" w:rsidP="00B81B26">
      <w:pPr>
        <w:pStyle w:val="NeniNr"/>
        <w:rPr>
          <w:spacing w:val="-4"/>
          <w:lang w:val="sq-AL"/>
        </w:rPr>
      </w:pPr>
      <w:r>
        <w:rPr>
          <w:spacing w:val="-4"/>
          <w:lang w:val="sq-AL"/>
        </w:rPr>
        <w:t>URDHËROJMË:</w:t>
      </w:r>
    </w:p>
    <w:p w:rsidR="00B81B26" w:rsidRDefault="00B81B26" w:rsidP="00B81B26">
      <w:pPr>
        <w:pStyle w:val="Paragrafi"/>
        <w:rPr>
          <w:spacing w:val="-4"/>
          <w:sz w:val="14"/>
          <w:lang w:val="sq-AL"/>
        </w:rPr>
      </w:pPr>
    </w:p>
    <w:p w:rsidR="00B81B26" w:rsidRDefault="00B81B26" w:rsidP="00B81B26">
      <w:pPr>
        <w:pStyle w:val="Paragrafi"/>
        <w:rPr>
          <w:spacing w:val="-4"/>
          <w:lang w:val="sq-AL"/>
        </w:rPr>
      </w:pPr>
      <w:r>
        <w:rPr>
          <w:spacing w:val="-4"/>
          <w:lang w:val="sq-AL"/>
        </w:rPr>
        <w:t>1. Miratimin e formatit dhe mënyrës së publikimit të të dhënave të detajuara, mbi të ardhurat dhe shpenzimet financiare të institu-cioneve publike të arsimit të lartë, mbi bazë mujore.</w:t>
      </w:r>
    </w:p>
    <w:p w:rsidR="00B81B26" w:rsidRDefault="00B81B26" w:rsidP="00B81B26">
      <w:pPr>
        <w:pStyle w:val="Paragrafi"/>
        <w:rPr>
          <w:spacing w:val="-4"/>
          <w:lang w:val="sq-AL"/>
        </w:rPr>
      </w:pPr>
      <w:r>
        <w:rPr>
          <w:spacing w:val="-4"/>
          <w:lang w:val="sq-AL"/>
        </w:rPr>
        <w:t>2. Formati i publikimit, i cili do të përmbajë të dhëna të detajuara mbi të ardhurat dhe shpenzimet e institucioneve publike të arsimit të lartë, kryhet sipas aneksit A, bashkëlidhur këtij urdhri.</w:t>
      </w:r>
    </w:p>
    <w:p w:rsidR="00B81B26" w:rsidRDefault="00B81B26" w:rsidP="00B81B26">
      <w:pPr>
        <w:pStyle w:val="Paragrafi"/>
        <w:rPr>
          <w:lang w:val="sq-AL"/>
        </w:rPr>
      </w:pPr>
      <w:r>
        <w:rPr>
          <w:lang w:val="sq-AL"/>
        </w:rPr>
        <w:t>3. Brenda datës 15 të çdo muaji, raportimi financiar nga institucionet publike të arsimit të lartë sipas përcaktimeve të pikës 2 të këtij urdhri, rakordohet me degën e thesarit përkatëse dhe publikohet në faqen zyrtare të IAL-së përkatëse.</w:t>
      </w:r>
    </w:p>
    <w:p w:rsidR="00B81B26" w:rsidRDefault="00B81B26" w:rsidP="00B81B26">
      <w:pPr>
        <w:pStyle w:val="Paragrafi"/>
        <w:rPr>
          <w:lang w:val="sq-AL"/>
        </w:rPr>
      </w:pPr>
      <w:r>
        <w:rPr>
          <w:lang w:val="sq-AL"/>
        </w:rPr>
        <w:t xml:space="preserve">4. Brenda datës 20 të çdo muaji, institucionet publike të arsimit të lartë përcjellin raportimin financiar sipas pikave 2 dhe 3 të këtij urdhri, në format elektronik pranë Qendrës Ndërinstitu-cionale të Rrjetit Akademik Shqiptar, e cila e publikon në faqen e saj zyrtare. </w:t>
      </w:r>
    </w:p>
    <w:p w:rsidR="00B81B26" w:rsidRDefault="00B81B26" w:rsidP="00B81B26">
      <w:pPr>
        <w:pStyle w:val="Paragrafi"/>
        <w:rPr>
          <w:lang w:val="sq-AL"/>
        </w:rPr>
      </w:pPr>
      <w:r>
        <w:rPr>
          <w:lang w:val="sq-AL"/>
        </w:rPr>
        <w:t>5. Administratorët e institucioneve publike të arsimit të lartë, pasqyrojnë dhe përditësojnë sipas afateve të përcaktuara të dhënat sipas këtij udhëzimi edhe pranë Qendrës Ndërinstitucionale të Rrjetit Akademik Shqiptar.</w:t>
      </w:r>
    </w:p>
    <w:p w:rsidR="00B81B26" w:rsidRDefault="00B81B26" w:rsidP="00B81B26">
      <w:pPr>
        <w:pStyle w:val="Paragrafi"/>
        <w:rPr>
          <w:lang w:val="sq-AL"/>
        </w:rPr>
      </w:pPr>
      <w:r>
        <w:rPr>
          <w:lang w:val="sq-AL"/>
        </w:rPr>
        <w:t>6. Ngarkohen për zbatimin e këtij urdhri, Ministria e Arsimit, Sportit dhe Rinisë, Ministria e Financave dhe Ekonomisë, institucionet publike të arsimit të lartë dhe Qendra Ndërinsti-tucionale e Rrjetit Akademik Shqiptar.</w:t>
      </w:r>
    </w:p>
    <w:p w:rsidR="00B81B26" w:rsidRDefault="00B81B26" w:rsidP="00B81B26">
      <w:pPr>
        <w:pStyle w:val="Paragrafi"/>
        <w:rPr>
          <w:sz w:val="16"/>
          <w:lang w:val="sq-AL"/>
        </w:rPr>
      </w:pPr>
      <w:r>
        <w:rPr>
          <w:lang w:val="sq-AL"/>
        </w:rPr>
        <w:t>Ky urdhër hyn në fuqi menjëherë dhe publikohet në Fletoren Zyrtare.</w:t>
      </w:r>
    </w:p>
    <w:p w:rsidR="00B81B26" w:rsidRDefault="00B81B26" w:rsidP="00B81B26">
      <w:pPr>
        <w:pStyle w:val="Paragrafi"/>
        <w:rPr>
          <w:sz w:val="4"/>
          <w:lang w:val="sq-AL"/>
        </w:rPr>
      </w:pPr>
    </w:p>
    <w:p w:rsidR="00B81B26" w:rsidRDefault="00B81B26" w:rsidP="00B81B26">
      <w:pPr>
        <w:pStyle w:val="Paragrafi"/>
        <w:rPr>
          <w:sz w:val="14"/>
          <w:lang w:val="sq-AL"/>
        </w:rPr>
      </w:pPr>
    </w:p>
    <w:p w:rsidR="00B81B26" w:rsidRDefault="00B81B26" w:rsidP="00B81B26">
      <w:pPr>
        <w:pStyle w:val="Paragrafi"/>
        <w:ind w:firstLine="0"/>
        <w:jc w:val="center"/>
        <w:rPr>
          <w:spacing w:val="-4"/>
          <w:szCs w:val="24"/>
          <w:lang w:val="sq-AL"/>
        </w:rPr>
      </w:pPr>
      <w:r>
        <w:rPr>
          <w:spacing w:val="-4"/>
          <w:szCs w:val="24"/>
          <w:lang w:val="sq-AL"/>
        </w:rPr>
        <w:t>MINISTRI I ARSIMIT SPORTIT DHE RINISË</w:t>
      </w:r>
    </w:p>
    <w:p w:rsidR="00B81B26" w:rsidRDefault="00B81B26" w:rsidP="00B81B26">
      <w:pPr>
        <w:pStyle w:val="Paragrafi"/>
        <w:ind w:firstLine="0"/>
        <w:jc w:val="center"/>
        <w:rPr>
          <w:b/>
          <w:spacing w:val="-4"/>
          <w:szCs w:val="24"/>
          <w:lang w:val="sq-AL"/>
        </w:rPr>
      </w:pPr>
      <w:r>
        <w:rPr>
          <w:b/>
          <w:spacing w:val="-4"/>
          <w:szCs w:val="24"/>
          <w:lang w:val="sq-AL"/>
        </w:rPr>
        <w:t>Besa Shahini</w:t>
      </w:r>
    </w:p>
    <w:p w:rsidR="00B81B26" w:rsidRDefault="00B81B26" w:rsidP="00B81B26">
      <w:pPr>
        <w:pStyle w:val="Paragrafi"/>
        <w:ind w:firstLine="0"/>
        <w:jc w:val="center"/>
        <w:rPr>
          <w:spacing w:val="-4"/>
          <w:sz w:val="14"/>
          <w:szCs w:val="24"/>
          <w:lang w:val="sq-AL"/>
        </w:rPr>
      </w:pPr>
    </w:p>
    <w:p w:rsidR="00B81B26" w:rsidRDefault="00B81B26" w:rsidP="00B81B26">
      <w:pPr>
        <w:pStyle w:val="Paragrafi"/>
        <w:ind w:firstLine="0"/>
        <w:jc w:val="center"/>
        <w:rPr>
          <w:spacing w:val="-6"/>
          <w:szCs w:val="24"/>
          <w:lang w:val="sq-AL"/>
        </w:rPr>
      </w:pPr>
      <w:r>
        <w:rPr>
          <w:spacing w:val="-6"/>
          <w:szCs w:val="24"/>
          <w:lang w:val="sq-AL"/>
        </w:rPr>
        <w:t>MINISTRI I FINANCAVE DHE EKONOMISË</w:t>
      </w:r>
    </w:p>
    <w:p w:rsidR="00B81B26" w:rsidRDefault="00B81B26" w:rsidP="00B81B26">
      <w:pPr>
        <w:pStyle w:val="Paragrafi"/>
        <w:ind w:firstLine="0"/>
        <w:jc w:val="center"/>
        <w:rPr>
          <w:b/>
          <w:spacing w:val="-4"/>
          <w:szCs w:val="24"/>
          <w:lang w:val="sq-AL"/>
        </w:rPr>
      </w:pPr>
      <w:r>
        <w:rPr>
          <w:b/>
          <w:spacing w:val="-4"/>
          <w:szCs w:val="24"/>
          <w:lang w:val="sq-AL"/>
        </w:rPr>
        <w:t>Anila Denaj</w:t>
      </w:r>
    </w:p>
    <w:p w:rsidR="00B81B26" w:rsidRDefault="00B81B26" w:rsidP="00B81B26">
      <w:pPr>
        <w:pStyle w:val="Paragrafi"/>
        <w:rPr>
          <w:lang w:val="sq-AL"/>
        </w:rPr>
      </w:pPr>
    </w:p>
    <w:p w:rsidR="00B81B26" w:rsidRDefault="00B81B26" w:rsidP="00B81B26">
      <w:pPr>
        <w:pStyle w:val="Paragrafi"/>
        <w:rPr>
          <w:lang w:val="sq-AL"/>
        </w:rPr>
      </w:pPr>
    </w:p>
    <w:p w:rsidR="00B81B26" w:rsidRDefault="00B81B26" w:rsidP="00B81B26">
      <w:pPr>
        <w:spacing w:after="0" w:line="240" w:lineRule="auto"/>
        <w:ind w:firstLine="0"/>
        <w:jc w:val="left"/>
        <w:rPr>
          <w:rFonts w:ascii="Garamond" w:eastAsia="MS Mincho" w:hAnsi="Garamond" w:cs="CG Times"/>
          <w:sz w:val="24"/>
          <w:lang w:val="sq-AL"/>
        </w:rPr>
        <w:sectPr w:rsidR="00B81B26" w:rsidSect="00B81B26">
          <w:pgSz w:w="11907" w:h="16840"/>
          <w:pgMar w:top="720" w:right="1134" w:bottom="720" w:left="1134" w:header="851" w:footer="851" w:gutter="0"/>
          <w:cols w:space="454"/>
        </w:sectPr>
      </w:pPr>
    </w:p>
    <w:p w:rsidR="00B81B26" w:rsidRDefault="00B81B26">
      <w:pPr>
        <w:spacing w:after="0" w:line="240" w:lineRule="auto"/>
        <w:ind w:firstLine="0"/>
        <w:jc w:val="left"/>
        <w:rPr>
          <w:lang w:val="sq-AL"/>
        </w:rPr>
        <w:sectPr w:rsidR="00B81B26">
          <w:pgSz w:w="12240" w:h="15840"/>
          <w:pgMar w:top="1440" w:right="1440" w:bottom="1440" w:left="1440" w:header="720" w:footer="720" w:gutter="0"/>
          <w:cols w:space="720"/>
          <w:docGrid w:linePitch="360"/>
        </w:sectPr>
      </w:pPr>
    </w:p>
    <w:tbl>
      <w:tblPr>
        <w:tblW w:w="5000" w:type="pct"/>
        <w:tblLook w:val="04A0" w:firstRow="1" w:lastRow="0" w:firstColumn="1" w:lastColumn="0" w:noHBand="0" w:noVBand="1"/>
      </w:tblPr>
      <w:tblGrid>
        <w:gridCol w:w="3686"/>
        <w:gridCol w:w="462"/>
        <w:gridCol w:w="467"/>
        <w:gridCol w:w="462"/>
        <w:gridCol w:w="467"/>
        <w:gridCol w:w="461"/>
        <w:gridCol w:w="466"/>
        <w:gridCol w:w="461"/>
        <w:gridCol w:w="466"/>
        <w:gridCol w:w="461"/>
        <w:gridCol w:w="466"/>
        <w:gridCol w:w="461"/>
        <w:gridCol w:w="466"/>
        <w:gridCol w:w="461"/>
        <w:gridCol w:w="466"/>
        <w:gridCol w:w="461"/>
        <w:gridCol w:w="466"/>
        <w:gridCol w:w="461"/>
        <w:gridCol w:w="466"/>
        <w:gridCol w:w="461"/>
        <w:gridCol w:w="466"/>
      </w:tblGrid>
      <w:tr w:rsidR="00B81B26" w:rsidTr="00B81B26">
        <w:trPr>
          <w:trHeight w:val="139"/>
        </w:trPr>
        <w:tc>
          <w:tcPr>
            <w:tcW w:w="1384" w:type="pct"/>
            <w:shd w:val="clear" w:color="auto" w:fill="FFFFFF"/>
            <w:noWrap/>
            <w:vAlign w:val="center"/>
            <w:hideMark/>
          </w:tcPr>
          <w:p w:rsidR="00B81B26" w:rsidRDefault="00B81B26">
            <w:pPr>
              <w:spacing w:after="0" w:line="240" w:lineRule="auto"/>
              <w:ind w:firstLine="0"/>
              <w:jc w:val="left"/>
              <w:rPr>
                <w:rFonts w:ascii="Garamond" w:eastAsia="Times New Roman" w:hAnsi="Garamond" w:cs="Calibri"/>
                <w:b/>
                <w:bCs/>
                <w:sz w:val="16"/>
                <w:szCs w:val="16"/>
                <w:lang w:val="sq-AL" w:eastAsia="sq-AL"/>
              </w:rPr>
            </w:pPr>
            <w:r>
              <w:rPr>
                <w:lang w:val="sq-AL"/>
              </w:rPr>
              <w:lastRenderedPageBreak/>
              <w:t xml:space="preserve"> </w:t>
            </w:r>
            <w:r>
              <w:rPr>
                <w:rFonts w:ascii="Garamond" w:eastAsia="Times New Roman" w:hAnsi="Garamond" w:cs="Calibri"/>
                <w:b/>
                <w:bCs/>
                <w:sz w:val="16"/>
                <w:szCs w:val="16"/>
                <w:lang w:val="sq-AL" w:eastAsia="sq-AL"/>
              </w:rPr>
              <w:t>ANEKSI A</w:t>
            </w:r>
          </w:p>
        </w:tc>
        <w:tc>
          <w:tcPr>
            <w:tcW w:w="200" w:type="pct"/>
            <w:noWrap/>
            <w:vAlign w:val="center"/>
            <w:hideMark/>
          </w:tcPr>
          <w:p w:rsidR="00B81B26" w:rsidRDefault="00B81B26">
            <w:pPr>
              <w:rPr>
                <w:rFonts w:ascii="Garamond" w:eastAsia="Times New Roman" w:hAnsi="Garamond" w:cs="Calibri"/>
                <w:b/>
                <w:bCs/>
                <w:sz w:val="16"/>
                <w:szCs w:val="16"/>
                <w:lang w:val="sq-AL" w:eastAsia="sq-AL"/>
              </w:rPr>
            </w:pPr>
          </w:p>
        </w:tc>
        <w:tc>
          <w:tcPr>
            <w:tcW w:w="192"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92"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62"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77"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65"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56"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73"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58"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69"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58"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9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r>
      <w:tr w:rsidR="00B81B26" w:rsidTr="00B81B26">
        <w:trPr>
          <w:trHeight w:val="139"/>
        </w:trPr>
        <w:tc>
          <w:tcPr>
            <w:tcW w:w="138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0"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92"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92"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62"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77"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65"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56"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73"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58"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69"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58"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9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r>
      <w:tr w:rsidR="00B81B26" w:rsidTr="00B81B26">
        <w:trPr>
          <w:trHeight w:val="139"/>
        </w:trPr>
        <w:tc>
          <w:tcPr>
            <w:tcW w:w="1384" w:type="pct"/>
            <w:noWrap/>
            <w:vAlign w:val="center"/>
            <w:hideMark/>
          </w:tcPr>
          <w:p w:rsidR="00B81B26" w:rsidRDefault="00B81B26">
            <w:pPr>
              <w:spacing w:after="0" w:line="240" w:lineRule="auto"/>
              <w:ind w:firstLine="0"/>
              <w:jc w:val="left"/>
              <w:rPr>
                <w:rFonts w:ascii="Garamond" w:eastAsia="Times New Roman" w:hAnsi="Garamond" w:cs="Calibri"/>
                <w:b/>
                <w:bCs/>
                <w:color w:val="C00000"/>
                <w:sz w:val="16"/>
                <w:szCs w:val="16"/>
                <w:lang w:val="sq-AL" w:eastAsia="sq-AL"/>
              </w:rPr>
            </w:pPr>
            <w:r>
              <w:rPr>
                <w:rFonts w:ascii="Garamond" w:eastAsia="Times New Roman" w:hAnsi="Garamond" w:cs="Calibri"/>
                <w:b/>
                <w:bCs/>
                <w:color w:val="C00000"/>
                <w:sz w:val="16"/>
                <w:szCs w:val="16"/>
                <w:lang w:val="sq-AL" w:eastAsia="sq-AL"/>
              </w:rPr>
              <w:t>UNIVERSITETI ________ / FAKULTETI _______</w:t>
            </w:r>
          </w:p>
        </w:tc>
        <w:tc>
          <w:tcPr>
            <w:tcW w:w="200" w:type="pct"/>
            <w:noWrap/>
            <w:vAlign w:val="center"/>
            <w:hideMark/>
          </w:tcPr>
          <w:p w:rsidR="00B81B26" w:rsidRDefault="00B81B26">
            <w:pPr>
              <w:rPr>
                <w:rFonts w:ascii="Garamond" w:eastAsia="Times New Roman" w:hAnsi="Garamond" w:cs="Calibri"/>
                <w:b/>
                <w:bCs/>
                <w:color w:val="C00000"/>
                <w:sz w:val="16"/>
                <w:szCs w:val="16"/>
                <w:lang w:val="sq-AL" w:eastAsia="sq-AL"/>
              </w:rPr>
            </w:pPr>
          </w:p>
        </w:tc>
        <w:tc>
          <w:tcPr>
            <w:tcW w:w="192"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92"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62"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77"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65"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56"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73"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58"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69"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58"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9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r>
      <w:tr w:rsidR="00B81B26" w:rsidTr="00B81B26">
        <w:trPr>
          <w:trHeight w:val="139"/>
        </w:trPr>
        <w:tc>
          <w:tcPr>
            <w:tcW w:w="138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0"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92"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92"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62"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77"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65"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56"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73"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58"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69"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58"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9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r>
      <w:tr w:rsidR="00B81B26" w:rsidTr="00B81B26">
        <w:trPr>
          <w:trHeight w:val="139"/>
        </w:trPr>
        <w:tc>
          <w:tcPr>
            <w:tcW w:w="5000" w:type="pct"/>
            <w:gridSpan w:val="21"/>
            <w:noWrap/>
            <w:vAlign w:val="center"/>
            <w:hideMark/>
          </w:tcPr>
          <w:p w:rsidR="00B81B26" w:rsidRDefault="00B81B26">
            <w:pPr>
              <w:spacing w:after="0" w:line="240" w:lineRule="auto"/>
              <w:ind w:firstLine="0"/>
              <w:jc w:val="center"/>
              <w:rPr>
                <w:rFonts w:ascii="Garamond" w:eastAsia="Times New Roman" w:hAnsi="Garamond" w:cs="Calibri"/>
                <w:b/>
                <w:bCs/>
                <w:color w:val="C00000"/>
                <w:sz w:val="16"/>
                <w:szCs w:val="16"/>
                <w:lang w:val="sq-AL" w:eastAsia="sq-AL"/>
              </w:rPr>
            </w:pPr>
            <w:r>
              <w:rPr>
                <w:rFonts w:ascii="Garamond" w:eastAsia="Times New Roman" w:hAnsi="Garamond" w:cs="Calibri"/>
                <w:b/>
                <w:bCs/>
                <w:color w:val="C00000"/>
                <w:sz w:val="16"/>
                <w:szCs w:val="16"/>
                <w:lang w:val="sq-AL" w:eastAsia="sq-AL"/>
              </w:rPr>
              <w:t>TË DHËNA PROGRESIVE PËR PERIUDHËN _________________ 2019</w:t>
            </w:r>
          </w:p>
        </w:tc>
      </w:tr>
      <w:tr w:rsidR="00B81B26" w:rsidTr="00B81B26">
        <w:trPr>
          <w:trHeight w:val="139"/>
        </w:trPr>
        <w:tc>
          <w:tcPr>
            <w:tcW w:w="1384" w:type="pct"/>
            <w:noWrap/>
            <w:vAlign w:val="center"/>
            <w:hideMark/>
          </w:tcPr>
          <w:p w:rsidR="00B81B26" w:rsidRDefault="00B81B26">
            <w:pPr>
              <w:rPr>
                <w:rFonts w:ascii="Garamond" w:eastAsia="Times New Roman" w:hAnsi="Garamond" w:cs="Calibri"/>
                <w:b/>
                <w:bCs/>
                <w:color w:val="C00000"/>
                <w:sz w:val="16"/>
                <w:szCs w:val="16"/>
                <w:lang w:val="sq-AL" w:eastAsia="sq-AL"/>
              </w:rPr>
            </w:pPr>
          </w:p>
        </w:tc>
        <w:tc>
          <w:tcPr>
            <w:tcW w:w="200"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92"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92"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62"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77"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65"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56"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73"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58"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69"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58"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9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r>
      <w:tr w:rsidR="00B81B26" w:rsidTr="00B81B26">
        <w:trPr>
          <w:trHeight w:val="139"/>
        </w:trPr>
        <w:tc>
          <w:tcPr>
            <w:tcW w:w="1384" w:type="pct"/>
            <w:vMerge w:val="restart"/>
            <w:tcBorders>
              <w:top w:val="single" w:sz="12" w:space="0" w:color="auto"/>
              <w:left w:val="single" w:sz="12" w:space="0" w:color="auto"/>
              <w:bottom w:val="single" w:sz="12" w:space="0" w:color="000000"/>
              <w:right w:val="single" w:sz="12" w:space="0" w:color="auto"/>
            </w:tcBorders>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Përshkrimi (sipas kombinimit të strukturës kontabël)</w:t>
            </w:r>
          </w:p>
        </w:tc>
        <w:tc>
          <w:tcPr>
            <w:tcW w:w="392" w:type="pct"/>
            <w:gridSpan w:val="2"/>
            <w:tcBorders>
              <w:top w:val="single" w:sz="12" w:space="0" w:color="auto"/>
              <w:left w:val="nil"/>
              <w:bottom w:val="nil"/>
              <w:right w:val="single" w:sz="12" w:space="0" w:color="000000"/>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Janar</w:t>
            </w:r>
          </w:p>
        </w:tc>
        <w:tc>
          <w:tcPr>
            <w:tcW w:w="388" w:type="pct"/>
            <w:gridSpan w:val="2"/>
            <w:tcBorders>
              <w:top w:val="single" w:sz="12" w:space="0" w:color="auto"/>
              <w:left w:val="nil"/>
              <w:bottom w:val="nil"/>
              <w:right w:val="single" w:sz="12" w:space="0" w:color="000000"/>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Shkurt</w:t>
            </w:r>
          </w:p>
        </w:tc>
        <w:tc>
          <w:tcPr>
            <w:tcW w:w="354" w:type="pct"/>
            <w:gridSpan w:val="2"/>
            <w:tcBorders>
              <w:top w:val="single" w:sz="12" w:space="0" w:color="auto"/>
              <w:left w:val="nil"/>
              <w:bottom w:val="nil"/>
              <w:right w:val="single" w:sz="12" w:space="0" w:color="000000"/>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Mars</w:t>
            </w:r>
          </w:p>
        </w:tc>
        <w:tc>
          <w:tcPr>
            <w:tcW w:w="358" w:type="pct"/>
            <w:gridSpan w:val="2"/>
            <w:tcBorders>
              <w:top w:val="single" w:sz="12" w:space="0" w:color="auto"/>
              <w:left w:val="nil"/>
              <w:bottom w:val="nil"/>
              <w:right w:val="single" w:sz="12" w:space="0" w:color="000000"/>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Qershor</w:t>
            </w:r>
          </w:p>
        </w:tc>
        <w:tc>
          <w:tcPr>
            <w:tcW w:w="369" w:type="pct"/>
            <w:gridSpan w:val="2"/>
            <w:tcBorders>
              <w:top w:val="single" w:sz="12" w:space="0" w:color="auto"/>
              <w:left w:val="nil"/>
              <w:bottom w:val="nil"/>
              <w:right w:val="single" w:sz="12" w:space="0" w:color="000000"/>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Korrik</w:t>
            </w:r>
          </w:p>
        </w:tc>
        <w:tc>
          <w:tcPr>
            <w:tcW w:w="360" w:type="pct"/>
            <w:gridSpan w:val="2"/>
            <w:tcBorders>
              <w:top w:val="single" w:sz="12" w:space="0" w:color="auto"/>
              <w:left w:val="nil"/>
              <w:bottom w:val="nil"/>
              <w:right w:val="single" w:sz="12" w:space="0" w:color="000000"/>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Gusht</w:t>
            </w:r>
          </w:p>
        </w:tc>
        <w:tc>
          <w:tcPr>
            <w:tcW w:w="331" w:type="pct"/>
            <w:gridSpan w:val="2"/>
            <w:tcBorders>
              <w:top w:val="single" w:sz="12" w:space="0" w:color="auto"/>
              <w:left w:val="nil"/>
              <w:bottom w:val="nil"/>
              <w:right w:val="single" w:sz="12" w:space="0" w:color="000000"/>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Shtator</w:t>
            </w:r>
          </w:p>
        </w:tc>
        <w:tc>
          <w:tcPr>
            <w:tcW w:w="365" w:type="pct"/>
            <w:gridSpan w:val="2"/>
            <w:tcBorders>
              <w:top w:val="single" w:sz="12" w:space="0" w:color="auto"/>
              <w:left w:val="nil"/>
              <w:bottom w:val="nil"/>
              <w:right w:val="single" w:sz="12" w:space="0" w:color="000000"/>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Tetor</w:t>
            </w:r>
          </w:p>
        </w:tc>
        <w:tc>
          <w:tcPr>
            <w:tcW w:w="350" w:type="pct"/>
            <w:gridSpan w:val="2"/>
            <w:tcBorders>
              <w:top w:val="single" w:sz="12" w:space="0" w:color="auto"/>
              <w:left w:val="nil"/>
              <w:bottom w:val="nil"/>
              <w:right w:val="single" w:sz="12" w:space="0" w:color="000000"/>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Nentor</w:t>
            </w:r>
          </w:p>
        </w:tc>
        <w:tc>
          <w:tcPr>
            <w:tcW w:w="349" w:type="pct"/>
            <w:gridSpan w:val="2"/>
            <w:tcBorders>
              <w:top w:val="single" w:sz="12" w:space="0" w:color="auto"/>
              <w:left w:val="nil"/>
              <w:bottom w:val="nil"/>
              <w:right w:val="single" w:sz="12" w:space="0" w:color="000000"/>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Dhjetor</w:t>
            </w:r>
          </w:p>
        </w:tc>
      </w:tr>
      <w:tr w:rsidR="00B81B26" w:rsidTr="00B81B26">
        <w:trPr>
          <w:trHeight w:val="139"/>
        </w:trPr>
        <w:tc>
          <w:tcPr>
            <w:tcW w:w="0" w:type="auto"/>
            <w:vMerge/>
            <w:tcBorders>
              <w:top w:val="single" w:sz="12" w:space="0" w:color="auto"/>
              <w:left w:val="single" w:sz="12" w:space="0" w:color="auto"/>
              <w:bottom w:val="single" w:sz="12" w:space="0" w:color="000000"/>
              <w:right w:val="single" w:sz="12" w:space="0" w:color="auto"/>
            </w:tcBorders>
            <w:vAlign w:val="center"/>
            <w:hideMark/>
          </w:tcPr>
          <w:p w:rsidR="00B81B26" w:rsidRDefault="00B81B26">
            <w:pPr>
              <w:spacing w:after="0"/>
              <w:ind w:firstLine="0"/>
              <w:jc w:val="left"/>
              <w:rPr>
                <w:rFonts w:ascii="Garamond" w:eastAsia="Times New Roman" w:hAnsi="Garamond" w:cs="Calibri"/>
                <w:b/>
                <w:bCs/>
                <w:sz w:val="14"/>
                <w:szCs w:val="14"/>
                <w:lang w:val="sq-AL" w:eastAsia="sq-AL"/>
              </w:rPr>
            </w:pPr>
          </w:p>
        </w:tc>
        <w:tc>
          <w:tcPr>
            <w:tcW w:w="200" w:type="pct"/>
            <w:tcBorders>
              <w:top w:val="nil"/>
              <w:left w:val="nil"/>
              <w:bottom w:val="single" w:sz="12" w:space="0" w:color="auto"/>
              <w:right w:val="nil"/>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Plan</w:t>
            </w:r>
          </w:p>
        </w:tc>
        <w:tc>
          <w:tcPr>
            <w:tcW w:w="192"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Fakt</w:t>
            </w:r>
          </w:p>
        </w:tc>
        <w:tc>
          <w:tcPr>
            <w:tcW w:w="204" w:type="pct"/>
            <w:tcBorders>
              <w:top w:val="nil"/>
              <w:left w:val="nil"/>
              <w:bottom w:val="single" w:sz="12" w:space="0" w:color="auto"/>
              <w:right w:val="nil"/>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Plan</w:t>
            </w:r>
          </w:p>
        </w:tc>
        <w:tc>
          <w:tcPr>
            <w:tcW w:w="184"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Fakt</w:t>
            </w:r>
          </w:p>
        </w:tc>
        <w:tc>
          <w:tcPr>
            <w:tcW w:w="192" w:type="pct"/>
            <w:tcBorders>
              <w:top w:val="nil"/>
              <w:left w:val="nil"/>
              <w:bottom w:val="single" w:sz="12" w:space="0" w:color="auto"/>
              <w:right w:val="nil"/>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Plan</w:t>
            </w:r>
          </w:p>
        </w:tc>
        <w:tc>
          <w:tcPr>
            <w:tcW w:w="162"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Fakt</w:t>
            </w:r>
          </w:p>
        </w:tc>
        <w:tc>
          <w:tcPr>
            <w:tcW w:w="181" w:type="pct"/>
            <w:tcBorders>
              <w:top w:val="nil"/>
              <w:left w:val="nil"/>
              <w:bottom w:val="single" w:sz="12" w:space="0" w:color="auto"/>
              <w:right w:val="nil"/>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Plan</w:t>
            </w:r>
          </w:p>
        </w:tc>
        <w:tc>
          <w:tcPr>
            <w:tcW w:w="177"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Fakt</w:t>
            </w:r>
          </w:p>
        </w:tc>
        <w:tc>
          <w:tcPr>
            <w:tcW w:w="204" w:type="pct"/>
            <w:tcBorders>
              <w:top w:val="nil"/>
              <w:left w:val="nil"/>
              <w:bottom w:val="single" w:sz="12" w:space="0" w:color="auto"/>
              <w:right w:val="nil"/>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Plan</w:t>
            </w:r>
          </w:p>
        </w:tc>
        <w:tc>
          <w:tcPr>
            <w:tcW w:w="165"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Fakt</w:t>
            </w:r>
          </w:p>
        </w:tc>
        <w:tc>
          <w:tcPr>
            <w:tcW w:w="204" w:type="pct"/>
            <w:tcBorders>
              <w:top w:val="nil"/>
              <w:left w:val="nil"/>
              <w:bottom w:val="single" w:sz="12" w:space="0" w:color="auto"/>
              <w:right w:val="nil"/>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Plan</w:t>
            </w:r>
          </w:p>
        </w:tc>
        <w:tc>
          <w:tcPr>
            <w:tcW w:w="156"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Fakt</w:t>
            </w:r>
          </w:p>
        </w:tc>
        <w:tc>
          <w:tcPr>
            <w:tcW w:w="173" w:type="pct"/>
            <w:tcBorders>
              <w:top w:val="nil"/>
              <w:left w:val="nil"/>
              <w:bottom w:val="single" w:sz="12" w:space="0" w:color="auto"/>
              <w:right w:val="nil"/>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Plan</w:t>
            </w:r>
          </w:p>
        </w:tc>
        <w:tc>
          <w:tcPr>
            <w:tcW w:w="158"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Fakt</w:t>
            </w:r>
          </w:p>
        </w:tc>
        <w:tc>
          <w:tcPr>
            <w:tcW w:w="184" w:type="pct"/>
            <w:tcBorders>
              <w:top w:val="nil"/>
              <w:left w:val="nil"/>
              <w:bottom w:val="single" w:sz="12" w:space="0" w:color="auto"/>
              <w:right w:val="nil"/>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Plan</w:t>
            </w:r>
          </w:p>
        </w:tc>
        <w:tc>
          <w:tcPr>
            <w:tcW w:w="181"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Fakt</w:t>
            </w:r>
          </w:p>
        </w:tc>
        <w:tc>
          <w:tcPr>
            <w:tcW w:w="181" w:type="pct"/>
            <w:tcBorders>
              <w:top w:val="nil"/>
              <w:left w:val="nil"/>
              <w:bottom w:val="single" w:sz="12" w:space="0" w:color="auto"/>
              <w:right w:val="nil"/>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Plan</w:t>
            </w:r>
          </w:p>
        </w:tc>
        <w:tc>
          <w:tcPr>
            <w:tcW w:w="169"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Fakt</w:t>
            </w:r>
          </w:p>
        </w:tc>
        <w:tc>
          <w:tcPr>
            <w:tcW w:w="158" w:type="pct"/>
            <w:tcBorders>
              <w:top w:val="nil"/>
              <w:left w:val="nil"/>
              <w:bottom w:val="single" w:sz="12" w:space="0" w:color="auto"/>
              <w:right w:val="nil"/>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Plan</w:t>
            </w:r>
          </w:p>
        </w:tc>
        <w:tc>
          <w:tcPr>
            <w:tcW w:w="191"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Fakt</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center"/>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TË ARDHURAT</w:t>
            </w:r>
          </w:p>
        </w:tc>
        <w:tc>
          <w:tcPr>
            <w:tcW w:w="200" w:type="pct"/>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204" w:type="pct"/>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92" w:type="pct"/>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81" w:type="pct"/>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204" w:type="pct"/>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204" w:type="pct"/>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73" w:type="pct"/>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84" w:type="pct"/>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81" w:type="pct"/>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58" w:type="pct"/>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Të ardhurat nga tarifat e shkollimit, për të gjitha ciklet e studimit;</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Të ardhura nga tarifa e regjistrimit</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Të ardhurat nga konkurset e pranimit;</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Të ardhura nga qiratë;</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Të ardhurat nga shërbimet e ndryshme të IAL-së;</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Të ardhura nga donacione; sponsorizime;</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Të ardhurat nga projekte me financim të brendshëm apo të huaj;</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Të ardhura nga veprimtari kërkimore-shkencore;</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FF0000"/>
                <w:sz w:val="14"/>
                <w:szCs w:val="14"/>
                <w:lang w:val="sq-AL" w:eastAsia="sq-AL"/>
              </w:rPr>
            </w:pPr>
            <w:r>
              <w:rPr>
                <w:rFonts w:ascii="Garamond" w:eastAsia="Times New Roman" w:hAnsi="Garamond" w:cs="Calibri"/>
                <w:color w:val="FF0000"/>
                <w:sz w:val="14"/>
                <w:szCs w:val="14"/>
                <w:lang w:val="sq-AL" w:eastAsia="sq-AL"/>
              </w:rPr>
              <w:t>Të ardhura të tjera (në varësi të dinamikës së veprimtarisë së IAL-së)*</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single" w:sz="12" w:space="0" w:color="auto"/>
              <w:left w:val="single" w:sz="12" w:space="0" w:color="auto"/>
              <w:bottom w:val="nil"/>
              <w:right w:val="single" w:sz="12" w:space="0" w:color="auto"/>
            </w:tcBorders>
            <w:noWrap/>
            <w:vAlign w:val="center"/>
            <w:hideMark/>
          </w:tcPr>
          <w:p w:rsidR="00B81B26" w:rsidRDefault="00B81B26">
            <w:pPr>
              <w:spacing w:after="0" w:line="240" w:lineRule="auto"/>
              <w:ind w:firstLine="0"/>
              <w:jc w:val="center"/>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Shpenzimet nga Granti i Buxhetit të Shtetit</w:t>
            </w:r>
          </w:p>
        </w:tc>
        <w:tc>
          <w:tcPr>
            <w:tcW w:w="200" w:type="pct"/>
            <w:tcBorders>
              <w:top w:val="single" w:sz="12" w:space="0" w:color="auto"/>
              <w:left w:val="nil"/>
              <w:bottom w:val="nil"/>
              <w:right w:val="nil"/>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92" w:type="pct"/>
            <w:tcBorders>
              <w:top w:val="single" w:sz="12" w:space="0" w:color="auto"/>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204" w:type="pct"/>
            <w:tcBorders>
              <w:top w:val="single" w:sz="12" w:space="0" w:color="auto"/>
              <w:left w:val="nil"/>
              <w:bottom w:val="nil"/>
              <w:right w:val="nil"/>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84" w:type="pct"/>
            <w:tcBorders>
              <w:top w:val="single" w:sz="12" w:space="0" w:color="auto"/>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92" w:type="pct"/>
            <w:tcBorders>
              <w:top w:val="single" w:sz="12" w:space="0" w:color="auto"/>
              <w:left w:val="nil"/>
              <w:bottom w:val="nil"/>
              <w:right w:val="nil"/>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62" w:type="pct"/>
            <w:tcBorders>
              <w:top w:val="single" w:sz="12" w:space="0" w:color="auto"/>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81" w:type="pct"/>
            <w:tcBorders>
              <w:top w:val="single" w:sz="12" w:space="0" w:color="auto"/>
              <w:left w:val="nil"/>
              <w:bottom w:val="nil"/>
              <w:right w:val="nil"/>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77" w:type="pct"/>
            <w:tcBorders>
              <w:top w:val="single" w:sz="12" w:space="0" w:color="auto"/>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204" w:type="pct"/>
            <w:tcBorders>
              <w:top w:val="single" w:sz="12" w:space="0" w:color="auto"/>
              <w:left w:val="nil"/>
              <w:bottom w:val="nil"/>
              <w:right w:val="nil"/>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65" w:type="pct"/>
            <w:tcBorders>
              <w:top w:val="single" w:sz="12" w:space="0" w:color="auto"/>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204" w:type="pct"/>
            <w:tcBorders>
              <w:top w:val="single" w:sz="12" w:space="0" w:color="auto"/>
              <w:left w:val="nil"/>
              <w:bottom w:val="nil"/>
              <w:right w:val="nil"/>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56" w:type="pct"/>
            <w:tcBorders>
              <w:top w:val="single" w:sz="12" w:space="0" w:color="auto"/>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73" w:type="pct"/>
            <w:tcBorders>
              <w:top w:val="single" w:sz="12" w:space="0" w:color="auto"/>
              <w:left w:val="nil"/>
              <w:bottom w:val="nil"/>
              <w:right w:val="nil"/>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58" w:type="pct"/>
            <w:tcBorders>
              <w:top w:val="single" w:sz="12" w:space="0" w:color="auto"/>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84" w:type="pct"/>
            <w:tcBorders>
              <w:top w:val="single" w:sz="12" w:space="0" w:color="auto"/>
              <w:left w:val="nil"/>
              <w:bottom w:val="nil"/>
              <w:right w:val="nil"/>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81" w:type="pct"/>
            <w:tcBorders>
              <w:top w:val="single" w:sz="12" w:space="0" w:color="auto"/>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81" w:type="pct"/>
            <w:tcBorders>
              <w:top w:val="single" w:sz="12" w:space="0" w:color="auto"/>
              <w:left w:val="nil"/>
              <w:bottom w:val="nil"/>
              <w:right w:val="nil"/>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69" w:type="pct"/>
            <w:tcBorders>
              <w:top w:val="single" w:sz="12" w:space="0" w:color="auto"/>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58" w:type="pct"/>
            <w:tcBorders>
              <w:top w:val="single" w:sz="12" w:space="0" w:color="auto"/>
              <w:left w:val="nil"/>
              <w:bottom w:val="nil"/>
              <w:right w:val="nil"/>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91" w:type="pct"/>
            <w:tcBorders>
              <w:top w:val="single" w:sz="12" w:space="0" w:color="auto"/>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xml:space="preserve">Shpenzimet për ndërtime </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rikonstruksione,</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xml:space="preserve">Shpenzimet për blerje biblioteka, </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blerje aparate, pajisje kompjuterike,</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blerje programe e softe kompiuterike etj.</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blerje pajisje, mobilie etj.</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e personelit për: paga, orë jashtë kohës normale të punës, shpërblime të tjera (për dalje në pension, sëmundje të rëndë apo rast fatkeqësie në familje);</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kontributin e sigurimeve shoqërore e shëndetësore ;</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blerjen e materialeve dhe kryerjen e shërbimeve, të nevojshme për funksionimin e veprimtarisë së përditshme të institucionit (ujë, energji elektrike, shpenzime telefonike, posta, ngrohje, shërbime të sigurimit dhe ruajtjes, kancelari, materiale zyre, karburant, pjesë këmbimi etj.)</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dieta e udhëtime për punonjësit e institucionit kur largohen jashtë qendrës së punës ose jashtë shtetit për çështje pune.</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qiramarrje ambientesh, pajisjesh, mjete transporti etj.</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ekzekutim të vendimeve gjyqësore për largime nga puna, ekzekutim të detyrime kontraktuale të papaguara;</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xml:space="preserve">Shpenzimet për honorare; pagesa e bordeve të organeve kolegjialë të institucionit; </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pagesat për veprimtaritë kërkimore-shkencore.</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bursat e studentëve</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bursat e ekselencës</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FF0000"/>
                <w:sz w:val="14"/>
                <w:szCs w:val="14"/>
                <w:lang w:val="sq-AL" w:eastAsia="sq-AL"/>
              </w:rPr>
            </w:pPr>
            <w:r>
              <w:rPr>
                <w:rFonts w:ascii="Garamond" w:eastAsia="Times New Roman" w:hAnsi="Garamond" w:cs="Calibri"/>
                <w:color w:val="FF0000"/>
                <w:sz w:val="14"/>
                <w:szCs w:val="14"/>
                <w:lang w:val="sq-AL" w:eastAsia="sq-AL"/>
              </w:rPr>
              <w:t>Shpenzime të tjera (në varësi të dinamikës së veprimtarisë së IAL-së)*</w:t>
            </w:r>
          </w:p>
        </w:tc>
        <w:tc>
          <w:tcPr>
            <w:tcW w:w="200" w:type="pct"/>
            <w:tcBorders>
              <w:top w:val="nil"/>
              <w:left w:val="nil"/>
              <w:bottom w:val="single" w:sz="12"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tcBorders>
              <w:top w:val="nil"/>
              <w:left w:val="nil"/>
              <w:bottom w:val="single" w:sz="12"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single" w:sz="12"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single" w:sz="12"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tcBorders>
              <w:top w:val="nil"/>
              <w:left w:val="nil"/>
              <w:bottom w:val="single" w:sz="12"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tcBorders>
              <w:top w:val="nil"/>
              <w:left w:val="nil"/>
              <w:bottom w:val="single" w:sz="12"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tcBorders>
              <w:top w:val="nil"/>
              <w:left w:val="nil"/>
              <w:bottom w:val="single" w:sz="12"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single" w:sz="12"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single" w:sz="12"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single" w:sz="12"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single" w:sz="12" w:space="0" w:color="auto"/>
              <w:left w:val="single" w:sz="12" w:space="0" w:color="auto"/>
              <w:bottom w:val="nil"/>
              <w:right w:val="single" w:sz="12" w:space="0" w:color="auto"/>
            </w:tcBorders>
            <w:noWrap/>
            <w:vAlign w:val="center"/>
            <w:hideMark/>
          </w:tcPr>
          <w:p w:rsidR="00B81B26" w:rsidRDefault="00B81B26">
            <w:pPr>
              <w:spacing w:after="0" w:line="240" w:lineRule="auto"/>
              <w:ind w:firstLine="0"/>
              <w:jc w:val="center"/>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Shpenzimet nga të ardhurat e veta</w:t>
            </w:r>
          </w:p>
        </w:tc>
        <w:tc>
          <w:tcPr>
            <w:tcW w:w="200" w:type="pct"/>
            <w:tcBorders>
              <w:top w:val="single" w:sz="12" w:space="0" w:color="auto"/>
              <w:left w:val="nil"/>
              <w:bottom w:val="nil"/>
              <w:right w:val="nil"/>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92" w:type="pct"/>
            <w:tcBorders>
              <w:top w:val="single" w:sz="12" w:space="0" w:color="auto"/>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204" w:type="pct"/>
            <w:tcBorders>
              <w:top w:val="single" w:sz="12" w:space="0" w:color="auto"/>
              <w:left w:val="nil"/>
              <w:bottom w:val="nil"/>
              <w:right w:val="nil"/>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84" w:type="pct"/>
            <w:tcBorders>
              <w:top w:val="single" w:sz="12" w:space="0" w:color="auto"/>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92" w:type="pct"/>
            <w:tcBorders>
              <w:top w:val="single" w:sz="12" w:space="0" w:color="auto"/>
              <w:left w:val="nil"/>
              <w:bottom w:val="nil"/>
              <w:right w:val="nil"/>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62" w:type="pct"/>
            <w:tcBorders>
              <w:top w:val="single" w:sz="12" w:space="0" w:color="auto"/>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81" w:type="pct"/>
            <w:tcBorders>
              <w:top w:val="single" w:sz="12" w:space="0" w:color="auto"/>
              <w:left w:val="nil"/>
              <w:bottom w:val="nil"/>
              <w:right w:val="nil"/>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77" w:type="pct"/>
            <w:tcBorders>
              <w:top w:val="single" w:sz="12" w:space="0" w:color="auto"/>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204" w:type="pct"/>
            <w:tcBorders>
              <w:top w:val="single" w:sz="12" w:space="0" w:color="auto"/>
              <w:left w:val="nil"/>
              <w:bottom w:val="nil"/>
              <w:right w:val="nil"/>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65" w:type="pct"/>
            <w:tcBorders>
              <w:top w:val="single" w:sz="12" w:space="0" w:color="auto"/>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204" w:type="pct"/>
            <w:tcBorders>
              <w:top w:val="single" w:sz="12" w:space="0" w:color="auto"/>
              <w:left w:val="nil"/>
              <w:bottom w:val="nil"/>
              <w:right w:val="nil"/>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56" w:type="pct"/>
            <w:tcBorders>
              <w:top w:val="single" w:sz="12" w:space="0" w:color="auto"/>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73" w:type="pct"/>
            <w:tcBorders>
              <w:top w:val="single" w:sz="12" w:space="0" w:color="auto"/>
              <w:left w:val="nil"/>
              <w:bottom w:val="nil"/>
              <w:right w:val="nil"/>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58" w:type="pct"/>
            <w:tcBorders>
              <w:top w:val="single" w:sz="12" w:space="0" w:color="auto"/>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84" w:type="pct"/>
            <w:tcBorders>
              <w:top w:val="single" w:sz="12" w:space="0" w:color="auto"/>
              <w:left w:val="nil"/>
              <w:bottom w:val="nil"/>
              <w:right w:val="nil"/>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81" w:type="pct"/>
            <w:tcBorders>
              <w:top w:val="single" w:sz="12" w:space="0" w:color="auto"/>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81" w:type="pct"/>
            <w:tcBorders>
              <w:top w:val="single" w:sz="12" w:space="0" w:color="auto"/>
              <w:left w:val="nil"/>
              <w:bottom w:val="nil"/>
              <w:right w:val="nil"/>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69" w:type="pct"/>
            <w:tcBorders>
              <w:top w:val="single" w:sz="12" w:space="0" w:color="auto"/>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58" w:type="pct"/>
            <w:tcBorders>
              <w:top w:val="single" w:sz="12" w:space="0" w:color="auto"/>
              <w:left w:val="nil"/>
              <w:bottom w:val="nil"/>
              <w:right w:val="nil"/>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c>
          <w:tcPr>
            <w:tcW w:w="191" w:type="pct"/>
            <w:tcBorders>
              <w:top w:val="single" w:sz="12" w:space="0" w:color="auto"/>
              <w:left w:val="nil"/>
              <w:bottom w:val="nil"/>
              <w:right w:val="single" w:sz="12" w:space="0" w:color="auto"/>
            </w:tcBorders>
            <w:noWrap/>
            <w:vAlign w:val="center"/>
            <w:hideMark/>
          </w:tcPr>
          <w:p w:rsidR="00B81B26" w:rsidRDefault="00B81B26">
            <w:pPr>
              <w:spacing w:after="0" w:line="240" w:lineRule="auto"/>
              <w:ind w:firstLine="0"/>
              <w:jc w:val="right"/>
              <w:rPr>
                <w:rFonts w:ascii="Garamond" w:eastAsia="Times New Roman" w:hAnsi="Garamond" w:cs="Calibri"/>
                <w:b/>
                <w:bCs/>
                <w:color w:val="C00000"/>
                <w:sz w:val="14"/>
                <w:szCs w:val="14"/>
                <w:lang w:val="sq-AL" w:eastAsia="sq-AL"/>
              </w:rPr>
            </w:pPr>
            <w:r>
              <w:rPr>
                <w:rFonts w:ascii="Garamond" w:eastAsia="Times New Roman" w:hAnsi="Garamond" w:cs="Calibri"/>
                <w:b/>
                <w:bCs/>
                <w:color w:val="C00000"/>
                <w:sz w:val="14"/>
                <w:szCs w:val="14"/>
                <w:lang w:val="sq-AL" w:eastAsia="sq-AL"/>
              </w:rPr>
              <w:t>0</w:t>
            </w:r>
          </w:p>
        </w:tc>
      </w:tr>
      <w:tr w:rsidR="00B81B26" w:rsidTr="00B81B26">
        <w:trPr>
          <w:trHeight w:val="66"/>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xml:space="preserve">Shpenzimet për ndërtime </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rikonstruksione,</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lastRenderedPageBreak/>
              <w:t xml:space="preserve">Shpenzimet për blerje biblioteka, </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blerje aparate, pajisje kompjuterike,</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blerje programe e softe kompiuterike etj.</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single" w:sz="4"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blerje pajisje, mobilie etj.</w:t>
            </w:r>
          </w:p>
        </w:tc>
        <w:tc>
          <w:tcPr>
            <w:tcW w:w="200" w:type="pct"/>
            <w:tcBorders>
              <w:top w:val="nil"/>
              <w:left w:val="nil"/>
              <w:bottom w:val="single" w:sz="4"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single" w:sz="4"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tcBorders>
              <w:top w:val="nil"/>
              <w:left w:val="nil"/>
              <w:bottom w:val="single" w:sz="4"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single" w:sz="4"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single" w:sz="4"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single" w:sz="4"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single" w:sz="4"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single" w:sz="4"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tcBorders>
              <w:top w:val="nil"/>
              <w:left w:val="nil"/>
              <w:bottom w:val="single" w:sz="4"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single" w:sz="4"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tcBorders>
              <w:top w:val="nil"/>
              <w:left w:val="nil"/>
              <w:bottom w:val="single" w:sz="4"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single" w:sz="4"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tcBorders>
              <w:top w:val="nil"/>
              <w:left w:val="nil"/>
              <w:bottom w:val="single" w:sz="4"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single" w:sz="4"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single" w:sz="4"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single" w:sz="4"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single" w:sz="4"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single" w:sz="4"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single" w:sz="4"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single" w:sz="4"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single" w:sz="4" w:space="0" w:color="auto"/>
              <w:left w:val="single" w:sz="12" w:space="0" w:color="auto"/>
              <w:bottom w:val="nil"/>
              <w:right w:val="single" w:sz="12" w:space="0" w:color="auto"/>
            </w:tcBorders>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e personelit për: paga, orë jashtë kohës normale të punës, shpërblime të tjera (për dalje në pension, sëmundje të rëndë apo rast fatkeqësie në familje);</w:t>
            </w:r>
          </w:p>
        </w:tc>
        <w:tc>
          <w:tcPr>
            <w:tcW w:w="200" w:type="pct"/>
            <w:tcBorders>
              <w:top w:val="single" w:sz="4" w:space="0" w:color="auto"/>
              <w:left w:val="nil"/>
              <w:bottom w:val="nil"/>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single" w:sz="4" w:space="0" w:color="auto"/>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tcBorders>
              <w:top w:val="single" w:sz="4" w:space="0" w:color="auto"/>
              <w:left w:val="nil"/>
              <w:bottom w:val="nil"/>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single" w:sz="4" w:space="0" w:color="auto"/>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single" w:sz="4" w:space="0" w:color="auto"/>
              <w:left w:val="nil"/>
              <w:bottom w:val="nil"/>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single" w:sz="4" w:space="0" w:color="auto"/>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single" w:sz="4" w:space="0" w:color="auto"/>
              <w:left w:val="nil"/>
              <w:bottom w:val="nil"/>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single" w:sz="4" w:space="0" w:color="auto"/>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tcBorders>
              <w:top w:val="single" w:sz="4" w:space="0" w:color="auto"/>
              <w:left w:val="nil"/>
              <w:bottom w:val="nil"/>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single" w:sz="4" w:space="0" w:color="auto"/>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tcBorders>
              <w:top w:val="single" w:sz="4" w:space="0" w:color="auto"/>
              <w:left w:val="nil"/>
              <w:bottom w:val="nil"/>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single" w:sz="4" w:space="0" w:color="auto"/>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tcBorders>
              <w:top w:val="single" w:sz="4" w:space="0" w:color="auto"/>
              <w:left w:val="nil"/>
              <w:bottom w:val="nil"/>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single" w:sz="4" w:space="0" w:color="auto"/>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single" w:sz="4" w:space="0" w:color="auto"/>
              <w:left w:val="nil"/>
              <w:bottom w:val="nil"/>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single" w:sz="4" w:space="0" w:color="auto"/>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single" w:sz="4" w:space="0" w:color="auto"/>
              <w:left w:val="nil"/>
              <w:bottom w:val="nil"/>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single" w:sz="4" w:space="0" w:color="auto"/>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single" w:sz="4" w:space="0" w:color="auto"/>
              <w:left w:val="nil"/>
              <w:bottom w:val="nil"/>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single" w:sz="4" w:space="0" w:color="auto"/>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kontributin e sigurimeve shoqërore e shëndetësore ;</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blerjen e materialeve dhe kryerjen e shërbimeve, të nevojshme për funksionimin e veprimtarisë së përditshme të institucionit (ujë, energji elektrike, shpenzime telefonike, posta, ngrohje, shërbime të sigurimit dhe ruajtjes, kancelari, materiale zyre, karburant, pjesë këmbimi etj.)</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dieta e udhëtime për punonjësit e institucionit kur largohen jashtë qendrës së punës ose jashtë shtetit për çështje pune.</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qiramarrje ambientesh, pajisjesh, mjete transporti etj.</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ekzekutim të vendimeve gjyqësore për largime nga puna, ekzekutim të detyrime kontraktuale të papaguara;</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xml:space="preserve">Shpenzimet për honorare; pagesa e bordeve të organeve kolegjialë të institucionit; </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pagesat për veprimtaritë kërkimore - shkencore.</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bursat e studentëve</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Shpenzimet për bursat e ekselencës</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FF0000"/>
                <w:sz w:val="14"/>
                <w:szCs w:val="14"/>
                <w:lang w:val="sq-AL" w:eastAsia="sq-AL"/>
              </w:rPr>
            </w:pPr>
            <w:r>
              <w:rPr>
                <w:rFonts w:ascii="Garamond" w:eastAsia="Times New Roman" w:hAnsi="Garamond" w:cs="Calibri"/>
                <w:color w:val="FF0000"/>
                <w:sz w:val="14"/>
                <w:szCs w:val="14"/>
                <w:lang w:val="sq-AL" w:eastAsia="sq-AL"/>
              </w:rPr>
              <w:t>Shpenzime të tjera (në varësi të dinamikës së veprimtarisë së IAL-së)*</w:t>
            </w:r>
          </w:p>
        </w:tc>
        <w:tc>
          <w:tcPr>
            <w:tcW w:w="200"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nil"/>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tcBorders>
              <w:top w:val="nil"/>
              <w:left w:val="single" w:sz="12" w:space="0" w:color="auto"/>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0" w:type="pct"/>
            <w:tcBorders>
              <w:top w:val="nil"/>
              <w:left w:val="nil"/>
              <w:bottom w:val="single" w:sz="12"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tcBorders>
              <w:top w:val="nil"/>
              <w:left w:val="nil"/>
              <w:bottom w:val="single" w:sz="12"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2" w:type="pct"/>
            <w:tcBorders>
              <w:top w:val="nil"/>
              <w:left w:val="nil"/>
              <w:bottom w:val="single" w:sz="12"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2"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single" w:sz="12"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7"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tcBorders>
              <w:top w:val="nil"/>
              <w:left w:val="nil"/>
              <w:bottom w:val="single" w:sz="12"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5"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204" w:type="pct"/>
            <w:tcBorders>
              <w:top w:val="nil"/>
              <w:left w:val="nil"/>
              <w:bottom w:val="single" w:sz="12"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6"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73" w:type="pct"/>
            <w:tcBorders>
              <w:top w:val="nil"/>
              <w:left w:val="nil"/>
              <w:bottom w:val="single" w:sz="12"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4" w:type="pct"/>
            <w:tcBorders>
              <w:top w:val="nil"/>
              <w:left w:val="nil"/>
              <w:bottom w:val="single" w:sz="12"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81" w:type="pct"/>
            <w:tcBorders>
              <w:top w:val="nil"/>
              <w:left w:val="nil"/>
              <w:bottom w:val="single" w:sz="12"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69"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58" w:type="pct"/>
            <w:tcBorders>
              <w:top w:val="nil"/>
              <w:left w:val="nil"/>
              <w:bottom w:val="single" w:sz="12" w:space="0" w:color="auto"/>
              <w:right w:val="nil"/>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c>
          <w:tcPr>
            <w:tcW w:w="191" w:type="pct"/>
            <w:tcBorders>
              <w:top w:val="nil"/>
              <w:left w:val="nil"/>
              <w:bottom w:val="single" w:sz="12" w:space="0" w:color="auto"/>
              <w:right w:val="single" w:sz="12" w:space="0" w:color="auto"/>
            </w:tcBorders>
            <w:noWrap/>
            <w:vAlign w:val="center"/>
            <w:hideMark/>
          </w:tcPr>
          <w:p w:rsidR="00B81B26" w:rsidRDefault="00B81B26">
            <w:pPr>
              <w:spacing w:after="0" w:line="240" w:lineRule="auto"/>
              <w:ind w:firstLine="0"/>
              <w:jc w:val="left"/>
              <w:rPr>
                <w:rFonts w:ascii="Garamond" w:eastAsia="Times New Roman" w:hAnsi="Garamond" w:cs="Calibri"/>
                <w:color w:val="000000"/>
                <w:sz w:val="14"/>
                <w:szCs w:val="14"/>
                <w:lang w:val="sq-AL" w:eastAsia="sq-AL"/>
              </w:rPr>
            </w:pPr>
            <w:r>
              <w:rPr>
                <w:rFonts w:ascii="Garamond" w:eastAsia="Times New Roman" w:hAnsi="Garamond" w:cs="Calibri"/>
                <w:color w:val="000000"/>
                <w:sz w:val="14"/>
                <w:szCs w:val="14"/>
                <w:lang w:val="sq-AL" w:eastAsia="sq-AL"/>
              </w:rPr>
              <w:t> </w:t>
            </w:r>
          </w:p>
        </w:tc>
      </w:tr>
      <w:tr w:rsidR="00B81B26" w:rsidTr="00B81B26">
        <w:trPr>
          <w:trHeight w:val="139"/>
        </w:trPr>
        <w:tc>
          <w:tcPr>
            <w:tcW w:w="1384" w:type="pct"/>
            <w:noWrap/>
            <w:vAlign w:val="center"/>
            <w:hideMark/>
          </w:tcPr>
          <w:p w:rsidR="00B81B26" w:rsidRDefault="00B81B26">
            <w:pPr>
              <w:rPr>
                <w:rFonts w:ascii="Garamond" w:eastAsia="Times New Roman" w:hAnsi="Garamond" w:cs="Calibri"/>
                <w:color w:val="000000"/>
                <w:sz w:val="14"/>
                <w:szCs w:val="14"/>
                <w:lang w:val="sq-AL" w:eastAsia="sq-AL"/>
              </w:rPr>
            </w:pPr>
          </w:p>
        </w:tc>
        <w:tc>
          <w:tcPr>
            <w:tcW w:w="200"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92"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92"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62"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77"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65"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56"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73"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58"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69"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58"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9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r>
      <w:tr w:rsidR="00B81B26" w:rsidTr="00B81B26">
        <w:trPr>
          <w:trHeight w:val="139"/>
        </w:trPr>
        <w:tc>
          <w:tcPr>
            <w:tcW w:w="1384" w:type="pct"/>
            <w:noWrap/>
            <w:vAlign w:val="center"/>
            <w:hideMark/>
          </w:tcPr>
          <w:p w:rsidR="00B81B26" w:rsidRDefault="00B81B26">
            <w:pPr>
              <w:spacing w:after="0" w:line="240" w:lineRule="auto"/>
              <w:ind w:firstLine="0"/>
              <w:jc w:val="left"/>
              <w:rPr>
                <w:rFonts w:ascii="Garamond" w:eastAsia="Times New Roman" w:hAnsi="Garamond" w:cs="Calibri"/>
                <w:b/>
                <w:bCs/>
                <w:color w:val="FF0000"/>
                <w:sz w:val="16"/>
                <w:szCs w:val="16"/>
                <w:u w:val="single"/>
                <w:lang w:val="sq-AL" w:eastAsia="sq-AL"/>
              </w:rPr>
            </w:pPr>
            <w:r>
              <w:rPr>
                <w:rFonts w:ascii="Garamond" w:eastAsia="Times New Roman" w:hAnsi="Garamond" w:cs="Calibri"/>
                <w:b/>
                <w:bCs/>
                <w:color w:val="FF0000"/>
                <w:sz w:val="16"/>
                <w:szCs w:val="16"/>
                <w:u w:val="single"/>
                <w:lang w:val="sq-AL" w:eastAsia="sq-AL"/>
              </w:rPr>
              <w:t>Shënim:</w:t>
            </w:r>
          </w:p>
        </w:tc>
        <w:tc>
          <w:tcPr>
            <w:tcW w:w="200" w:type="pct"/>
            <w:noWrap/>
            <w:vAlign w:val="center"/>
            <w:hideMark/>
          </w:tcPr>
          <w:p w:rsidR="00B81B26" w:rsidRDefault="00B81B26">
            <w:pPr>
              <w:rPr>
                <w:rFonts w:ascii="Garamond" w:eastAsia="Times New Roman" w:hAnsi="Garamond" w:cs="Calibri"/>
                <w:b/>
                <w:bCs/>
                <w:color w:val="FF0000"/>
                <w:sz w:val="16"/>
                <w:szCs w:val="16"/>
                <w:u w:val="single"/>
                <w:lang w:val="sq-AL" w:eastAsia="sq-AL"/>
              </w:rPr>
            </w:pPr>
          </w:p>
        </w:tc>
        <w:tc>
          <w:tcPr>
            <w:tcW w:w="192"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92"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62"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77"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65"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20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56"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73"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58"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4"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8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69"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58"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c>
          <w:tcPr>
            <w:tcW w:w="191" w:type="pct"/>
            <w:noWrap/>
            <w:vAlign w:val="center"/>
            <w:hideMark/>
          </w:tcPr>
          <w:p w:rsidR="00B81B26" w:rsidRDefault="00B81B26">
            <w:pPr>
              <w:spacing w:after="0"/>
              <w:ind w:firstLine="0"/>
              <w:jc w:val="left"/>
              <w:rPr>
                <w:rFonts w:asciiTheme="minorHAnsi" w:eastAsiaTheme="minorHAnsi" w:hAnsiTheme="minorHAnsi" w:cstheme="minorBidi"/>
                <w:sz w:val="20"/>
                <w:szCs w:val="20"/>
              </w:rPr>
            </w:pPr>
          </w:p>
        </w:tc>
      </w:tr>
      <w:tr w:rsidR="00B81B26" w:rsidTr="00B81B26">
        <w:trPr>
          <w:trHeight w:val="139"/>
        </w:trPr>
        <w:tc>
          <w:tcPr>
            <w:tcW w:w="5000" w:type="pct"/>
            <w:gridSpan w:val="21"/>
            <w:vAlign w:val="center"/>
            <w:hideMark/>
          </w:tcPr>
          <w:p w:rsidR="00B81B26" w:rsidRDefault="00B81B26">
            <w:pPr>
              <w:spacing w:after="0" w:line="240" w:lineRule="auto"/>
              <w:ind w:firstLine="0"/>
              <w:jc w:val="left"/>
              <w:rPr>
                <w:rFonts w:ascii="Garamond" w:eastAsia="Times New Roman" w:hAnsi="Garamond" w:cs="Calibri"/>
                <w:color w:val="000000"/>
                <w:sz w:val="16"/>
                <w:szCs w:val="16"/>
                <w:lang w:val="sq-AL" w:eastAsia="sq-AL"/>
              </w:rPr>
            </w:pPr>
            <w:r>
              <w:rPr>
                <w:rFonts w:ascii="Garamond" w:eastAsia="Times New Roman" w:hAnsi="Garamond" w:cs="Calibri"/>
                <w:color w:val="FF0000"/>
                <w:sz w:val="16"/>
                <w:szCs w:val="16"/>
                <w:lang w:val="sq-AL" w:eastAsia="sq-AL"/>
              </w:rPr>
              <w:t xml:space="preserve">* </w:t>
            </w:r>
            <w:r>
              <w:rPr>
                <w:rFonts w:ascii="Garamond" w:eastAsia="Times New Roman" w:hAnsi="Garamond" w:cs="Calibri"/>
                <w:i/>
                <w:iCs/>
                <w:color w:val="FF0000"/>
                <w:sz w:val="16"/>
                <w:szCs w:val="16"/>
                <w:lang w:val="sq-AL" w:eastAsia="sq-AL"/>
              </w:rPr>
              <w:t>Përshkrimet e tabelës mund të shtohen në varësi të zërave specifikë të të ardhurave dhe shpenzimeve të regjistruara nga çdo IAL, bazuar në veprimtarinë konkrete që kryen secili prej tyre.</w:t>
            </w:r>
          </w:p>
        </w:tc>
      </w:tr>
    </w:tbl>
    <w:p w:rsidR="00B81B26" w:rsidRDefault="00B81B26" w:rsidP="00B81B26">
      <w:pPr>
        <w:widowControl w:val="0"/>
        <w:spacing w:after="0" w:line="240" w:lineRule="auto"/>
        <w:rPr>
          <w:rFonts w:ascii="Garamond" w:hAnsi="Garamond"/>
          <w:sz w:val="24"/>
          <w:szCs w:val="24"/>
          <w:lang w:val="sq-AL" w:eastAsia="zh-CN"/>
        </w:rPr>
      </w:pPr>
    </w:p>
    <w:p w:rsidR="005A7FBC" w:rsidRDefault="005A7FBC"/>
    <w:sectPr w:rsidR="005A7FBC" w:rsidSect="00B81B2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3"/>
  </w:num>
  <w:num w:numId="16">
    <w:abstractNumId w:val="14"/>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B26"/>
    <w:rsid w:val="005A7FBC"/>
    <w:rsid w:val="00B81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EE3396-1569-4468-90F6-43B65895D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B26"/>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B81B26"/>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B81B26"/>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B81B26"/>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81B26"/>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81B26"/>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81B26"/>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B81B26"/>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B81B26"/>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81B2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B81B26"/>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B81B26"/>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B81B2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B81B2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B81B2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B81B26"/>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B81B26"/>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B81B2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B81B26"/>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B81B26"/>
    <w:rPr>
      <w:color w:val="0000FF"/>
      <w:u w:val="single"/>
    </w:rPr>
  </w:style>
  <w:style w:type="character" w:styleId="FollowedHyperlink">
    <w:name w:val="FollowedHyperlink"/>
    <w:uiPriority w:val="99"/>
    <w:semiHidden/>
    <w:unhideWhenUsed/>
    <w:rsid w:val="00B81B26"/>
    <w:rPr>
      <w:color w:val="800080"/>
      <w:u w:val="single"/>
    </w:rPr>
  </w:style>
  <w:style w:type="paragraph" w:styleId="HTMLAddress">
    <w:name w:val="HTML Address"/>
    <w:basedOn w:val="Normal"/>
    <w:link w:val="HTMLAddressChar"/>
    <w:semiHidden/>
    <w:unhideWhenUsed/>
    <w:rsid w:val="00B81B2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81B26"/>
    <w:rPr>
      <w:rFonts w:ascii="Tahoma" w:eastAsia="Times New Roman" w:hAnsi="Tahoma" w:cs="Times New Roman"/>
      <w:i/>
      <w:iCs/>
      <w:lang w:val="de-AT" w:eastAsia="de-DE"/>
    </w:rPr>
  </w:style>
  <w:style w:type="character" w:styleId="HTMLCode">
    <w:name w:val="HTML Code"/>
    <w:semiHidden/>
    <w:unhideWhenUsed/>
    <w:rsid w:val="00B81B26"/>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B81B26"/>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B81B26"/>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B81B26"/>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B81B26"/>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B81B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B81B26"/>
    <w:rPr>
      <w:rFonts w:ascii="Courier New" w:eastAsia="Times New Roman" w:hAnsi="Courier New" w:cs="Times New Roman"/>
      <w:sz w:val="20"/>
      <w:lang w:val="de-AT" w:eastAsia="de-DE"/>
    </w:rPr>
  </w:style>
  <w:style w:type="character" w:styleId="HTMLSample">
    <w:name w:val="HTML Sample"/>
    <w:semiHidden/>
    <w:unhideWhenUsed/>
    <w:rsid w:val="00B81B26"/>
    <w:rPr>
      <w:rFonts w:ascii="Courier New" w:eastAsia="Times New Roman" w:hAnsi="Courier New" w:cs="Courier New" w:hint="default"/>
    </w:rPr>
  </w:style>
  <w:style w:type="character" w:styleId="HTMLTypewriter">
    <w:name w:val="HTML Typewriter"/>
    <w:semiHidden/>
    <w:unhideWhenUsed/>
    <w:rsid w:val="00B81B26"/>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B81B26"/>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B81B26"/>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B81B26"/>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B81B26"/>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B81B26"/>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B81B26"/>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B81B26"/>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B81B26"/>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B81B26"/>
    <w:rPr>
      <w:rFonts w:ascii="Calibri" w:eastAsia="Calibri" w:hAnsi="Calibri" w:cs="Times New Roman"/>
    </w:rPr>
  </w:style>
  <w:style w:type="character" w:customStyle="1" w:styleId="FooterChar">
    <w:name w:val="Footer Char"/>
    <w:basedOn w:val="DefaultParagraphFont"/>
    <w:link w:val="Footer"/>
    <w:uiPriority w:val="99"/>
    <w:semiHidden/>
    <w:locked/>
    <w:rsid w:val="00B81B26"/>
    <w:rPr>
      <w:rFonts w:ascii="Calibri" w:eastAsia="Calibri" w:hAnsi="Calibri" w:cs="Times New Roman"/>
    </w:rPr>
  </w:style>
  <w:style w:type="character" w:customStyle="1" w:styleId="EndnoteTextChar">
    <w:name w:val="Endnote Text Char"/>
    <w:aliases w:val="Char Char Char"/>
    <w:basedOn w:val="DefaultParagraphFont"/>
    <w:link w:val="EndnoteText"/>
    <w:locked/>
    <w:rsid w:val="00B81B26"/>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B81B26"/>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B81B26"/>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B81B26"/>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B81B26"/>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B81B26"/>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B81B26"/>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B81B26"/>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B81B26"/>
    <w:rPr>
      <w:rFonts w:ascii="Calibri" w:eastAsia="Calibri" w:hAnsi="Calibri" w:cs="Times New Roman"/>
    </w:rPr>
  </w:style>
  <w:style w:type="character" w:customStyle="1" w:styleId="MessageHeaderChar">
    <w:name w:val="Message Header Char"/>
    <w:basedOn w:val="DefaultParagraphFont"/>
    <w:link w:val="MessageHeader"/>
    <w:semiHidden/>
    <w:locked/>
    <w:rsid w:val="00B81B26"/>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B81B26"/>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B81B26"/>
    <w:rPr>
      <w:rFonts w:ascii="Tahoma" w:eastAsia="Times New Roman" w:hAnsi="Tahoma" w:cs="Times New Roman"/>
      <w:lang w:val="de-AT" w:eastAsia="de-DE"/>
    </w:rPr>
  </w:style>
  <w:style w:type="character" w:customStyle="1" w:styleId="DateChar">
    <w:name w:val="Date Char"/>
    <w:basedOn w:val="DefaultParagraphFont"/>
    <w:link w:val="Date"/>
    <w:semiHidden/>
    <w:locked/>
    <w:rsid w:val="00B81B26"/>
    <w:rPr>
      <w:rFonts w:ascii="Tahoma" w:eastAsia="Times New Roman" w:hAnsi="Tahoma" w:cs="Times New Roman"/>
      <w:lang w:val="de-AT" w:eastAsia="de-DE"/>
    </w:rPr>
  </w:style>
  <w:style w:type="paragraph" w:styleId="BodyText">
    <w:name w:val="Body Text"/>
    <w:basedOn w:val="Normal"/>
    <w:link w:val="BodyTextChar"/>
    <w:semiHidden/>
    <w:unhideWhenUsed/>
    <w:qFormat/>
    <w:rsid w:val="00B81B26"/>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B81B26"/>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B81B26"/>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B81B26"/>
    <w:pPr>
      <w:spacing w:after="120"/>
      <w:ind w:left="360"/>
    </w:pPr>
  </w:style>
  <w:style w:type="character" w:customStyle="1" w:styleId="BodyTextIndentChar1">
    <w:name w:val="Body Text Indent Char1"/>
    <w:basedOn w:val="DefaultParagraphFont"/>
    <w:uiPriority w:val="99"/>
    <w:semiHidden/>
    <w:rsid w:val="00B81B26"/>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B81B26"/>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B81B26"/>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B81B26"/>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B81B26"/>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B81B26"/>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B81B26"/>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B81B26"/>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B81B26"/>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B81B26"/>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B81B26"/>
    <w:rPr>
      <w:rFonts w:ascii="Tahoma" w:eastAsia="Calibri" w:hAnsi="Tahoma" w:cs="Tahoma"/>
      <w:sz w:val="16"/>
      <w:szCs w:val="16"/>
    </w:rPr>
  </w:style>
  <w:style w:type="character" w:customStyle="1" w:styleId="NoSpacingChar">
    <w:name w:val="No Spacing Char"/>
    <w:basedOn w:val="DefaultParagraphFont"/>
    <w:link w:val="NoSpacing"/>
    <w:uiPriority w:val="1"/>
    <w:locked/>
    <w:rsid w:val="00B81B26"/>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B81B26"/>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B81B26"/>
    <w:pPr>
      <w:ind w:left="720" w:firstLine="0"/>
      <w:contextualSpacing/>
      <w:jc w:val="left"/>
    </w:pPr>
    <w:rPr>
      <w:rFonts w:eastAsia="Times New Roman"/>
    </w:rPr>
  </w:style>
  <w:style w:type="character" w:customStyle="1" w:styleId="AktiChar">
    <w:name w:val="Akti Char"/>
    <w:basedOn w:val="DefaultParagraphFont"/>
    <w:link w:val="Akti"/>
    <w:locked/>
    <w:rsid w:val="00B81B26"/>
    <w:rPr>
      <w:rFonts w:ascii="Garamond" w:eastAsia="MS Mincho" w:hAnsi="Garamond" w:cs="CG Times"/>
      <w:b/>
      <w:bCs/>
      <w:caps/>
      <w:color w:val="000000"/>
      <w:sz w:val="24"/>
      <w:lang w:val="en-GB"/>
    </w:rPr>
  </w:style>
  <w:style w:type="paragraph" w:customStyle="1" w:styleId="Akti">
    <w:name w:val="Akti"/>
    <w:link w:val="AktiChar"/>
    <w:qFormat/>
    <w:rsid w:val="00B81B26"/>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B81B26"/>
    <w:rPr>
      <w:rFonts w:ascii="Garamond" w:eastAsia="MS Mincho" w:hAnsi="Garamond" w:cs="CG Times"/>
      <w:b/>
      <w:bCs/>
      <w:sz w:val="24"/>
      <w:lang w:val="en-GB"/>
    </w:rPr>
  </w:style>
  <w:style w:type="paragraph" w:customStyle="1" w:styleId="NumriData">
    <w:name w:val="Numri_Data"/>
    <w:next w:val="Normal"/>
    <w:link w:val="NumriDataChar"/>
    <w:qFormat/>
    <w:rsid w:val="00B81B26"/>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B81B26"/>
    <w:rPr>
      <w:rFonts w:ascii="Garamond" w:eastAsia="MS Mincho" w:hAnsi="Garamond" w:cs="CG Times"/>
      <w:sz w:val="24"/>
    </w:rPr>
  </w:style>
  <w:style w:type="paragraph" w:customStyle="1" w:styleId="Paragrafi">
    <w:name w:val="Paragrafi"/>
    <w:link w:val="ParagrafiChar"/>
    <w:qFormat/>
    <w:rsid w:val="00B81B26"/>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B81B26"/>
    <w:rPr>
      <w:rFonts w:ascii="Garamond" w:eastAsia="MS Mincho" w:hAnsi="Garamond" w:cs="CG Times"/>
      <w:b/>
      <w:bCs/>
      <w:caps/>
      <w:sz w:val="24"/>
      <w:lang w:val="en-GB"/>
    </w:rPr>
  </w:style>
  <w:style w:type="paragraph" w:customStyle="1" w:styleId="Titulli">
    <w:name w:val="Titulli"/>
    <w:next w:val="Normal"/>
    <w:link w:val="TitulliChar"/>
    <w:qFormat/>
    <w:rsid w:val="00B81B2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B81B26"/>
    <w:rPr>
      <w:rFonts w:ascii="Garamond" w:eastAsia="MS Mincho" w:hAnsi="Garamond" w:cs="CG Times"/>
      <w:sz w:val="24"/>
      <w:lang w:val="en-GB"/>
    </w:rPr>
  </w:style>
  <w:style w:type="paragraph" w:customStyle="1" w:styleId="NeniNr">
    <w:name w:val="Neni_Nr"/>
    <w:next w:val="Normal"/>
    <w:link w:val="NeniNrChar"/>
    <w:qFormat/>
    <w:rsid w:val="00B81B26"/>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B81B26"/>
    <w:rPr>
      <w:rFonts w:ascii="Garamond" w:eastAsia="MS Mincho" w:hAnsi="Garamond" w:cs="CG Times"/>
      <w:b/>
      <w:bCs/>
      <w:sz w:val="24"/>
      <w:lang w:val="en-GB"/>
    </w:rPr>
  </w:style>
  <w:style w:type="paragraph" w:customStyle="1" w:styleId="NeniTitull">
    <w:name w:val="Neni_Titull"/>
    <w:next w:val="Normal"/>
    <w:link w:val="NeniTitullChar"/>
    <w:qFormat/>
    <w:rsid w:val="00B81B26"/>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B81B26"/>
    <w:rPr>
      <w:rFonts w:ascii="Garamond" w:eastAsia="MS Mincho" w:hAnsi="Garamond" w:cs="CG Times"/>
      <w:caps/>
      <w:sz w:val="24"/>
      <w:lang w:val="en-GB"/>
    </w:rPr>
  </w:style>
  <w:style w:type="paragraph" w:customStyle="1" w:styleId="Autoriteti">
    <w:name w:val="Autoriteti"/>
    <w:next w:val="Normal"/>
    <w:link w:val="AutoritetiChar"/>
    <w:qFormat/>
    <w:rsid w:val="00B81B26"/>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B81B26"/>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B81B26"/>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B81B26"/>
    <w:pPr>
      <w:ind w:firstLine="0"/>
      <w:jc w:val="center"/>
    </w:pPr>
    <w:rPr>
      <w:caps/>
      <w:szCs w:val="24"/>
    </w:rPr>
  </w:style>
  <w:style w:type="paragraph" w:customStyle="1" w:styleId="Vendosi">
    <w:name w:val="Vendosi"/>
    <w:basedOn w:val="Titull-Titull"/>
    <w:uiPriority w:val="99"/>
    <w:qFormat/>
    <w:rsid w:val="00B81B26"/>
  </w:style>
  <w:style w:type="paragraph" w:customStyle="1" w:styleId="Hapesira7">
    <w:name w:val="Hapesira 7"/>
    <w:basedOn w:val="Paragrafi"/>
    <w:uiPriority w:val="99"/>
    <w:qFormat/>
    <w:rsid w:val="00B81B26"/>
    <w:rPr>
      <w:sz w:val="14"/>
      <w:szCs w:val="24"/>
    </w:rPr>
  </w:style>
  <w:style w:type="character" w:customStyle="1" w:styleId="Style1Char">
    <w:name w:val="Style1 Char"/>
    <w:link w:val="Style1"/>
    <w:locked/>
    <w:rsid w:val="00B81B26"/>
    <w:rPr>
      <w:rFonts w:ascii="CG Times" w:eastAsia="MS Mincho" w:hAnsi="CG Times" w:cs="CG Times"/>
      <w:b/>
      <w:bCs/>
      <w:caps/>
      <w:color w:val="000000"/>
      <w:sz w:val="21"/>
      <w:lang w:val="en-GB"/>
    </w:rPr>
  </w:style>
  <w:style w:type="paragraph" w:customStyle="1" w:styleId="Style1">
    <w:name w:val="Style1"/>
    <w:basedOn w:val="Akti"/>
    <w:link w:val="Style1Char"/>
    <w:qFormat/>
    <w:rsid w:val="00B81B26"/>
    <w:rPr>
      <w:rFonts w:ascii="CG Times" w:hAnsi="CG Times"/>
      <w:sz w:val="21"/>
    </w:rPr>
  </w:style>
  <w:style w:type="paragraph" w:customStyle="1" w:styleId="ADDRESS">
    <w:name w:val="ADDRESS"/>
    <w:basedOn w:val="Normal"/>
    <w:uiPriority w:val="99"/>
    <w:qFormat/>
    <w:rsid w:val="00B81B26"/>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B81B26"/>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B81B2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B81B26"/>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B81B26"/>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B81B2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B81B2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B81B2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B81B2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B81B2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B81B2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B81B2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B81B2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B81B2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B81B2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B81B2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B81B2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B81B26"/>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B81B2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B81B2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B81B2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B81B2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B81B2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B81B2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B81B2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B81B2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B81B2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B81B2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B81B2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B81B2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B81B26"/>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B81B2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B81B26"/>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B81B2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B81B2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B81B2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B81B2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B81B2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B81B2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B81B2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B81B2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B81B26"/>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B81B26"/>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B81B2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B81B2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B81B2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B81B2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B81B2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B81B2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B81B2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B81B2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B81B2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B81B2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B81B26"/>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B81B2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B81B2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B81B2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B81B26"/>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B81B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B81B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B81B2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B81B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B81B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B81B2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B81B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B81B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B81B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B81B2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B81B2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B81B2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B81B2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B81B2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B81B2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B81B2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B81B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B81B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B81B2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B81B2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B81B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B81B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B81B2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B81B2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B81B2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B81B2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B81B2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B81B2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B81B26"/>
    <w:rPr>
      <w:rFonts w:ascii="Times New Roman" w:eastAsia="Calibri" w:hAnsi="Times New Roman" w:cs="Times New Roman"/>
      <w:color w:val="000000"/>
      <w:sz w:val="24"/>
      <w:szCs w:val="24"/>
    </w:rPr>
  </w:style>
  <w:style w:type="paragraph" w:customStyle="1" w:styleId="Default">
    <w:name w:val="Default"/>
    <w:link w:val="DefaultChar"/>
    <w:qFormat/>
    <w:rsid w:val="00B81B2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B81B26"/>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81B26"/>
    <w:rPr>
      <w:sz w:val="24"/>
      <w:lang w:val="en-GB" w:eastAsia="fr-FR"/>
    </w:rPr>
  </w:style>
  <w:style w:type="paragraph" w:customStyle="1" w:styleId="JuPara">
    <w:name w:val="Ju_Para"/>
    <w:aliases w:val="Left,First line:  0 cm,ECHR_Para,Para"/>
    <w:basedOn w:val="Normal"/>
    <w:link w:val="JuParaCar"/>
    <w:qFormat/>
    <w:rsid w:val="00B81B2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B81B26"/>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B81B26"/>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B81B26"/>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B81B2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B81B2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B81B2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B81B26"/>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B81B2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B81B2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B81B26"/>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B81B26"/>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B81B26"/>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B81B26"/>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B81B2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B81B26"/>
    <w:rPr>
      <w:b w:val="0"/>
    </w:rPr>
  </w:style>
  <w:style w:type="paragraph" w:customStyle="1" w:styleId="StyleStyle1Bold">
    <w:name w:val="Style Style1 + Bold"/>
    <w:basedOn w:val="Style1"/>
    <w:uiPriority w:val="99"/>
    <w:qFormat/>
    <w:rsid w:val="00B81B2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B81B26"/>
    <w:rPr>
      <w:rFonts w:ascii="EUAlbertina" w:hAnsi="EUAlbertina"/>
      <w:color w:val="auto"/>
    </w:rPr>
  </w:style>
  <w:style w:type="paragraph" w:customStyle="1" w:styleId="CM4">
    <w:name w:val="CM4"/>
    <w:basedOn w:val="Normal"/>
    <w:next w:val="Normal"/>
    <w:uiPriority w:val="99"/>
    <w:qFormat/>
    <w:rsid w:val="00B81B2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B81B26"/>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B81B26"/>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B81B26"/>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B81B26"/>
    <w:rPr>
      <w:rFonts w:ascii="Calibri" w:eastAsia="Times New Roman" w:hAnsi="Calibri" w:cs="Times New Roman"/>
      <w:sz w:val="24"/>
      <w:szCs w:val="24"/>
      <w:lang w:val="en-GB" w:eastAsia="en-GB"/>
    </w:rPr>
  </w:style>
  <w:style w:type="paragraph" w:customStyle="1" w:styleId="Text1">
    <w:name w:val="Text 1"/>
    <w:basedOn w:val="Normal"/>
    <w:link w:val="Text1Char"/>
    <w:qFormat/>
    <w:rsid w:val="00B81B2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B81B26"/>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B81B26"/>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B81B2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B81B26"/>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B81B26"/>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B81B26"/>
  </w:style>
  <w:style w:type="paragraph" w:customStyle="1" w:styleId="Point0">
    <w:name w:val="Point 0"/>
    <w:basedOn w:val="Normal"/>
    <w:uiPriority w:val="99"/>
    <w:qFormat/>
    <w:rsid w:val="00B81B26"/>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B81B26"/>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B81B26"/>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B81B26"/>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B81B26"/>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B81B26"/>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B81B26"/>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B81B26"/>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B81B26"/>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B81B26"/>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B81B26"/>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B81B26"/>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B81B2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B81B26"/>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B81B26"/>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B81B26"/>
    <w:rPr>
      <w:rFonts w:ascii="CG Times" w:eastAsia="Times New Roman" w:hAnsi="CG Times" w:cs="Times New Roman"/>
      <w:b/>
      <w:szCs w:val="24"/>
    </w:rPr>
  </w:style>
  <w:style w:type="paragraph" w:customStyle="1" w:styleId="ParagrafiCharCharChar">
    <w:name w:val="Paragrafi Char Char Char"/>
    <w:link w:val="ParagrafiCharCharCharChar"/>
    <w:qFormat/>
    <w:rsid w:val="00B81B26"/>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B81B26"/>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B81B26"/>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B81B26"/>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B81B2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B81B26"/>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B81B26"/>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B81B26"/>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B81B2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B81B26"/>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B81B26"/>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B81B2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B81B26"/>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B81B26"/>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B81B26"/>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B81B26"/>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B81B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B81B26"/>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B81B26"/>
    <w:pPr>
      <w:tabs>
        <w:tab w:val="left" w:pos="6575"/>
      </w:tabs>
    </w:pPr>
    <w:rPr>
      <w:spacing w:val="-4"/>
    </w:rPr>
  </w:style>
  <w:style w:type="paragraph" w:customStyle="1" w:styleId="Cover1">
    <w:name w:val="Cover1"/>
    <w:basedOn w:val="Normal"/>
    <w:next w:val="Normal"/>
    <w:uiPriority w:val="99"/>
    <w:qFormat/>
    <w:rsid w:val="00B81B26"/>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B81B26"/>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B81B2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B81B26"/>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B81B26"/>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B81B26"/>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B81B26"/>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B81B2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B81B26"/>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B81B26"/>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B81B26"/>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B81B26"/>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B81B2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B81B2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81B26"/>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B81B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B81B2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B81B26"/>
    <w:rPr>
      <w:vertAlign w:val="superscript"/>
    </w:rPr>
  </w:style>
  <w:style w:type="paragraph" w:customStyle="1" w:styleId="Char2">
    <w:name w:val="Char2"/>
    <w:basedOn w:val="Normal"/>
    <w:link w:val="FootnoteReference"/>
    <w:uiPriority w:val="99"/>
    <w:qFormat/>
    <w:rsid w:val="00B81B26"/>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B81B26"/>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B81B26"/>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B81B26"/>
    <w:rPr>
      <w:sz w:val="24"/>
    </w:rPr>
  </w:style>
  <w:style w:type="paragraph" w:customStyle="1" w:styleId="xl160">
    <w:name w:val="xl160"/>
    <w:basedOn w:val="Normal"/>
    <w:uiPriority w:val="99"/>
    <w:qFormat/>
    <w:rsid w:val="00B81B26"/>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B81B26"/>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B81B2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B81B2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B81B2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B81B2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B81B2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B81B2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B81B2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B81B2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B81B2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B81B26"/>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B81B26"/>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B81B26"/>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B81B2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B81B26"/>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B81B26"/>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B81B2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B81B26"/>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B81B26"/>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B81B26"/>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B81B26"/>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B81B26"/>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B81B2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B81B26"/>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B81B2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B81B2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B81B26"/>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B81B26"/>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B81B26"/>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B81B26"/>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B81B2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B81B2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B81B26"/>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B81B26"/>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B81B2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B81B26"/>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B81B26"/>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B81B2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B81B26"/>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B81B26"/>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B81B26"/>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B81B26"/>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B81B26"/>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B81B26"/>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B81B26"/>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B81B26"/>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B81B26"/>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B81B26"/>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B81B26"/>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B81B26"/>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B81B26"/>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B81B26"/>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B81B26"/>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B81B26"/>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B81B26"/>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B81B26"/>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B81B26"/>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B81B26"/>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B81B26"/>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B81B26"/>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B81B26"/>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B81B26"/>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B81B26"/>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B81B26"/>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B81B26"/>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B81B26"/>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B81B26"/>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B81B26"/>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B81B26"/>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B81B26"/>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B81B2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B81B26"/>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B81B26"/>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B81B26"/>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B81B26"/>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B81B26"/>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B81B26"/>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B81B26"/>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B81B26"/>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B81B26"/>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B81B26"/>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B81B26"/>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B81B26"/>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B81B26"/>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B81B26"/>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B81B26"/>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B81B26"/>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B81B26"/>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B81B26"/>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B81B26"/>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B81B26"/>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B81B26"/>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B81B26"/>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B81B26"/>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B81B26"/>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B81B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B81B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B81B2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B81B2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B81B26"/>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B81B26"/>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B81B26"/>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B81B26"/>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B81B26"/>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B81B26"/>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B81B26"/>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B81B26"/>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B81B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B81B26"/>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B81B26"/>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B81B26"/>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B81B26"/>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B81B26"/>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B81B26"/>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B81B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B81B2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B81B2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B81B26"/>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B81B26"/>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B81B26"/>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B81B26"/>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B81B26"/>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B81B26"/>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B81B26"/>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B81B26"/>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B81B26"/>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B81B26"/>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B81B26"/>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B81B26"/>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B81B26"/>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B81B26"/>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B81B26"/>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B81B26"/>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B81B26"/>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B81B26"/>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B81B26"/>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B81B26"/>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B81B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B81B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B81B26"/>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B81B26"/>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B81B26"/>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B81B26"/>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B81B26"/>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B81B26"/>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B81B26"/>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B81B26"/>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B81B26"/>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B81B26"/>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B81B26"/>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B81B26"/>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B81B26"/>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B81B26"/>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B81B26"/>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B81B26"/>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B81B26"/>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B81B26"/>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B81B26"/>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B81B26"/>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B81B26"/>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B81B26"/>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B81B26"/>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B81B26"/>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B81B26"/>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B81B26"/>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B81B26"/>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B81B26"/>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B81B26"/>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B81B26"/>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B81B26"/>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B81B26"/>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B81B26"/>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B81B26"/>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B81B26"/>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B81B26"/>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B81B26"/>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B81B26"/>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B81B26"/>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B81B26"/>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B81B26"/>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B81B26"/>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B81B26"/>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B81B26"/>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B81B26"/>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B81B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B81B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B81B2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B81B2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B81B26"/>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B81B26"/>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B81B26"/>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B81B26"/>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B81B26"/>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B81B26"/>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B81B26"/>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B81B26"/>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B81B26"/>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B81B26"/>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B81B26"/>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B81B26"/>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B81B26"/>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B81B26"/>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B81B26"/>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B81B26"/>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B81B26"/>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B81B26"/>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B81B26"/>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B81B26"/>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B81B26"/>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B81B26"/>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B81B26"/>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B81B26"/>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B81B26"/>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B81B26"/>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B81B26"/>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B81B26"/>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B81B26"/>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B81B26"/>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B81B26"/>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B81B26"/>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B81B26"/>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B81B26"/>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B81B26"/>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B81B26"/>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B81B26"/>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B81B26"/>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B81B26"/>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B81B26"/>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B81B26"/>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B81B26"/>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B81B26"/>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B81B26"/>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B81B26"/>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B81B26"/>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B81B26"/>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B81B26"/>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B81B26"/>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B81B26"/>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B81B26"/>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B81B26"/>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B81B26"/>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B81B26"/>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B81B26"/>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B81B26"/>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B81B26"/>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B81B26"/>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B81B26"/>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B81B26"/>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B81B26"/>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B81B26"/>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B81B26"/>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B81B26"/>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B81B26"/>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B81B26"/>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B81B26"/>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B81B26"/>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B81B26"/>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B81B26"/>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B81B26"/>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B81B26"/>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B81B26"/>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B81B26"/>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B81B26"/>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B81B26"/>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B81B26"/>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B81B26"/>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B81B26"/>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B81B26"/>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B81B26"/>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B81B26"/>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B81B26"/>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B81B26"/>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B81B26"/>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B81B26"/>
    <w:pPr>
      <w:spacing w:before="0"/>
    </w:pPr>
  </w:style>
  <w:style w:type="paragraph" w:customStyle="1" w:styleId="Definition1a">
    <w:name w:val="Definition 1a"/>
    <w:basedOn w:val="Definition"/>
    <w:next w:val="Definition1b"/>
    <w:uiPriority w:val="99"/>
    <w:qFormat/>
    <w:rsid w:val="00B81B26"/>
    <w:pPr>
      <w:keepNext/>
    </w:pPr>
  </w:style>
  <w:style w:type="character" w:customStyle="1" w:styleId="Paragraph1Char">
    <w:name w:val="Paragraph (1) Char"/>
    <w:link w:val="Paragraph1"/>
    <w:locked/>
    <w:rsid w:val="00B81B26"/>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B81B26"/>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B81B26"/>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B81B26"/>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B81B26"/>
    <w:pPr>
      <w:tabs>
        <w:tab w:val="clear" w:pos="2835"/>
      </w:tabs>
      <w:ind w:firstLine="0"/>
    </w:pPr>
  </w:style>
  <w:style w:type="paragraph" w:customStyle="1" w:styleId="Definition3">
    <w:name w:val="Definition 3"/>
    <w:basedOn w:val="Definition2"/>
    <w:uiPriority w:val="99"/>
    <w:qFormat/>
    <w:rsid w:val="00B81B26"/>
    <w:pPr>
      <w:tabs>
        <w:tab w:val="clear" w:pos="3402"/>
      </w:tabs>
      <w:ind w:left="3402"/>
    </w:pPr>
  </w:style>
  <w:style w:type="paragraph" w:customStyle="1" w:styleId="Definition4">
    <w:name w:val="Definition 4"/>
    <w:basedOn w:val="Definition3"/>
    <w:uiPriority w:val="99"/>
    <w:qFormat/>
    <w:rsid w:val="00B81B26"/>
    <w:pPr>
      <w:tabs>
        <w:tab w:val="clear" w:pos="3969"/>
      </w:tabs>
      <w:ind w:left="3969"/>
    </w:pPr>
  </w:style>
  <w:style w:type="paragraph" w:customStyle="1" w:styleId="Paragraphi">
    <w:name w:val="Paragraph (i)"/>
    <w:basedOn w:val="Normal"/>
    <w:uiPriority w:val="99"/>
    <w:qFormat/>
    <w:rsid w:val="00B81B26"/>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B81B26"/>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B81B26"/>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B81B26"/>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B81B26"/>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B81B26"/>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B81B26"/>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B81B26"/>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B81B26"/>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B81B2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B81B26"/>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B81B26"/>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B81B26"/>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B81B26"/>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B81B26"/>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B81B2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B81B26"/>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B81B26"/>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B81B2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B81B2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B81B2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B81B2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B81B2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B81B2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B81B2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B81B2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B81B2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B81B2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B81B2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B81B2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B81B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B81B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B81B2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B81B2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B81B2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B81B2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B81B2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B81B2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B81B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B81B2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B81B2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B81B2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B81B2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B81B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B81B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B81B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B81B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B81B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B81B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B81B2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B81B26"/>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B81B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B81B26"/>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B81B2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B81B26"/>
    <w:pPr>
      <w:ind w:left="720" w:firstLine="0"/>
      <w:contextualSpacing/>
    </w:pPr>
  </w:style>
  <w:style w:type="paragraph" w:customStyle="1" w:styleId="ReturnAddress">
    <w:name w:val="Return Address"/>
    <w:basedOn w:val="Normal"/>
    <w:uiPriority w:val="99"/>
    <w:qFormat/>
    <w:rsid w:val="00B81B26"/>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B81B26"/>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B81B26"/>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B81B26"/>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B81B26"/>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B81B26"/>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B81B26"/>
  </w:style>
  <w:style w:type="paragraph" w:customStyle="1" w:styleId="CharCharCharCharCharCharCharCharCharCharChar1">
    <w:name w:val="Char Char Char Char Char Char Char Char Char Char Char1"/>
    <w:basedOn w:val="Normal"/>
    <w:uiPriority w:val="99"/>
    <w:qFormat/>
    <w:rsid w:val="00B81B26"/>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B81B26"/>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B81B26"/>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B81B26"/>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B81B26"/>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B81B26"/>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B81B26"/>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B81B26"/>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B81B26"/>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B81B26"/>
    <w:pPr>
      <w:ind w:left="720" w:firstLine="0"/>
      <w:contextualSpacing/>
      <w:jc w:val="left"/>
    </w:pPr>
    <w:rPr>
      <w:rFonts w:eastAsia="MS Mincho"/>
    </w:rPr>
  </w:style>
  <w:style w:type="paragraph" w:customStyle="1" w:styleId="Style54">
    <w:name w:val="Style54"/>
    <w:basedOn w:val="Normal"/>
    <w:uiPriority w:val="99"/>
    <w:qFormat/>
    <w:rsid w:val="00B81B26"/>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B81B26"/>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B81B26"/>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B81B26"/>
    <w:pPr>
      <w:ind w:firstLine="0"/>
    </w:pPr>
    <w:rPr>
      <w:u w:val="single"/>
    </w:rPr>
  </w:style>
  <w:style w:type="paragraph" w:customStyle="1" w:styleId="Indenta">
    <w:name w:val="Indent (a)"/>
    <w:basedOn w:val="Normal"/>
    <w:uiPriority w:val="99"/>
    <w:qFormat/>
    <w:rsid w:val="00B81B26"/>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B81B26"/>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B81B26"/>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B81B26"/>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B81B26"/>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B81B26"/>
    <w:pPr>
      <w:tabs>
        <w:tab w:val="right" w:pos="360"/>
        <w:tab w:val="left" w:pos="720"/>
      </w:tabs>
      <w:spacing w:before="120" w:after="0" w:line="240" w:lineRule="exact"/>
      <w:ind w:left="720" w:hanging="720"/>
    </w:pPr>
    <w:rPr>
      <w:rFonts w:ascii="Times New Roman" w:eastAsia="Times New Roman" w:hAnsi="Times New Roman"/>
      <w:sz w:val="20"/>
      <w:szCs w:val="20"/>
    </w:rPr>
  </w:style>
  <w:style w:type="character" w:styleId="CommentReference">
    <w:name w:val="annotation reference"/>
    <w:semiHidden/>
    <w:unhideWhenUsed/>
    <w:rsid w:val="00B81B26"/>
    <w:rPr>
      <w:sz w:val="16"/>
      <w:szCs w:val="16"/>
    </w:rPr>
  </w:style>
  <w:style w:type="character" w:styleId="LineNumber">
    <w:name w:val="line number"/>
    <w:semiHidden/>
    <w:unhideWhenUsed/>
    <w:rsid w:val="00B81B26"/>
    <w:rPr>
      <w:rFonts w:ascii="Tahoma" w:hAnsi="Tahoma" w:cs="Tahoma" w:hint="default"/>
      <w:sz w:val="22"/>
    </w:rPr>
  </w:style>
  <w:style w:type="character" w:styleId="EndnoteReference">
    <w:name w:val="endnote reference"/>
    <w:semiHidden/>
    <w:unhideWhenUsed/>
    <w:rsid w:val="00B81B26"/>
    <w:rPr>
      <w:vertAlign w:val="superscript"/>
    </w:rPr>
  </w:style>
  <w:style w:type="character" w:styleId="PlaceholderText">
    <w:name w:val="Placeholder Text"/>
    <w:uiPriority w:val="99"/>
    <w:semiHidden/>
    <w:rsid w:val="00B81B26"/>
    <w:rPr>
      <w:rFonts w:ascii="Times New Roman" w:hAnsi="Times New Roman" w:cs="Times New Roman" w:hint="default"/>
      <w:color w:val="808080"/>
    </w:rPr>
  </w:style>
  <w:style w:type="character" w:styleId="SubtleEmphasis">
    <w:name w:val="Subtle Emphasis"/>
    <w:uiPriority w:val="19"/>
    <w:qFormat/>
    <w:rsid w:val="00B81B26"/>
    <w:rPr>
      <w:i/>
      <w:iCs/>
      <w:color w:val="404040"/>
    </w:rPr>
  </w:style>
  <w:style w:type="character" w:styleId="IntenseEmphasis">
    <w:name w:val="Intense Emphasis"/>
    <w:uiPriority w:val="21"/>
    <w:qFormat/>
    <w:rsid w:val="00B81B26"/>
    <w:rPr>
      <w:b/>
      <w:bCs/>
      <w:i/>
      <w:iCs/>
      <w:color w:val="4F81BD"/>
      <w:sz w:val="24"/>
    </w:rPr>
  </w:style>
  <w:style w:type="character" w:styleId="IntenseReference">
    <w:name w:val="Intense Reference"/>
    <w:basedOn w:val="DefaultParagraphFont"/>
    <w:uiPriority w:val="32"/>
    <w:qFormat/>
    <w:rsid w:val="00B81B26"/>
    <w:rPr>
      <w:b/>
      <w:bCs/>
      <w:smallCaps/>
      <w:color w:val="5B9BD5" w:themeColor="accent1"/>
      <w:spacing w:val="5"/>
    </w:rPr>
  </w:style>
  <w:style w:type="character" w:styleId="BookTitle">
    <w:name w:val="Book Title"/>
    <w:uiPriority w:val="33"/>
    <w:qFormat/>
    <w:rsid w:val="00B81B26"/>
    <w:rPr>
      <w:b/>
      <w:bCs/>
      <w:smallCaps/>
      <w:spacing w:val="5"/>
    </w:rPr>
  </w:style>
  <w:style w:type="character" w:customStyle="1" w:styleId="Heading9Char1">
    <w:name w:val="Heading 9 Char1"/>
    <w:basedOn w:val="DefaultParagraphFont"/>
    <w:semiHidden/>
    <w:rsid w:val="00B81B26"/>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B81B26"/>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B81B26"/>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B81B26"/>
    <w:rPr>
      <w:rFonts w:ascii="Segoe UI" w:eastAsia="Calibri" w:hAnsi="Segoe UI" w:cs="Segoe UI"/>
      <w:sz w:val="18"/>
      <w:szCs w:val="18"/>
    </w:rPr>
  </w:style>
  <w:style w:type="paragraph" w:styleId="Header">
    <w:name w:val="header"/>
    <w:basedOn w:val="Normal"/>
    <w:link w:val="HeaderChar"/>
    <w:uiPriority w:val="99"/>
    <w:semiHidden/>
    <w:unhideWhenUsed/>
    <w:rsid w:val="00B81B26"/>
    <w:pPr>
      <w:tabs>
        <w:tab w:val="center" w:pos="4680"/>
        <w:tab w:val="right" w:pos="9360"/>
      </w:tabs>
      <w:spacing w:after="0" w:line="240" w:lineRule="auto"/>
    </w:pPr>
  </w:style>
  <w:style w:type="character" w:customStyle="1" w:styleId="HeaderChar1">
    <w:name w:val="Header Char1"/>
    <w:basedOn w:val="DefaultParagraphFont"/>
    <w:uiPriority w:val="99"/>
    <w:semiHidden/>
    <w:rsid w:val="00B81B26"/>
    <w:rPr>
      <w:rFonts w:ascii="Calibri" w:eastAsia="Calibri" w:hAnsi="Calibri" w:cs="Times New Roman"/>
    </w:rPr>
  </w:style>
  <w:style w:type="paragraph" w:styleId="Footer">
    <w:name w:val="footer"/>
    <w:basedOn w:val="Normal"/>
    <w:link w:val="FooterChar"/>
    <w:uiPriority w:val="99"/>
    <w:semiHidden/>
    <w:unhideWhenUsed/>
    <w:rsid w:val="00B81B26"/>
    <w:pPr>
      <w:tabs>
        <w:tab w:val="center" w:pos="4680"/>
        <w:tab w:val="right" w:pos="9360"/>
      </w:tabs>
      <w:spacing w:after="0" w:line="240" w:lineRule="auto"/>
    </w:pPr>
  </w:style>
  <w:style w:type="character" w:customStyle="1" w:styleId="FooterChar1">
    <w:name w:val="Footer Char1"/>
    <w:basedOn w:val="DefaultParagraphFont"/>
    <w:uiPriority w:val="99"/>
    <w:semiHidden/>
    <w:rsid w:val="00B81B26"/>
    <w:rPr>
      <w:rFonts w:ascii="Calibri" w:eastAsia="Calibri" w:hAnsi="Calibri" w:cs="Times New Roman"/>
    </w:rPr>
  </w:style>
  <w:style w:type="paragraph" w:styleId="Subtitle">
    <w:name w:val="Subtitle"/>
    <w:basedOn w:val="Normal"/>
    <w:next w:val="Normal"/>
    <w:link w:val="SubtitleChar"/>
    <w:uiPriority w:val="11"/>
    <w:qFormat/>
    <w:rsid w:val="00B81B26"/>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B81B26"/>
    <w:rPr>
      <w:rFonts w:eastAsiaTheme="minorEastAsia"/>
      <w:color w:val="5A5A5A" w:themeColor="text1" w:themeTint="A5"/>
      <w:spacing w:val="15"/>
    </w:rPr>
  </w:style>
  <w:style w:type="character" w:customStyle="1" w:styleId="apple-converted-space">
    <w:name w:val="apple-converted-space"/>
    <w:rsid w:val="00B81B26"/>
  </w:style>
  <w:style w:type="paragraph" w:styleId="BodyText3">
    <w:name w:val="Body Text 3"/>
    <w:basedOn w:val="Normal"/>
    <w:link w:val="BodyText3Char"/>
    <w:uiPriority w:val="99"/>
    <w:semiHidden/>
    <w:unhideWhenUsed/>
    <w:rsid w:val="00B81B26"/>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B81B26"/>
    <w:rPr>
      <w:rFonts w:ascii="Calibri" w:eastAsia="Calibri" w:hAnsi="Calibri" w:cs="Times New Roman"/>
      <w:sz w:val="16"/>
      <w:szCs w:val="16"/>
    </w:rPr>
  </w:style>
  <w:style w:type="character" w:customStyle="1" w:styleId="sb8d990e2">
    <w:name w:val="sb8d990e2"/>
    <w:basedOn w:val="DefaultParagraphFont"/>
    <w:rsid w:val="00B81B26"/>
  </w:style>
  <w:style w:type="character" w:customStyle="1" w:styleId="normal--char">
    <w:name w:val="normal--char"/>
    <w:basedOn w:val="DefaultParagraphFont"/>
    <w:rsid w:val="00B81B26"/>
  </w:style>
  <w:style w:type="character" w:customStyle="1" w:styleId="s7d2086b4">
    <w:name w:val="s7d2086b4"/>
    <w:basedOn w:val="DefaultParagraphFont"/>
    <w:uiPriority w:val="99"/>
    <w:rsid w:val="00B81B26"/>
  </w:style>
  <w:style w:type="character" w:customStyle="1" w:styleId="hps">
    <w:name w:val="hps"/>
    <w:basedOn w:val="DefaultParagraphFont"/>
    <w:rsid w:val="00B81B26"/>
  </w:style>
  <w:style w:type="character" w:customStyle="1" w:styleId="grame">
    <w:name w:val="grame"/>
    <w:rsid w:val="00B81B26"/>
    <w:rPr>
      <w:rFonts w:ascii="Times New Roman" w:hAnsi="Times New Roman" w:cs="Times New Roman" w:hint="default"/>
    </w:rPr>
  </w:style>
  <w:style w:type="character" w:customStyle="1" w:styleId="atn">
    <w:name w:val="atn"/>
    <w:basedOn w:val="DefaultParagraphFont"/>
    <w:rsid w:val="00B81B26"/>
  </w:style>
  <w:style w:type="paragraph" w:styleId="PlainText">
    <w:name w:val="Plain Text"/>
    <w:basedOn w:val="Normal"/>
    <w:link w:val="PlainTextChar"/>
    <w:uiPriority w:val="99"/>
    <w:semiHidden/>
    <w:unhideWhenUsed/>
    <w:rsid w:val="00B81B26"/>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B81B26"/>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B81B26"/>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B81B26"/>
    <w:rPr>
      <w:rFonts w:ascii="Segoe UI" w:eastAsia="Calibri" w:hAnsi="Segoe UI" w:cs="Segoe UI"/>
      <w:sz w:val="16"/>
      <w:szCs w:val="16"/>
    </w:rPr>
  </w:style>
  <w:style w:type="character" w:customStyle="1" w:styleId="longtext">
    <w:name w:val="long_text"/>
    <w:rsid w:val="00B81B26"/>
    <w:rPr>
      <w:rFonts w:ascii="Comic Sans MS" w:hAnsi="Comic Sans MS" w:hint="default"/>
      <w:b/>
      <w:bCs w:val="0"/>
      <w:sz w:val="96"/>
      <w:szCs w:val="24"/>
      <w:lang w:val="pl-PL" w:eastAsia="pl-PL" w:bidi="ar-SA"/>
    </w:rPr>
  </w:style>
  <w:style w:type="character" w:customStyle="1" w:styleId="Point1CharChar">
    <w:name w:val="Point 1 Char Char"/>
    <w:rsid w:val="00B81B26"/>
    <w:rPr>
      <w:sz w:val="24"/>
      <w:szCs w:val="24"/>
      <w:lang w:val="en-GB" w:eastAsia="en-GB" w:bidi="ar-SA"/>
    </w:rPr>
  </w:style>
  <w:style w:type="character" w:customStyle="1" w:styleId="apple-style-span">
    <w:name w:val="apple-style-span"/>
    <w:rsid w:val="00B81B26"/>
  </w:style>
  <w:style w:type="character" w:customStyle="1" w:styleId="CommentTextChar">
    <w:name w:val="Comment Text Char"/>
    <w:basedOn w:val="DefaultParagraphFont"/>
    <w:semiHidden/>
    <w:rsid w:val="00B81B26"/>
    <w:rPr>
      <w:rFonts w:ascii="Calibri" w:eastAsia="Calibri" w:hAnsi="Calibri" w:cs="Times New Roman"/>
    </w:rPr>
  </w:style>
  <w:style w:type="character" w:customStyle="1" w:styleId="CommentTextChar1">
    <w:name w:val="Comment Text Char1"/>
    <w:basedOn w:val="DefaultParagraphFont"/>
    <w:rsid w:val="00B81B26"/>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B81B26"/>
    <w:pPr>
      <w:spacing w:line="240" w:lineRule="auto"/>
    </w:pPr>
    <w:rPr>
      <w:sz w:val="20"/>
      <w:szCs w:val="20"/>
    </w:rPr>
  </w:style>
  <w:style w:type="character" w:customStyle="1" w:styleId="CommentTextChar2">
    <w:name w:val="Comment Text Char2"/>
    <w:basedOn w:val="DefaultParagraphFont"/>
    <w:link w:val="CommentText"/>
    <w:uiPriority w:val="99"/>
    <w:semiHidden/>
    <w:rsid w:val="00B81B26"/>
    <w:rPr>
      <w:rFonts w:ascii="Calibri" w:eastAsia="Calibri" w:hAnsi="Calibri" w:cs="Times New Roman"/>
      <w:sz w:val="20"/>
      <w:szCs w:val="20"/>
    </w:rPr>
  </w:style>
  <w:style w:type="paragraph" w:styleId="CommentSubject">
    <w:name w:val="annotation subject"/>
    <w:basedOn w:val="CommentText"/>
    <w:next w:val="CommentText"/>
    <w:link w:val="CommentSubjectChar"/>
    <w:semiHidden/>
    <w:unhideWhenUsed/>
    <w:rsid w:val="00B81B26"/>
    <w:rPr>
      <w:b/>
      <w:bCs/>
    </w:rPr>
  </w:style>
  <w:style w:type="character" w:customStyle="1" w:styleId="CommentSubjectChar">
    <w:name w:val="Comment Subject Char"/>
    <w:basedOn w:val="CommentTextChar2"/>
    <w:link w:val="CommentSubject"/>
    <w:semiHidden/>
    <w:rsid w:val="00B81B26"/>
    <w:rPr>
      <w:rFonts w:ascii="Calibri" w:eastAsia="Calibri" w:hAnsi="Calibri" w:cs="Times New Roman"/>
      <w:b/>
      <w:bCs/>
      <w:sz w:val="20"/>
      <w:szCs w:val="20"/>
    </w:rPr>
  </w:style>
  <w:style w:type="paragraph" w:styleId="MacroText">
    <w:name w:val="macro"/>
    <w:link w:val="MacroTextChar"/>
    <w:semiHidden/>
    <w:unhideWhenUsed/>
    <w:rsid w:val="00B81B26"/>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B81B26"/>
    <w:rPr>
      <w:rFonts w:ascii="Consolas" w:eastAsia="Calibri" w:hAnsi="Consolas" w:cs="Times New Roman"/>
      <w:sz w:val="20"/>
      <w:szCs w:val="20"/>
    </w:rPr>
  </w:style>
  <w:style w:type="paragraph" w:styleId="Date">
    <w:name w:val="Date"/>
    <w:basedOn w:val="Normal"/>
    <w:next w:val="Normal"/>
    <w:link w:val="DateChar"/>
    <w:semiHidden/>
    <w:unhideWhenUsed/>
    <w:rsid w:val="00B81B26"/>
    <w:rPr>
      <w:rFonts w:ascii="Tahoma" w:eastAsia="Times New Roman" w:hAnsi="Tahoma"/>
      <w:lang w:val="de-AT" w:eastAsia="de-DE"/>
    </w:rPr>
  </w:style>
  <w:style w:type="character" w:customStyle="1" w:styleId="DateChar1">
    <w:name w:val="Date Char1"/>
    <w:basedOn w:val="DefaultParagraphFont"/>
    <w:semiHidden/>
    <w:rsid w:val="00B81B26"/>
    <w:rPr>
      <w:rFonts w:ascii="Calibri" w:eastAsia="Calibri" w:hAnsi="Calibri" w:cs="Times New Roman"/>
    </w:rPr>
  </w:style>
  <w:style w:type="character" w:customStyle="1" w:styleId="Emphasis1">
    <w:name w:val="Emphasis1"/>
    <w:semiHidden/>
    <w:rsid w:val="00B81B26"/>
  </w:style>
  <w:style w:type="paragraph" w:styleId="NoteHeading">
    <w:name w:val="Note Heading"/>
    <w:basedOn w:val="Normal"/>
    <w:next w:val="Normal"/>
    <w:link w:val="NoteHeadingChar"/>
    <w:semiHidden/>
    <w:unhideWhenUsed/>
    <w:rsid w:val="00B81B26"/>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B81B26"/>
    <w:rPr>
      <w:rFonts w:ascii="Calibri" w:eastAsia="Calibri" w:hAnsi="Calibri" w:cs="Times New Roman"/>
    </w:rPr>
  </w:style>
  <w:style w:type="paragraph" w:styleId="BodyTextFirstIndent2">
    <w:name w:val="Body Text First Indent 2"/>
    <w:basedOn w:val="BodyTextIndent"/>
    <w:link w:val="BodyTextFirstIndent2Char"/>
    <w:semiHidden/>
    <w:unhideWhenUsed/>
    <w:rsid w:val="00B81B26"/>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B81B26"/>
    <w:rPr>
      <w:rFonts w:ascii="Calibri" w:eastAsia="Calibri" w:hAnsi="Calibri" w:cs="Times New Roman"/>
    </w:rPr>
  </w:style>
  <w:style w:type="paragraph" w:styleId="Salutation">
    <w:name w:val="Salutation"/>
    <w:basedOn w:val="Normal"/>
    <w:next w:val="Normal"/>
    <w:link w:val="SalutationChar"/>
    <w:semiHidden/>
    <w:unhideWhenUsed/>
    <w:rsid w:val="00B81B26"/>
    <w:rPr>
      <w:rFonts w:ascii="Tahoma" w:eastAsia="Times New Roman" w:hAnsi="Tahoma"/>
      <w:lang w:val="de-AT" w:eastAsia="de-DE"/>
    </w:rPr>
  </w:style>
  <w:style w:type="character" w:customStyle="1" w:styleId="SalutationChar1">
    <w:name w:val="Salutation Char1"/>
    <w:basedOn w:val="DefaultParagraphFont"/>
    <w:semiHidden/>
    <w:rsid w:val="00B81B26"/>
    <w:rPr>
      <w:rFonts w:ascii="Calibri" w:eastAsia="Calibri" w:hAnsi="Calibri" w:cs="Times New Roman"/>
    </w:rPr>
  </w:style>
  <w:style w:type="paragraph" w:styleId="Closing">
    <w:name w:val="Closing"/>
    <w:basedOn w:val="Normal"/>
    <w:link w:val="ClosingChar"/>
    <w:semiHidden/>
    <w:unhideWhenUsed/>
    <w:rsid w:val="00B81B26"/>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B81B26"/>
    <w:rPr>
      <w:rFonts w:ascii="Calibri" w:eastAsia="Calibri" w:hAnsi="Calibri" w:cs="Times New Roman"/>
    </w:rPr>
  </w:style>
  <w:style w:type="paragraph" w:styleId="Signature">
    <w:name w:val="Signature"/>
    <w:basedOn w:val="Normal"/>
    <w:link w:val="SignatureChar"/>
    <w:semiHidden/>
    <w:unhideWhenUsed/>
    <w:rsid w:val="00B81B26"/>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B81B26"/>
    <w:rPr>
      <w:rFonts w:ascii="Calibri" w:eastAsia="Calibri" w:hAnsi="Calibri" w:cs="Times New Roman"/>
    </w:rPr>
  </w:style>
  <w:style w:type="paragraph" w:styleId="E-mailSignature">
    <w:name w:val="E-mail Signature"/>
    <w:basedOn w:val="Normal"/>
    <w:link w:val="E-mailSignatureChar"/>
    <w:semiHidden/>
    <w:unhideWhenUsed/>
    <w:rsid w:val="00B81B26"/>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B81B26"/>
    <w:rPr>
      <w:rFonts w:ascii="Calibri" w:eastAsia="Calibri" w:hAnsi="Calibri" w:cs="Times New Roman"/>
    </w:rPr>
  </w:style>
  <w:style w:type="paragraph" w:styleId="BodyText2">
    <w:name w:val="Body Text 2"/>
    <w:basedOn w:val="Normal"/>
    <w:link w:val="BodyText2Char"/>
    <w:uiPriority w:val="99"/>
    <w:semiHidden/>
    <w:unhideWhenUsed/>
    <w:rsid w:val="00B81B26"/>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B81B26"/>
    <w:rPr>
      <w:rFonts w:ascii="Calibri" w:eastAsia="Calibri" w:hAnsi="Calibri" w:cs="Times New Roman"/>
    </w:rPr>
  </w:style>
  <w:style w:type="paragraph" w:styleId="BodyTextIndent2">
    <w:name w:val="Body Text Indent 2"/>
    <w:basedOn w:val="Normal"/>
    <w:link w:val="BodyTextIndent2Char"/>
    <w:uiPriority w:val="99"/>
    <w:semiHidden/>
    <w:unhideWhenUsed/>
    <w:rsid w:val="00B81B26"/>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B81B26"/>
    <w:rPr>
      <w:rFonts w:ascii="Calibri" w:eastAsia="Calibri" w:hAnsi="Calibri" w:cs="Times New Roman"/>
    </w:rPr>
  </w:style>
  <w:style w:type="paragraph" w:styleId="BodyTextIndent3">
    <w:name w:val="Body Text Indent 3"/>
    <w:basedOn w:val="Normal"/>
    <w:link w:val="BodyTextIndent3Char"/>
    <w:uiPriority w:val="99"/>
    <w:semiHidden/>
    <w:unhideWhenUsed/>
    <w:rsid w:val="00B81B26"/>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B81B26"/>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B81B26"/>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B81B26"/>
    <w:rPr>
      <w:rFonts w:ascii="Calibri" w:eastAsia="Calibri" w:hAnsi="Calibri" w:cs="Times New Roman"/>
    </w:rPr>
  </w:style>
  <w:style w:type="character" w:customStyle="1" w:styleId="CharChar11">
    <w:name w:val="Char Char11"/>
    <w:semiHidden/>
    <w:locked/>
    <w:rsid w:val="00B81B26"/>
    <w:rPr>
      <w:rFonts w:ascii="Tahoma" w:hAnsi="Tahoma" w:cs="Tahoma" w:hint="default"/>
      <w:i/>
      <w:iCs/>
      <w:sz w:val="22"/>
      <w:szCs w:val="22"/>
      <w:lang w:val="de-AT" w:eastAsia="de-DE" w:bidi="ar-SA"/>
    </w:rPr>
  </w:style>
  <w:style w:type="character" w:customStyle="1" w:styleId="CharChar36">
    <w:name w:val="Char Char36"/>
    <w:locked/>
    <w:rsid w:val="00B81B26"/>
    <w:rPr>
      <w:rFonts w:ascii="Arial" w:hAnsi="Arial" w:cs="Arial" w:hint="default"/>
      <w:b/>
      <w:bCs/>
      <w:kern w:val="32"/>
      <w:sz w:val="32"/>
      <w:szCs w:val="32"/>
      <w:lang w:val="sq-AL" w:eastAsia="en-US" w:bidi="ar-SA"/>
    </w:rPr>
  </w:style>
  <w:style w:type="character" w:customStyle="1" w:styleId="CharChar35">
    <w:name w:val="Char Char35"/>
    <w:locked/>
    <w:rsid w:val="00B81B26"/>
    <w:rPr>
      <w:rFonts w:ascii="Arial" w:hAnsi="Arial" w:cs="Arial" w:hint="default"/>
      <w:b/>
      <w:bCs/>
      <w:i/>
      <w:iCs/>
      <w:sz w:val="28"/>
      <w:szCs w:val="28"/>
      <w:lang w:val="sq-AL" w:eastAsia="en-US" w:bidi="ar-SA"/>
    </w:rPr>
  </w:style>
  <w:style w:type="character" w:customStyle="1" w:styleId="CharChar34">
    <w:name w:val="Char Char34"/>
    <w:locked/>
    <w:rsid w:val="00B81B26"/>
    <w:rPr>
      <w:rFonts w:ascii="Tahoma" w:hAnsi="Tahoma" w:cs="Tahoma" w:hint="default"/>
      <w:b/>
      <w:bCs w:val="0"/>
      <w:kern w:val="28"/>
      <w:sz w:val="24"/>
      <w:szCs w:val="28"/>
      <w:lang w:val="de-AT" w:eastAsia="de-DE" w:bidi="ar-SA"/>
    </w:rPr>
  </w:style>
  <w:style w:type="character" w:customStyle="1" w:styleId="CharChar33">
    <w:name w:val="Char Char33"/>
    <w:locked/>
    <w:rsid w:val="00B81B26"/>
    <w:rPr>
      <w:rFonts w:ascii="Tahoma" w:hAnsi="Tahoma" w:cs="Tahoma" w:hint="default"/>
      <w:b/>
      <w:bCs w:val="0"/>
      <w:i/>
      <w:iCs w:val="0"/>
      <w:kern w:val="28"/>
      <w:sz w:val="22"/>
      <w:szCs w:val="22"/>
      <w:lang w:val="de-AT" w:eastAsia="de-DE" w:bidi="ar-SA"/>
    </w:rPr>
  </w:style>
  <w:style w:type="character" w:customStyle="1" w:styleId="CharChar32">
    <w:name w:val="Char Char32"/>
    <w:locked/>
    <w:rsid w:val="00B81B26"/>
    <w:rPr>
      <w:rFonts w:ascii="Tahoma" w:hAnsi="Tahoma" w:cs="Tahoma" w:hint="default"/>
      <w:b/>
      <w:bCs w:val="0"/>
      <w:i/>
      <w:iCs w:val="0"/>
      <w:kern w:val="28"/>
      <w:sz w:val="22"/>
      <w:szCs w:val="22"/>
      <w:lang w:val="de-AT" w:eastAsia="de-DE" w:bidi="ar-SA"/>
    </w:rPr>
  </w:style>
  <w:style w:type="character" w:customStyle="1" w:styleId="CharChar31">
    <w:name w:val="Char Char31"/>
    <w:locked/>
    <w:rsid w:val="00B81B26"/>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B81B26"/>
    <w:rPr>
      <w:rFonts w:ascii="Courier New" w:hAnsi="Courier New" w:cs="Courier New" w:hint="default"/>
      <w:szCs w:val="22"/>
      <w:lang w:val="de-AT" w:eastAsia="de-DE" w:bidi="ar-SA"/>
    </w:rPr>
  </w:style>
  <w:style w:type="character" w:customStyle="1" w:styleId="CharChar30">
    <w:name w:val="Char Char30"/>
    <w:locked/>
    <w:rsid w:val="00B81B26"/>
    <w:rPr>
      <w:rFonts w:ascii="Tahoma" w:hAnsi="Tahoma" w:cs="Tahoma" w:hint="default"/>
      <w:b/>
      <w:bCs w:val="0"/>
      <w:i/>
      <w:iCs w:val="0"/>
      <w:kern w:val="28"/>
      <w:sz w:val="22"/>
      <w:szCs w:val="22"/>
      <w:lang w:val="de-AT" w:eastAsia="de-DE" w:bidi="ar-SA"/>
    </w:rPr>
  </w:style>
  <w:style w:type="character" w:customStyle="1" w:styleId="CharChar29">
    <w:name w:val="Char Char29"/>
    <w:locked/>
    <w:rsid w:val="00B81B26"/>
    <w:rPr>
      <w:rFonts w:ascii="Tahoma" w:hAnsi="Tahoma" w:cs="Tahoma" w:hint="default"/>
      <w:b/>
      <w:bCs w:val="0"/>
      <w:i/>
      <w:iCs w:val="0"/>
      <w:kern w:val="28"/>
      <w:sz w:val="22"/>
      <w:szCs w:val="22"/>
      <w:lang w:val="de-AT" w:eastAsia="de-DE" w:bidi="ar-SA"/>
    </w:rPr>
  </w:style>
  <w:style w:type="character" w:customStyle="1" w:styleId="CharChar28">
    <w:name w:val="Char Char28"/>
    <w:locked/>
    <w:rsid w:val="00B81B26"/>
    <w:rPr>
      <w:rFonts w:ascii="Tahoma" w:hAnsi="Tahoma" w:cs="Tahoma" w:hint="default"/>
      <w:b/>
      <w:bCs w:val="0"/>
      <w:i/>
      <w:iCs w:val="0"/>
      <w:kern w:val="28"/>
      <w:sz w:val="22"/>
      <w:szCs w:val="22"/>
      <w:lang w:val="de-AT" w:eastAsia="de-DE" w:bidi="ar-SA"/>
    </w:rPr>
  </w:style>
  <w:style w:type="character" w:customStyle="1" w:styleId="CharChar27">
    <w:name w:val="Char Char27"/>
    <w:locked/>
    <w:rsid w:val="00B81B26"/>
    <w:rPr>
      <w:rFonts w:ascii="Calibri" w:eastAsia="Calibri" w:hAnsi="Calibri" w:hint="default"/>
      <w:lang w:val="sq-AL" w:eastAsia="en-US" w:bidi="ar-SA"/>
    </w:rPr>
  </w:style>
  <w:style w:type="character" w:customStyle="1" w:styleId="CharChar24">
    <w:name w:val="Char Char24"/>
    <w:locked/>
    <w:rsid w:val="00B81B26"/>
    <w:rPr>
      <w:rFonts w:ascii="Tahoma" w:hAnsi="Tahoma" w:cs="Tahoma" w:hint="default"/>
      <w:sz w:val="22"/>
      <w:szCs w:val="22"/>
      <w:lang w:val="de-AT" w:eastAsia="de-DE" w:bidi="ar-SA"/>
    </w:rPr>
  </w:style>
  <w:style w:type="character" w:customStyle="1" w:styleId="CharChar23">
    <w:name w:val="Char Char23"/>
    <w:locked/>
    <w:rsid w:val="00B81B26"/>
    <w:rPr>
      <w:rFonts w:ascii="Tahoma" w:hAnsi="Tahoma" w:cs="Tahoma" w:hint="default"/>
      <w:sz w:val="22"/>
      <w:szCs w:val="22"/>
      <w:lang w:val="de-AT" w:eastAsia="de-DE" w:bidi="ar-SA"/>
    </w:rPr>
  </w:style>
  <w:style w:type="character" w:customStyle="1" w:styleId="CharChar22">
    <w:name w:val="Char Char22"/>
    <w:semiHidden/>
    <w:locked/>
    <w:rsid w:val="00B81B26"/>
    <w:rPr>
      <w:rFonts w:ascii="Courier New" w:hAnsi="Courier New" w:cs="Courier New" w:hint="default"/>
      <w:sz w:val="22"/>
      <w:szCs w:val="22"/>
      <w:lang w:val="de-DE" w:eastAsia="de-DE" w:bidi="ar-SA"/>
    </w:rPr>
  </w:style>
  <w:style w:type="character" w:customStyle="1" w:styleId="CharChar21">
    <w:name w:val="Char Char21"/>
    <w:locked/>
    <w:rsid w:val="00B81B26"/>
    <w:rPr>
      <w:rFonts w:ascii="Tahoma" w:hAnsi="Tahoma" w:cs="Tahoma" w:hint="default"/>
      <w:b/>
      <w:bCs w:val="0"/>
      <w:kern w:val="28"/>
      <w:sz w:val="36"/>
      <w:szCs w:val="36"/>
      <w:lang w:val="de-AT" w:eastAsia="de-DE" w:bidi="ar-SA"/>
    </w:rPr>
  </w:style>
  <w:style w:type="character" w:customStyle="1" w:styleId="CharChar12">
    <w:name w:val="Char Char12"/>
    <w:semiHidden/>
    <w:locked/>
    <w:rsid w:val="00B81B26"/>
    <w:rPr>
      <w:rFonts w:ascii="Tahoma" w:hAnsi="Tahoma" w:cs="Tahoma" w:hint="default"/>
      <w:sz w:val="22"/>
      <w:szCs w:val="22"/>
      <w:lang w:val="de-AT" w:eastAsia="de-DE" w:bidi="ar-SA"/>
    </w:rPr>
  </w:style>
  <w:style w:type="character" w:customStyle="1" w:styleId="CharChar9">
    <w:name w:val="Char Char9"/>
    <w:semiHidden/>
    <w:locked/>
    <w:rsid w:val="00B81B26"/>
    <w:rPr>
      <w:rFonts w:ascii="Tahoma" w:hAnsi="Tahoma" w:cs="Tahoma" w:hint="default"/>
      <w:sz w:val="22"/>
      <w:szCs w:val="22"/>
      <w:lang w:val="de-AT" w:eastAsia="de-DE" w:bidi="ar-SA"/>
    </w:rPr>
  </w:style>
  <w:style w:type="character" w:customStyle="1" w:styleId="CharChar25">
    <w:name w:val="Char Char25"/>
    <w:semiHidden/>
    <w:locked/>
    <w:rsid w:val="00B81B26"/>
    <w:rPr>
      <w:rFonts w:ascii="Tahoma" w:hAnsi="Tahoma" w:cs="Tahoma" w:hint="default"/>
      <w:sz w:val="22"/>
      <w:szCs w:val="22"/>
      <w:lang w:val="de-AT" w:eastAsia="de-DE" w:bidi="ar-SA"/>
    </w:rPr>
  </w:style>
  <w:style w:type="character" w:customStyle="1" w:styleId="CharChar15">
    <w:name w:val="Char Char15"/>
    <w:semiHidden/>
    <w:locked/>
    <w:rsid w:val="00B81B26"/>
    <w:rPr>
      <w:rFonts w:ascii="Tahoma" w:hAnsi="Tahoma" w:cs="Tahoma" w:hint="default"/>
      <w:sz w:val="22"/>
      <w:szCs w:val="22"/>
      <w:lang w:val="de-AT" w:eastAsia="de-DE" w:bidi="ar-SA"/>
    </w:rPr>
  </w:style>
  <w:style w:type="character" w:customStyle="1" w:styleId="CharChar16">
    <w:name w:val="Char Char16"/>
    <w:semiHidden/>
    <w:locked/>
    <w:rsid w:val="00B81B26"/>
    <w:rPr>
      <w:rFonts w:ascii="Tahoma" w:hAnsi="Tahoma" w:cs="Arial" w:hint="default"/>
      <w:sz w:val="24"/>
      <w:szCs w:val="24"/>
      <w:lang w:val="de-AT" w:eastAsia="de-DE" w:bidi="ar-SA"/>
    </w:rPr>
  </w:style>
  <w:style w:type="character" w:customStyle="1" w:styleId="CharChar20">
    <w:name w:val="Char Char20"/>
    <w:locked/>
    <w:rsid w:val="00B81B26"/>
    <w:rPr>
      <w:rFonts w:ascii="Tahoma" w:hAnsi="Tahoma" w:cs="Tahoma" w:hint="default"/>
      <w:b/>
      <w:bCs w:val="0"/>
      <w:kern w:val="28"/>
      <w:sz w:val="32"/>
      <w:szCs w:val="36"/>
      <w:lang w:val="de-AT" w:eastAsia="de-DE" w:bidi="ar-SA"/>
    </w:rPr>
  </w:style>
  <w:style w:type="character" w:customStyle="1" w:styleId="CharChar13">
    <w:name w:val="Char Char13"/>
    <w:semiHidden/>
    <w:locked/>
    <w:rsid w:val="00B81B26"/>
    <w:rPr>
      <w:rFonts w:ascii="Tahoma" w:hAnsi="Tahoma" w:cs="Tahoma" w:hint="default"/>
      <w:sz w:val="22"/>
      <w:szCs w:val="22"/>
      <w:lang w:val="de-AT" w:eastAsia="de-DE" w:bidi="ar-SA"/>
    </w:rPr>
  </w:style>
  <w:style w:type="character" w:customStyle="1" w:styleId="CharChar19">
    <w:name w:val="Char Char19"/>
    <w:semiHidden/>
    <w:locked/>
    <w:rsid w:val="00B81B26"/>
    <w:rPr>
      <w:rFonts w:ascii="Tahoma" w:hAnsi="Tahoma" w:cs="Tahoma" w:hint="default"/>
      <w:sz w:val="22"/>
      <w:szCs w:val="22"/>
      <w:lang w:val="de-AT" w:eastAsia="de-DE" w:bidi="ar-SA"/>
    </w:rPr>
  </w:style>
  <w:style w:type="character" w:customStyle="1" w:styleId="CharChar3">
    <w:name w:val="Char Char3"/>
    <w:semiHidden/>
    <w:locked/>
    <w:rsid w:val="00B81B26"/>
  </w:style>
  <w:style w:type="character" w:customStyle="1" w:styleId="CharChar14">
    <w:name w:val="Char Char14"/>
    <w:semiHidden/>
    <w:locked/>
    <w:rsid w:val="00B81B26"/>
  </w:style>
  <w:style w:type="character" w:customStyle="1" w:styleId="CharChar17">
    <w:name w:val="Char Char17"/>
    <w:locked/>
    <w:rsid w:val="00B81B26"/>
    <w:rPr>
      <w:rFonts w:ascii="Tahoma" w:hAnsi="Tahoma" w:cs="Tahoma" w:hint="default"/>
      <w:sz w:val="22"/>
      <w:szCs w:val="22"/>
      <w:lang w:val="de-AT" w:eastAsia="de-DE" w:bidi="ar-SA"/>
    </w:rPr>
  </w:style>
  <w:style w:type="character" w:customStyle="1" w:styleId="CharChar7">
    <w:name w:val="Char Char7"/>
    <w:semiHidden/>
    <w:locked/>
    <w:rsid w:val="00B81B26"/>
    <w:rPr>
      <w:rFonts w:ascii="Tahoma" w:hAnsi="Tahoma" w:cs="Tahoma" w:hint="default"/>
      <w:sz w:val="22"/>
      <w:szCs w:val="22"/>
      <w:lang w:val="de-AT" w:eastAsia="de-DE" w:bidi="ar-SA"/>
    </w:rPr>
  </w:style>
  <w:style w:type="character" w:customStyle="1" w:styleId="CharChar6">
    <w:name w:val="Char Char6"/>
    <w:semiHidden/>
    <w:locked/>
    <w:rsid w:val="00B81B26"/>
    <w:rPr>
      <w:rFonts w:ascii="Tahoma" w:hAnsi="Tahoma" w:cs="Tahoma" w:hint="default"/>
      <w:sz w:val="16"/>
      <w:szCs w:val="16"/>
      <w:lang w:val="de-AT" w:eastAsia="de-DE" w:bidi="ar-SA"/>
    </w:rPr>
  </w:style>
  <w:style w:type="character" w:customStyle="1" w:styleId="CharChar5">
    <w:name w:val="Char Char5"/>
    <w:semiHidden/>
    <w:locked/>
    <w:rsid w:val="00B81B26"/>
    <w:rPr>
      <w:rFonts w:ascii="Tahoma" w:hAnsi="Tahoma" w:cs="Tahoma" w:hint="default"/>
      <w:sz w:val="22"/>
      <w:szCs w:val="22"/>
      <w:lang w:val="de-AT" w:eastAsia="de-DE" w:bidi="ar-SA"/>
    </w:rPr>
  </w:style>
  <w:style w:type="character" w:customStyle="1" w:styleId="CharChar4">
    <w:name w:val="Char Char4"/>
    <w:semiHidden/>
    <w:locked/>
    <w:rsid w:val="00B81B26"/>
    <w:rPr>
      <w:rFonts w:ascii="Tahoma" w:hAnsi="Tahoma" w:cs="Tahoma" w:hint="default"/>
      <w:sz w:val="16"/>
      <w:szCs w:val="16"/>
      <w:lang w:val="de-AT" w:eastAsia="de-DE" w:bidi="ar-SA"/>
    </w:rPr>
  </w:style>
  <w:style w:type="character" w:customStyle="1" w:styleId="CharChar18">
    <w:name w:val="Char Char18"/>
    <w:semiHidden/>
    <w:locked/>
    <w:rsid w:val="00B81B26"/>
    <w:rPr>
      <w:rFonts w:ascii="Tahoma" w:hAnsi="Tahoma" w:cs="Tahoma" w:hint="default"/>
      <w:sz w:val="22"/>
      <w:szCs w:val="22"/>
      <w:lang w:val="de-AT" w:eastAsia="de-DE" w:bidi="ar-SA"/>
    </w:rPr>
  </w:style>
  <w:style w:type="character" w:customStyle="1" w:styleId="CharChar8">
    <w:name w:val="Char Char8"/>
    <w:locked/>
    <w:rsid w:val="00B81B26"/>
    <w:rPr>
      <w:rFonts w:ascii="Tahoma" w:hAnsi="Tahoma" w:cs="Tahoma" w:hint="default"/>
      <w:sz w:val="22"/>
      <w:szCs w:val="22"/>
      <w:lang w:val="de-AT" w:eastAsia="de-DE" w:bidi="ar-SA"/>
    </w:rPr>
  </w:style>
  <w:style w:type="character" w:customStyle="1" w:styleId="CharChar2">
    <w:name w:val="Char Char2"/>
    <w:locked/>
    <w:rsid w:val="00B81B26"/>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B81B26"/>
    <w:rPr>
      <w:rFonts w:ascii="Tahoma" w:hAnsi="Tahoma" w:cs="Tahoma" w:hint="default"/>
      <w:sz w:val="16"/>
      <w:szCs w:val="16"/>
      <w:lang w:val="sq-AL" w:eastAsia="en-US" w:bidi="ar-SA"/>
    </w:rPr>
  </w:style>
  <w:style w:type="character" w:customStyle="1" w:styleId="CommentTextChar11">
    <w:name w:val="Comment Text Char11"/>
    <w:aliases w:val="Char Char37"/>
    <w:semiHidden/>
    <w:rsid w:val="00B81B26"/>
    <w:rPr>
      <w:rFonts w:ascii="Calibri" w:hAnsi="Calibri" w:hint="default"/>
      <w:lang w:val="sq-AL"/>
    </w:rPr>
  </w:style>
  <w:style w:type="paragraph" w:styleId="NormalIndent">
    <w:name w:val="Normal Indent"/>
    <w:basedOn w:val="Normal"/>
    <w:link w:val="NormalIndentChar"/>
    <w:semiHidden/>
    <w:unhideWhenUsed/>
    <w:rsid w:val="00B81B26"/>
    <w:pPr>
      <w:ind w:left="720"/>
    </w:pPr>
    <w:rPr>
      <w:rFonts w:ascii="Tahoma" w:eastAsia="Times New Roman" w:hAnsi="Tahoma"/>
      <w:lang w:val="de-AT" w:eastAsia="de-DE"/>
    </w:rPr>
  </w:style>
  <w:style w:type="character" w:customStyle="1" w:styleId="DeltaViewInsertion">
    <w:name w:val="DeltaView Insertion"/>
    <w:uiPriority w:val="99"/>
    <w:rsid w:val="00B81B26"/>
    <w:rPr>
      <w:color w:val="0000FF"/>
      <w:spacing w:val="0"/>
      <w:u w:val="double"/>
    </w:rPr>
  </w:style>
  <w:style w:type="character" w:customStyle="1" w:styleId="az12">
    <w:name w:val="az12"/>
    <w:uiPriority w:val="99"/>
    <w:rsid w:val="00B81B26"/>
    <w:rPr>
      <w:rFonts w:ascii="Times New Roman" w:hAnsi="Times New Roman" w:cs="Times New Roman" w:hint="default"/>
      <w:sz w:val="24"/>
    </w:rPr>
  </w:style>
  <w:style w:type="character" w:customStyle="1" w:styleId="Style20">
    <w:name w:val="Style2"/>
    <w:basedOn w:val="Point1Char"/>
    <w:uiPriority w:val="1"/>
    <w:qFormat/>
    <w:rsid w:val="00B81B26"/>
    <w:rPr>
      <w:rFonts w:ascii="Calibri" w:eastAsia="Times New Roman" w:hAnsi="Calibri" w:cs="Times New Roman"/>
      <w:sz w:val="24"/>
      <w:szCs w:val="24"/>
      <w:lang w:val="en-GB" w:eastAsia="en-GB"/>
    </w:rPr>
  </w:style>
  <w:style w:type="character" w:customStyle="1" w:styleId="Style2Char">
    <w:name w:val="Style2 Char"/>
    <w:locked/>
    <w:rsid w:val="00B81B26"/>
    <w:rPr>
      <w:rFonts w:ascii="Times New Roman" w:eastAsia="Times New Roman" w:hAnsi="Times New Roman" w:cs="Times New Roman" w:hint="default"/>
      <w:color w:val="0070C0"/>
      <w:sz w:val="28"/>
      <w:szCs w:val="24"/>
      <w:lang w:val="sq-AL"/>
    </w:rPr>
  </w:style>
  <w:style w:type="character" w:customStyle="1" w:styleId="longtext1">
    <w:name w:val="long_text1"/>
    <w:rsid w:val="00B81B26"/>
    <w:rPr>
      <w:sz w:val="20"/>
      <w:szCs w:val="20"/>
    </w:rPr>
  </w:style>
  <w:style w:type="character" w:customStyle="1" w:styleId="En-tteoupieddepage0">
    <w:name w:val="En-tête ou pied de page"/>
    <w:basedOn w:val="En-tteoupieddepage"/>
    <w:uiPriority w:val="99"/>
    <w:rsid w:val="00B81B26"/>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B81B26"/>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B81B26"/>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B81B26"/>
    <w:rPr>
      <w:rFonts w:ascii="Times New Roman" w:hAnsi="Times New Roman" w:cs="Times New Roman"/>
      <w:u w:val="single"/>
      <w:shd w:val="clear" w:color="auto" w:fill="FFFFFF"/>
    </w:rPr>
  </w:style>
  <w:style w:type="character" w:customStyle="1" w:styleId="super">
    <w:name w:val="super"/>
    <w:basedOn w:val="DefaultParagraphFont"/>
    <w:rsid w:val="00B81B26"/>
  </w:style>
  <w:style w:type="character" w:customStyle="1" w:styleId="italic">
    <w:name w:val="italic"/>
    <w:basedOn w:val="DefaultParagraphFont"/>
    <w:rsid w:val="00B81B26"/>
  </w:style>
  <w:style w:type="character" w:customStyle="1" w:styleId="shorttext">
    <w:name w:val="short_text"/>
    <w:basedOn w:val="DefaultParagraphFont"/>
    <w:rsid w:val="00B81B26"/>
  </w:style>
  <w:style w:type="character" w:customStyle="1" w:styleId="boldface">
    <w:name w:val="boldface"/>
    <w:basedOn w:val="DefaultParagraphFont"/>
    <w:rsid w:val="00B81B26"/>
  </w:style>
  <w:style w:type="character" w:customStyle="1" w:styleId="italics">
    <w:name w:val="italics"/>
    <w:basedOn w:val="DefaultParagraphFont"/>
    <w:rsid w:val="00B81B26"/>
  </w:style>
  <w:style w:type="character" w:customStyle="1" w:styleId="superscript">
    <w:name w:val="superscript"/>
    <w:basedOn w:val="DefaultParagraphFont"/>
    <w:rsid w:val="00B81B26"/>
  </w:style>
  <w:style w:type="character" w:customStyle="1" w:styleId="ParagrafiCharChar">
    <w:name w:val="Paragrafi Char Char"/>
    <w:rsid w:val="00B81B26"/>
    <w:rPr>
      <w:rFonts w:ascii="CG Times" w:hAnsi="CG Times" w:hint="default"/>
      <w:sz w:val="22"/>
      <w:lang w:val="en-US" w:eastAsia="en-US" w:bidi="ar-SA"/>
    </w:rPr>
  </w:style>
  <w:style w:type="character" w:customStyle="1" w:styleId="st">
    <w:name w:val="st"/>
    <w:basedOn w:val="DefaultParagraphFont"/>
    <w:rsid w:val="00B81B26"/>
  </w:style>
  <w:style w:type="character" w:customStyle="1" w:styleId="TitleChar2">
    <w:name w:val="Title Char2"/>
    <w:uiPriority w:val="99"/>
    <w:locked/>
    <w:rsid w:val="00B81B26"/>
    <w:rPr>
      <w:rFonts w:ascii="Arrus BT" w:eastAsia="MS Mincho" w:hAnsi="Arrus BT" w:cs="Arrus BT" w:hint="default"/>
      <w:b/>
      <w:bCs/>
      <w:sz w:val="32"/>
      <w:szCs w:val="32"/>
      <w:lang w:val="en-US" w:eastAsia="en-US"/>
    </w:rPr>
  </w:style>
  <w:style w:type="character" w:customStyle="1" w:styleId="MessageHeaderLabel">
    <w:name w:val="Message Header Label"/>
    <w:rsid w:val="00B81B26"/>
    <w:rPr>
      <w:rFonts w:ascii="Arial Black" w:hAnsi="Arial Black" w:hint="default"/>
      <w:spacing w:val="-10"/>
      <w:sz w:val="18"/>
    </w:rPr>
  </w:style>
  <w:style w:type="character" w:customStyle="1" w:styleId="FontStyle85">
    <w:name w:val="Font Style85"/>
    <w:basedOn w:val="DefaultParagraphFont"/>
    <w:uiPriority w:val="99"/>
    <w:rsid w:val="00B81B26"/>
    <w:rPr>
      <w:rFonts w:ascii="Garamond" w:hAnsi="Garamond" w:cs="Garamond" w:hint="default"/>
      <w:sz w:val="22"/>
      <w:szCs w:val="22"/>
    </w:rPr>
  </w:style>
  <w:style w:type="character" w:customStyle="1" w:styleId="arial14">
    <w:name w:val="arial14"/>
    <w:rsid w:val="00B81B26"/>
  </w:style>
  <w:style w:type="character" w:customStyle="1" w:styleId="ju-005fpara--char">
    <w:name w:val="ju-005fpara--char"/>
    <w:basedOn w:val="DefaultParagraphFont"/>
    <w:rsid w:val="00B81B26"/>
  </w:style>
  <w:style w:type="character" w:customStyle="1" w:styleId="eheadnotes">
    <w:name w:val="eheadnotes"/>
    <w:rsid w:val="00B81B26"/>
    <w:rPr>
      <w:rFonts w:ascii="Times New Roman" w:hAnsi="Times New Roman" w:cs="Times New Roman" w:hint="default"/>
    </w:rPr>
  </w:style>
  <w:style w:type="character" w:customStyle="1" w:styleId="edate">
    <w:name w:val="edate"/>
    <w:rsid w:val="00B81B26"/>
    <w:rPr>
      <w:rFonts w:ascii="Times New Roman" w:hAnsi="Times New Roman" w:cs="Times New Roman" w:hint="default"/>
    </w:rPr>
  </w:style>
  <w:style w:type="character" w:customStyle="1" w:styleId="enumber">
    <w:name w:val="enumber"/>
    <w:rsid w:val="00B81B26"/>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B81B26"/>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B81B26"/>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81B26"/>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81B26"/>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81B26"/>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81B26"/>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81B26"/>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81B26"/>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81B26"/>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81B26"/>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B81B26"/>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81B26"/>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81B26"/>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81B26"/>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81B26"/>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B81B26"/>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81B26"/>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81B26"/>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B81B26"/>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81B26"/>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B81B26"/>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81B26"/>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81B26"/>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B81B26"/>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B81B26"/>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B81B26"/>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B81B26"/>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B81B2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B81B26"/>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B81B2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B81B26"/>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B81B26"/>
    <w:pPr>
      <w:numPr>
        <w:numId w:val="1"/>
      </w:numPr>
      <w:contextualSpacing/>
    </w:pPr>
  </w:style>
  <w:style w:type="paragraph" w:styleId="ListBullet">
    <w:name w:val="List Bullet"/>
    <w:basedOn w:val="Normal"/>
    <w:semiHidden/>
    <w:unhideWhenUsed/>
    <w:rsid w:val="00B81B26"/>
    <w:pPr>
      <w:numPr>
        <w:numId w:val="3"/>
      </w:numPr>
      <w:contextualSpacing/>
    </w:pPr>
  </w:style>
  <w:style w:type="paragraph" w:styleId="ListBullet2">
    <w:name w:val="List Bullet 2"/>
    <w:basedOn w:val="Normal"/>
    <w:semiHidden/>
    <w:unhideWhenUsed/>
    <w:rsid w:val="00B81B26"/>
    <w:pPr>
      <w:numPr>
        <w:numId w:val="5"/>
      </w:numPr>
      <w:contextualSpacing/>
    </w:pPr>
  </w:style>
  <w:style w:type="paragraph" w:styleId="ListBullet3">
    <w:name w:val="List Bullet 3"/>
    <w:basedOn w:val="Normal"/>
    <w:semiHidden/>
    <w:unhideWhenUsed/>
    <w:rsid w:val="00B81B26"/>
    <w:pPr>
      <w:numPr>
        <w:numId w:val="6"/>
      </w:numPr>
      <w:contextualSpacing/>
    </w:pPr>
  </w:style>
  <w:style w:type="paragraph" w:styleId="ListBullet4">
    <w:name w:val="List Bullet 4"/>
    <w:basedOn w:val="Normal"/>
    <w:semiHidden/>
    <w:unhideWhenUsed/>
    <w:rsid w:val="00B81B26"/>
    <w:pPr>
      <w:numPr>
        <w:numId w:val="7"/>
      </w:numPr>
      <w:contextualSpacing/>
    </w:pPr>
  </w:style>
  <w:style w:type="paragraph" w:styleId="ListBullet5">
    <w:name w:val="List Bullet 5"/>
    <w:basedOn w:val="Normal"/>
    <w:semiHidden/>
    <w:unhideWhenUsed/>
    <w:rsid w:val="00B81B26"/>
    <w:pPr>
      <w:numPr>
        <w:numId w:val="8"/>
      </w:numPr>
      <w:contextualSpacing/>
    </w:pPr>
  </w:style>
  <w:style w:type="paragraph" w:styleId="ListNumber2">
    <w:name w:val="List Number 2"/>
    <w:basedOn w:val="Normal"/>
    <w:semiHidden/>
    <w:unhideWhenUsed/>
    <w:rsid w:val="00B81B26"/>
    <w:pPr>
      <w:numPr>
        <w:numId w:val="9"/>
      </w:numPr>
      <w:contextualSpacing/>
    </w:pPr>
  </w:style>
  <w:style w:type="paragraph" w:styleId="ListNumber3">
    <w:name w:val="List Number 3"/>
    <w:basedOn w:val="Normal"/>
    <w:semiHidden/>
    <w:unhideWhenUsed/>
    <w:rsid w:val="00B81B26"/>
    <w:pPr>
      <w:numPr>
        <w:numId w:val="10"/>
      </w:numPr>
      <w:contextualSpacing/>
    </w:pPr>
  </w:style>
  <w:style w:type="paragraph" w:styleId="ListNumber4">
    <w:name w:val="List Number 4"/>
    <w:basedOn w:val="Normal"/>
    <w:semiHidden/>
    <w:unhideWhenUsed/>
    <w:rsid w:val="00B81B26"/>
    <w:pPr>
      <w:numPr>
        <w:numId w:val="11"/>
      </w:numPr>
      <w:contextualSpacing/>
    </w:pPr>
  </w:style>
  <w:style w:type="numbering" w:styleId="111111">
    <w:name w:val="Outline List 2"/>
    <w:basedOn w:val="NoList"/>
    <w:semiHidden/>
    <w:unhideWhenUsed/>
    <w:rsid w:val="00B81B26"/>
    <w:pPr>
      <w:numPr>
        <w:numId w:val="14"/>
      </w:numPr>
    </w:pPr>
  </w:style>
  <w:style w:type="numbering" w:customStyle="1" w:styleId="aAhs">
    <w:name w:val="aAhs"/>
    <w:uiPriority w:val="99"/>
    <w:rsid w:val="00B81B26"/>
    <w:pPr>
      <w:numPr>
        <w:numId w:val="15"/>
      </w:numPr>
    </w:pPr>
  </w:style>
  <w:style w:type="numbering" w:customStyle="1" w:styleId="Style3">
    <w:name w:val="Style3"/>
    <w:rsid w:val="00B81B26"/>
    <w:pPr>
      <w:numPr>
        <w:numId w:val="16"/>
      </w:numPr>
    </w:pPr>
  </w:style>
  <w:style w:type="numbering" w:styleId="ArticleSection">
    <w:name w:val="Outline List 3"/>
    <w:basedOn w:val="NoList"/>
    <w:semiHidden/>
    <w:unhideWhenUsed/>
    <w:rsid w:val="00B81B26"/>
    <w:pPr>
      <w:numPr>
        <w:numId w:val="17"/>
      </w:numPr>
    </w:pPr>
  </w:style>
  <w:style w:type="numbering" w:styleId="1ai">
    <w:name w:val="Outline List 1"/>
    <w:basedOn w:val="NoList"/>
    <w:semiHidden/>
    <w:unhideWhenUsed/>
    <w:rsid w:val="00B81B26"/>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577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1181</Words>
  <Characters>6735</Characters>
  <Application>Microsoft Office Word</Application>
  <DocSecurity>0</DocSecurity>
  <Lines>56</Lines>
  <Paragraphs>15</Paragraphs>
  <ScaleCrop>false</ScaleCrop>
  <Company/>
  <LinksUpToDate>false</LinksUpToDate>
  <CharactersWithSpaces>7901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2019-02-11T09:21:00Z</dcterms:created>
  <dcterms:modified xsi:type="dcterms:W3CDTF">2019-02-11T09:22:00Z</dcterms:modified>
</cp:coreProperties>
</file>