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60BB40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URDHËR</w:t>
      </w:r>
    </w:p>
    <w:p w14:paraId="0F35ED15" w14:textId="5C88FE96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770E5D"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490, datë 25.9.2025</w:t>
      </w:r>
    </w:p>
    <w:p w14:paraId="614425DB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51D18FAE" w14:textId="17D4633F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sz w:val="24"/>
          <w:szCs w:val="24"/>
        </w:rPr>
      </w:pPr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PËR</w:t>
      </w:r>
      <w:r w:rsidRPr="00770E5D">
        <w:rPr>
          <w:rFonts w:ascii="Garamond" w:eastAsiaTheme="minorHAnsi" w:hAnsi="Garamond"/>
          <w:b/>
          <w:bCs/>
          <w:sz w:val="24"/>
          <w:szCs w:val="24"/>
        </w:rPr>
        <w:t xml:space="preserve"> </w:t>
      </w:r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DELEGIMIN E KOMPETENCAVE</w:t>
      </w:r>
    </w:p>
    <w:p w14:paraId="6F81DFAC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0889FEB5" w14:textId="46ECFF78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Në mbështetje të pikës 4</w:t>
      </w:r>
      <w:r w:rsidR="00770E5D" w:rsidRPr="00770E5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të nenit 102</w:t>
      </w:r>
      <w:r w:rsidR="00770E5D" w:rsidRPr="00770E5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të Kushtetutës së Republikës së Shqipërisë, neneve 22, 28 dhe 29</w:t>
      </w:r>
      <w:r w:rsidR="00770E5D" w:rsidRPr="00770E5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të ligjit nr. 44/2015</w:t>
      </w:r>
      <w:r w:rsidR="00770E5D" w:rsidRPr="00770E5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“Kodi i Procedurave Administrative të Republikës së Shqipërisë”, të pikës 2, të nenit 11</w:t>
      </w:r>
      <w:r w:rsidR="00770E5D" w:rsidRPr="00770E5D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të ligjit nr. 90/2012, “Për organizimin dhe funksionimin e administratës shtetërore”, </w:t>
      </w:r>
    </w:p>
    <w:p w14:paraId="30FD12B6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7C3A95B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aps/>
          <w:sz w:val="24"/>
          <w:szCs w:val="24"/>
        </w:rPr>
      </w:pPr>
      <w:r w:rsidRPr="00770E5D">
        <w:rPr>
          <w:rFonts w:ascii="Garamond" w:eastAsiaTheme="minorHAnsi" w:hAnsi="Garamond"/>
          <w:bCs/>
          <w:caps/>
          <w:color w:val="000000"/>
          <w:sz w:val="24"/>
          <w:szCs w:val="24"/>
        </w:rPr>
        <w:t>URDHëROJ:</w:t>
      </w:r>
    </w:p>
    <w:p w14:paraId="2844EEB6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</w:p>
    <w:p w14:paraId="77869042" w14:textId="05716B55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1. Delegimin e kompetencave të titullarit të Ministrisë së Arsimit, z. Erzen </w:t>
      </w:r>
      <w:proofErr w:type="spellStart"/>
      <w:r w:rsidRPr="00770E5D">
        <w:rPr>
          <w:rFonts w:ascii="Garamond" w:eastAsiaTheme="minorHAnsi" w:hAnsi="Garamond"/>
          <w:color w:val="000000"/>
          <w:sz w:val="24"/>
          <w:szCs w:val="24"/>
        </w:rPr>
        <w:t>Tola</w:t>
      </w:r>
      <w:proofErr w:type="spellEnd"/>
      <w:r w:rsidR="00082D3F">
        <w:rPr>
          <w:rFonts w:ascii="Garamond" w:eastAsiaTheme="minorHAnsi" w:hAnsi="Garamond"/>
          <w:color w:val="000000"/>
          <w:sz w:val="24"/>
          <w:szCs w:val="24"/>
        </w:rPr>
        <w:t>,</w:t>
      </w: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Sekretar i Përgjithshëm, si vijon:</w:t>
      </w:r>
    </w:p>
    <w:p w14:paraId="00593382" w14:textId="1DBE6503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a) të nënshkruajë autorizimet për përfaqësimin ligjor të Ministrisë së Arsimit, në emër të nëpunësit që do të përfaqësojë ministrinë në të gjitha gjykatat dhe shkallët e gjykimit, duke përfshirë kërkesëpadi, kërkesë, shtim, pakësim, saktësim apo heqje dorë nga objekti i kërkesëpadisë, kundërpadi, ankim dhe rekurs kundër vendimeve të ndërmjetme dhe përfundimtare, kërkesë për pezullim, kërkesë për përjashtim gjyqtari, si dhe çdo kërkesë tjetër që ka lidhje apo del nga rrethanat e gjykimit të kësaj çështjeje, si edhe t’i nënshkruajë ato. Përfaqësuesi i autorizuar nga z. Erzen </w:t>
      </w:r>
      <w:proofErr w:type="spellStart"/>
      <w:r w:rsidRPr="00770E5D">
        <w:rPr>
          <w:rFonts w:ascii="Garamond" w:eastAsiaTheme="minorHAnsi" w:hAnsi="Garamond"/>
          <w:color w:val="000000"/>
          <w:sz w:val="24"/>
          <w:szCs w:val="24"/>
        </w:rPr>
        <w:t>Tola</w:t>
      </w:r>
      <w:proofErr w:type="spellEnd"/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, Sekretar i Përgjithshëm, i përcaktuar sipas kësaj pike, ka të drejtë të kryejë çdo veprim procedural përpara gjykatës, </w:t>
      </w:r>
      <w:proofErr w:type="spellStart"/>
      <w:r w:rsidRPr="00770E5D">
        <w:rPr>
          <w:rFonts w:ascii="Garamond" w:eastAsiaTheme="minorHAnsi" w:hAnsi="Garamond"/>
          <w:color w:val="000000"/>
          <w:sz w:val="24"/>
          <w:szCs w:val="24"/>
        </w:rPr>
        <w:t>konform</w:t>
      </w:r>
      <w:proofErr w:type="spellEnd"/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parashikimeve të ligjit nr. 44/2015, “Kodi i Procedurave Administrative të Republikës së Shqipërisë”, përveç rasteve kur kjo e drejtë kufizohet në aktin e autorizimit;</w:t>
      </w:r>
    </w:p>
    <w:p w14:paraId="7919BBB2" w14:textId="2BFFC04B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b) delegimin e kompetencave të titullarit të autoritetit </w:t>
      </w:r>
      <w:proofErr w:type="spellStart"/>
      <w:r w:rsidRPr="00770E5D">
        <w:rPr>
          <w:rFonts w:ascii="Garamond" w:eastAsiaTheme="minorHAnsi" w:hAnsi="Garamond"/>
          <w:color w:val="000000"/>
          <w:sz w:val="24"/>
          <w:szCs w:val="24"/>
        </w:rPr>
        <w:t>kontraktor</w:t>
      </w:r>
      <w:proofErr w:type="spellEnd"/>
      <w:r w:rsidRPr="00770E5D">
        <w:rPr>
          <w:rFonts w:ascii="Garamond" w:eastAsiaTheme="minorHAnsi" w:hAnsi="Garamond"/>
          <w:color w:val="000000"/>
          <w:sz w:val="24"/>
          <w:szCs w:val="24"/>
        </w:rPr>
        <w:t>, për të gjitha procedurat e prokurimeve publike me fonde buxhetore dhe të huaja për Ministrinë e Arsimit;</w:t>
      </w:r>
    </w:p>
    <w:p w14:paraId="6B4281B7" w14:textId="202D56AB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c) autorizimet për dërgim me shërbim të punonjësve të Ministrisë së Arsimit, jashtë qendrës së punës, brenda vendit të punës, në largësi mbi 100 km dhe jashtë vendit;</w:t>
      </w:r>
    </w:p>
    <w:p w14:paraId="717740D7" w14:textId="13B3EFFE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d) vënien në zbatim të programit institucional të transparencës dhe rishikimin e tij sipas së njëjtës procedurë që është miratuar, në zbatim të legjislacionit në fuqi për të drejtën e informimit;</w:t>
      </w:r>
    </w:p>
    <w:p w14:paraId="06FF5F96" w14:textId="25DE9A14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e) të nënshkruajë marrëveshje për Ministrinë e Arsimit, me palë të treta sipas përcaktimeve në legjislacionin në fuqi;</w:t>
      </w:r>
    </w:p>
    <w:p w14:paraId="0E02AB20" w14:textId="42B2A5CB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f) të nënshkruajë urdhrat për ngritjen e grupeve të punës me nëpunës të Ministrisë së Arsimit apo strukturave vartëse për hartimin e </w:t>
      </w:r>
      <w:proofErr w:type="spellStart"/>
      <w:r w:rsidRPr="00770E5D">
        <w:rPr>
          <w:rFonts w:ascii="Garamond" w:eastAsiaTheme="minorHAnsi" w:hAnsi="Garamond"/>
          <w:color w:val="000000"/>
          <w:sz w:val="24"/>
          <w:szCs w:val="24"/>
        </w:rPr>
        <w:t>projektakteve</w:t>
      </w:r>
      <w:proofErr w:type="spellEnd"/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ligjore dhe nënligjore që mbulon fusha e përgjegjësisë shtetërore të Ministrisë së Arsimit;</w:t>
      </w:r>
    </w:p>
    <w:p w14:paraId="176BB5DB" w14:textId="4195BC8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g) të nënshkruajë ankimet administrative drejtuar Ministrisë së Arsimit;</w:t>
      </w:r>
    </w:p>
    <w:p w14:paraId="1A2C5420" w14:textId="2EEBFFBD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h) të nënshkruajë komunikimet e Ministrisë së Arsimit me institucionet e administratës publike dhe palët e treta, me përjashtim të atyre komunikimeve dhe akteve që ligji ia atribuon ministrit;</w:t>
      </w:r>
    </w:p>
    <w:p w14:paraId="31A400A1" w14:textId="67428928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i) të kryejë çdo veprimtari tjetër të ngarkuar me urdhër apo autorizim nga ministri.</w:t>
      </w:r>
    </w:p>
    <w:p w14:paraId="013787E6" w14:textId="27D606A2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2. Delegimi i kompetencave mbaron me shfuqizimin e aktit të delegimit, si edhe me pushimin e ekzistencës së organit delegues ose të deleguar.</w:t>
      </w:r>
    </w:p>
    <w:p w14:paraId="29FE89C0" w14:textId="57325161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3. Urdhri nr. 523, datë 15.9.2023, “Për delegimin e kompetencave”, shfuqizohet. </w:t>
      </w:r>
    </w:p>
    <w:p w14:paraId="3FE97CE7" w14:textId="6755B843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4. Ngarkohet </w:t>
      </w:r>
      <w:r w:rsidR="00770E5D">
        <w:rPr>
          <w:rFonts w:ascii="Garamond" w:eastAsiaTheme="minorHAnsi" w:hAnsi="Garamond"/>
          <w:color w:val="000000"/>
          <w:sz w:val="24"/>
          <w:szCs w:val="24"/>
        </w:rPr>
        <w:t>z</w:t>
      </w:r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. Erzen </w:t>
      </w:r>
      <w:proofErr w:type="spellStart"/>
      <w:r w:rsidRPr="00770E5D">
        <w:rPr>
          <w:rFonts w:ascii="Garamond" w:eastAsiaTheme="minorHAnsi" w:hAnsi="Garamond"/>
          <w:color w:val="000000"/>
          <w:sz w:val="24"/>
          <w:szCs w:val="24"/>
        </w:rPr>
        <w:t>Tola</w:t>
      </w:r>
      <w:proofErr w:type="spellEnd"/>
      <w:r w:rsidRPr="00770E5D">
        <w:rPr>
          <w:rFonts w:ascii="Garamond" w:eastAsiaTheme="minorHAnsi" w:hAnsi="Garamond"/>
          <w:color w:val="000000"/>
          <w:sz w:val="24"/>
          <w:szCs w:val="24"/>
        </w:rPr>
        <w:t>, Sekretar i Përgjithshëm dhe të gjithë nëpunësit në Ministrinë e Arsimit</w:t>
      </w:r>
      <w:bookmarkStart w:id="0" w:name="_GoBack"/>
      <w:bookmarkEnd w:id="0"/>
      <w:r w:rsidRPr="00770E5D">
        <w:rPr>
          <w:rFonts w:ascii="Garamond" w:eastAsiaTheme="minorHAnsi" w:hAnsi="Garamond"/>
          <w:color w:val="000000"/>
          <w:sz w:val="24"/>
          <w:szCs w:val="24"/>
        </w:rPr>
        <w:t xml:space="preserve"> për zbatimin e këtij urdhri.</w:t>
      </w:r>
    </w:p>
    <w:p w14:paraId="177AF779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color w:val="000000"/>
          <w:sz w:val="24"/>
          <w:szCs w:val="24"/>
        </w:rPr>
        <w:t>Ky urdhër hyn në fuqi menjëherë dhe botohet në Fletoren Zyrtare.</w:t>
      </w:r>
    </w:p>
    <w:p w14:paraId="6374A436" w14:textId="77777777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216A1A2A" w14:textId="0B157BAF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770E5D">
        <w:rPr>
          <w:rFonts w:ascii="Garamond" w:eastAsiaTheme="minorHAnsi" w:hAnsi="Garamond"/>
          <w:bCs/>
          <w:color w:val="000000"/>
          <w:sz w:val="24"/>
          <w:szCs w:val="24"/>
        </w:rPr>
        <w:t>MINISTËR I ARSIMIT</w:t>
      </w:r>
    </w:p>
    <w:p w14:paraId="3BD8FBBC" w14:textId="471478B1" w:rsidR="009B3B89" w:rsidRPr="00770E5D" w:rsidRDefault="009B3B89" w:rsidP="009B3B8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proofErr w:type="spellStart"/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Mirela</w:t>
      </w:r>
      <w:proofErr w:type="spellEnd"/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Kumbaro</w:t>
      </w:r>
      <w:proofErr w:type="spellEnd"/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proofErr w:type="spellStart"/>
      <w:r w:rsidRPr="00770E5D">
        <w:rPr>
          <w:rFonts w:ascii="Garamond" w:eastAsiaTheme="minorHAnsi" w:hAnsi="Garamond"/>
          <w:b/>
          <w:bCs/>
          <w:color w:val="000000"/>
          <w:sz w:val="24"/>
          <w:szCs w:val="24"/>
        </w:rPr>
        <w:t>Furxhi</w:t>
      </w:r>
      <w:proofErr w:type="spellEnd"/>
    </w:p>
    <w:p w14:paraId="78A621DB" w14:textId="77777777" w:rsidR="00E23249" w:rsidRPr="00770E5D" w:rsidRDefault="00E23249" w:rsidP="009B3B89">
      <w:pPr>
        <w:spacing w:after="0" w:line="240" w:lineRule="auto"/>
        <w:jc w:val="both"/>
        <w:rPr>
          <w:rFonts w:ascii="Garamond" w:hAnsi="Garamond"/>
        </w:rPr>
      </w:pPr>
    </w:p>
    <w:sectPr w:rsidR="00E23249" w:rsidRPr="00770E5D" w:rsidSect="00770E5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0004CF" w14:textId="77777777" w:rsidR="00770E5D" w:rsidRDefault="00770E5D" w:rsidP="00D715E6">
      <w:pPr>
        <w:spacing w:after="0" w:line="240" w:lineRule="auto"/>
      </w:pPr>
      <w:r>
        <w:separator/>
      </w:r>
    </w:p>
  </w:endnote>
  <w:endnote w:type="continuationSeparator" w:id="0">
    <w:p w14:paraId="63EDA7E5" w14:textId="77777777" w:rsidR="00770E5D" w:rsidRDefault="00770E5D" w:rsidP="00D715E6">
      <w:pPr>
        <w:spacing w:after="0" w:line="240" w:lineRule="auto"/>
      </w:pPr>
      <w:r>
        <w:continuationSeparator/>
      </w:r>
    </w:p>
  </w:endnote>
  <w:endnote w:type="continuationNotice" w:id="1">
    <w:p w14:paraId="5F5CCDCA" w14:textId="77777777" w:rsidR="00696D2E" w:rsidRDefault="00696D2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43628B" w14:textId="77777777" w:rsidR="00770E5D" w:rsidRDefault="00770E5D" w:rsidP="00D715E6">
      <w:pPr>
        <w:spacing w:after="0" w:line="240" w:lineRule="auto"/>
      </w:pPr>
      <w:r>
        <w:separator/>
      </w:r>
    </w:p>
  </w:footnote>
  <w:footnote w:type="continuationSeparator" w:id="0">
    <w:p w14:paraId="7AD5E141" w14:textId="77777777" w:rsidR="00770E5D" w:rsidRDefault="00770E5D" w:rsidP="00D715E6">
      <w:pPr>
        <w:spacing w:after="0" w:line="240" w:lineRule="auto"/>
      </w:pPr>
      <w:r>
        <w:continuationSeparator/>
      </w:r>
    </w:p>
  </w:footnote>
  <w:footnote w:type="continuationNotice" w:id="1">
    <w:p w14:paraId="1C2CA17F" w14:textId="77777777" w:rsidR="00696D2E" w:rsidRDefault="00696D2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845E41"/>
    <w:multiLevelType w:val="hybridMultilevel"/>
    <w:tmpl w:val="48B242A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6"/>
  </w:num>
  <w:num w:numId="4">
    <w:abstractNumId w:val="14"/>
  </w:num>
  <w:num w:numId="5">
    <w:abstractNumId w:val="11"/>
  </w:num>
  <w:num w:numId="6">
    <w:abstractNumId w:val="8"/>
  </w:num>
  <w:num w:numId="7">
    <w:abstractNumId w:val="7"/>
  </w:num>
  <w:num w:numId="8">
    <w:abstractNumId w:val="12"/>
  </w:num>
  <w:num w:numId="9">
    <w:abstractNumId w:val="3"/>
  </w:num>
  <w:num w:numId="10">
    <w:abstractNumId w:val="15"/>
  </w:num>
  <w:num w:numId="11">
    <w:abstractNumId w:val="6"/>
  </w:num>
  <w:num w:numId="12">
    <w:abstractNumId w:val="18"/>
  </w:num>
  <w:num w:numId="13">
    <w:abstractNumId w:val="19"/>
  </w:num>
  <w:num w:numId="14">
    <w:abstractNumId w:val="2"/>
  </w:num>
  <w:num w:numId="15">
    <w:abstractNumId w:val="9"/>
  </w:num>
  <w:num w:numId="16">
    <w:abstractNumId w:val="4"/>
  </w:num>
  <w:num w:numId="17">
    <w:abstractNumId w:val="17"/>
  </w:num>
  <w:num w:numId="18">
    <w:abstractNumId w:val="13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oNotDisplayPageBoundarie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339"/>
    <w:rsid w:val="000266AB"/>
    <w:rsid w:val="00042B20"/>
    <w:rsid w:val="000575F0"/>
    <w:rsid w:val="00082D3F"/>
    <w:rsid w:val="00083CAF"/>
    <w:rsid w:val="00090B75"/>
    <w:rsid w:val="00091855"/>
    <w:rsid w:val="000F0E37"/>
    <w:rsid w:val="00166401"/>
    <w:rsid w:val="00183FAD"/>
    <w:rsid w:val="00184803"/>
    <w:rsid w:val="001A233E"/>
    <w:rsid w:val="001A3C69"/>
    <w:rsid w:val="001A7FB9"/>
    <w:rsid w:val="001C30E8"/>
    <w:rsid w:val="001D54CB"/>
    <w:rsid w:val="001F1EB8"/>
    <w:rsid w:val="001F6631"/>
    <w:rsid w:val="00211E66"/>
    <w:rsid w:val="0024339F"/>
    <w:rsid w:val="0025413A"/>
    <w:rsid w:val="00255121"/>
    <w:rsid w:val="00260B4B"/>
    <w:rsid w:val="00274921"/>
    <w:rsid w:val="0028535A"/>
    <w:rsid w:val="002A69D0"/>
    <w:rsid w:val="002C207D"/>
    <w:rsid w:val="002C6E0E"/>
    <w:rsid w:val="003273C0"/>
    <w:rsid w:val="0034168D"/>
    <w:rsid w:val="00346106"/>
    <w:rsid w:val="003742F6"/>
    <w:rsid w:val="00394553"/>
    <w:rsid w:val="003B0623"/>
    <w:rsid w:val="003D41CF"/>
    <w:rsid w:val="003D6308"/>
    <w:rsid w:val="003E19D3"/>
    <w:rsid w:val="003E72E5"/>
    <w:rsid w:val="0040481E"/>
    <w:rsid w:val="00424DCB"/>
    <w:rsid w:val="00432263"/>
    <w:rsid w:val="00447C4C"/>
    <w:rsid w:val="00464219"/>
    <w:rsid w:val="00465E14"/>
    <w:rsid w:val="00475507"/>
    <w:rsid w:val="004A73BB"/>
    <w:rsid w:val="004B13AF"/>
    <w:rsid w:val="004B7AF7"/>
    <w:rsid w:val="004F1504"/>
    <w:rsid w:val="00501D61"/>
    <w:rsid w:val="00504B74"/>
    <w:rsid w:val="0050790C"/>
    <w:rsid w:val="00511EDC"/>
    <w:rsid w:val="00553D5F"/>
    <w:rsid w:val="005765B3"/>
    <w:rsid w:val="0058392A"/>
    <w:rsid w:val="005B167C"/>
    <w:rsid w:val="005B20F9"/>
    <w:rsid w:val="005B588A"/>
    <w:rsid w:val="005D09E7"/>
    <w:rsid w:val="0061024F"/>
    <w:rsid w:val="0061223E"/>
    <w:rsid w:val="00622E52"/>
    <w:rsid w:val="00626AB2"/>
    <w:rsid w:val="00641758"/>
    <w:rsid w:val="00675DC4"/>
    <w:rsid w:val="0068710E"/>
    <w:rsid w:val="00696D2E"/>
    <w:rsid w:val="006A0EA3"/>
    <w:rsid w:val="006C1F6C"/>
    <w:rsid w:val="006E23F4"/>
    <w:rsid w:val="006F4501"/>
    <w:rsid w:val="00727F1A"/>
    <w:rsid w:val="0073544A"/>
    <w:rsid w:val="007510E9"/>
    <w:rsid w:val="007532EB"/>
    <w:rsid w:val="00770E5D"/>
    <w:rsid w:val="007742C1"/>
    <w:rsid w:val="007C4186"/>
    <w:rsid w:val="007E3C89"/>
    <w:rsid w:val="007E66BC"/>
    <w:rsid w:val="00834184"/>
    <w:rsid w:val="008366D8"/>
    <w:rsid w:val="0087159B"/>
    <w:rsid w:val="00871F58"/>
    <w:rsid w:val="0087424F"/>
    <w:rsid w:val="00875345"/>
    <w:rsid w:val="00883339"/>
    <w:rsid w:val="00890F80"/>
    <w:rsid w:val="008B1F14"/>
    <w:rsid w:val="008C4F33"/>
    <w:rsid w:val="008C5782"/>
    <w:rsid w:val="008C7626"/>
    <w:rsid w:val="008D13B1"/>
    <w:rsid w:val="008F344D"/>
    <w:rsid w:val="008F73F0"/>
    <w:rsid w:val="00910C13"/>
    <w:rsid w:val="0094597F"/>
    <w:rsid w:val="0094648A"/>
    <w:rsid w:val="00970296"/>
    <w:rsid w:val="009A0657"/>
    <w:rsid w:val="009B2A8C"/>
    <w:rsid w:val="009B3B89"/>
    <w:rsid w:val="009C247C"/>
    <w:rsid w:val="009E0CF5"/>
    <w:rsid w:val="00A0030C"/>
    <w:rsid w:val="00A112EC"/>
    <w:rsid w:val="00A13F15"/>
    <w:rsid w:val="00A20C78"/>
    <w:rsid w:val="00A21ADC"/>
    <w:rsid w:val="00A40089"/>
    <w:rsid w:val="00A43F73"/>
    <w:rsid w:val="00A566EE"/>
    <w:rsid w:val="00A6702D"/>
    <w:rsid w:val="00A732B0"/>
    <w:rsid w:val="00A76D09"/>
    <w:rsid w:val="00A944B7"/>
    <w:rsid w:val="00A95386"/>
    <w:rsid w:val="00AD2DAA"/>
    <w:rsid w:val="00AD58BE"/>
    <w:rsid w:val="00AF1149"/>
    <w:rsid w:val="00B321FB"/>
    <w:rsid w:val="00B41A9C"/>
    <w:rsid w:val="00B70A3B"/>
    <w:rsid w:val="00B90757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B2340"/>
    <w:rsid w:val="00CB5C86"/>
    <w:rsid w:val="00CC3F57"/>
    <w:rsid w:val="00CE18BE"/>
    <w:rsid w:val="00CE7370"/>
    <w:rsid w:val="00D2299F"/>
    <w:rsid w:val="00D64102"/>
    <w:rsid w:val="00D715E6"/>
    <w:rsid w:val="00D916E7"/>
    <w:rsid w:val="00DC0A9A"/>
    <w:rsid w:val="00DC0DF4"/>
    <w:rsid w:val="00DC550F"/>
    <w:rsid w:val="00DD07AE"/>
    <w:rsid w:val="00DE032C"/>
    <w:rsid w:val="00E21FFA"/>
    <w:rsid w:val="00E23249"/>
    <w:rsid w:val="00E459E4"/>
    <w:rsid w:val="00E67A8B"/>
    <w:rsid w:val="00EA5342"/>
    <w:rsid w:val="00EC0721"/>
    <w:rsid w:val="00ED7265"/>
    <w:rsid w:val="00EF27FF"/>
    <w:rsid w:val="00EF3565"/>
    <w:rsid w:val="00EF52E6"/>
    <w:rsid w:val="00F05D9E"/>
    <w:rsid w:val="00F162E3"/>
    <w:rsid w:val="00F313A9"/>
    <w:rsid w:val="00F704E6"/>
    <w:rsid w:val="00FB6717"/>
    <w:rsid w:val="00FE5060"/>
    <w:rsid w:val="00FF20A8"/>
    <w:rsid w:val="00FF3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599047"/>
  <w15:chartTrackingRefBased/>
  <w15:docId w15:val="{647E93F0-9E98-46F5-9DA6-F5147BED3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uiPriority w:val="99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styleId="TableGridLight">
    <w:name w:val="Grid Table Light"/>
    <w:basedOn w:val="TableNormal"/>
    <w:uiPriority w:val="40"/>
    <w:rsid w:val="004A73BB"/>
    <w:pPr>
      <w:spacing w:after="0" w:line="240" w:lineRule="auto"/>
    </w:pPr>
    <w:rPr>
      <w:lang w:val="en-GB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166D255AE7F4AF6854770F9EC1C727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490</Nr_x002e__x0020_akti>
    <Data_x0020_e_x0020_Krijimit xmlns="0e656187-b300-4fb0-8bf4-3a50f872073c">2025-09-29T13:32:11Z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2025-09-29T00:00:00Z</Date_x0020_protokolli>
    <Titulli xmlns="0e656187-b300-4fb0-8bf4-3a50f872073c">Për delegimin e kompetencave</Titulli>
    <Modifikuesi xmlns="0e656187-b300-4fb0-8bf4-3a50f872073c">jorina.kryeziu</Modifikuesi>
    <Nr_x002e__x0020_prot_x0020_QBZ xmlns="0e656187-b300-4fb0-8bf4-3a50f872073c">1581/1</Nr_x002e__x0020_prot_x0020_QBZ>
    <Data_x0020_e_x0020_Modifikimit xmlns="0e656187-b300-4fb0-8bf4-3a50f872073c">2025-09-30T08:58:41Z</Data_x0020_e_x0020_Modifikimit>
    <Dekretuar xmlns="0e656187-b300-4fb0-8bf4-3a50f872073c">false</Dekretuar>
    <Data xmlns="0e656187-b300-4fb0-8bf4-3a50f872073c">2025-09-25T00:00:00Z</Data>
    <Nr_x002e__x0020_protokolli_x0020_i_x0020_aktit xmlns="0e656187-b300-4fb0-8bf4-3a50f872073c">5907/1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C542D-A657-4A9D-B5D9-654F671F8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A71073-59D2-4C2D-88BC-E4146C9D6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FE1914B-442E-4815-AF14-A7AB009DFB21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1AA3D31D-C6F7-407E-8507-02681BF7051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Mirela Bimo</dc:creator>
  <cp:lastModifiedBy>Jorina Kryeziu</cp:lastModifiedBy>
  <cp:revision>7</cp:revision>
  <cp:lastPrinted>2025-09-23T13:59:00Z</cp:lastPrinted>
  <dcterms:created xsi:type="dcterms:W3CDTF">2025-09-26T09:15:00Z</dcterms:created>
  <dcterms:modified xsi:type="dcterms:W3CDTF">2025-09-30T08:25:00Z</dcterms:modified>
</cp:coreProperties>
</file>