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EEA30" w14:textId="77777777" w:rsidR="00EE37F0" w:rsidRPr="00BF67D7" w:rsidRDefault="00EE37F0" w:rsidP="00EE37F0">
      <w:pPr>
        <w:pStyle w:val="BodyText"/>
        <w:ind w:firstLine="284"/>
        <w:jc w:val="center"/>
        <w:rPr>
          <w:b/>
          <w:lang w:val="sq-AL"/>
        </w:rPr>
      </w:pPr>
      <w:r w:rsidRPr="00BF67D7">
        <w:rPr>
          <w:b/>
          <w:lang w:val="sq-AL"/>
        </w:rPr>
        <w:t xml:space="preserve">URDHËR </w:t>
      </w:r>
    </w:p>
    <w:p w14:paraId="281EEA31" w14:textId="77777777" w:rsidR="00EE37F0" w:rsidRPr="00BF67D7" w:rsidRDefault="00EE37F0" w:rsidP="00EE37F0">
      <w:pPr>
        <w:pStyle w:val="BodyText"/>
        <w:ind w:firstLine="284"/>
        <w:jc w:val="center"/>
        <w:rPr>
          <w:b/>
          <w:lang w:val="sq-AL"/>
        </w:rPr>
      </w:pPr>
      <w:r w:rsidRPr="00BF67D7">
        <w:rPr>
          <w:b/>
          <w:lang w:val="sq-AL"/>
        </w:rPr>
        <w:t>Nr. 357, datë 29.7.2022</w:t>
      </w:r>
    </w:p>
    <w:p w14:paraId="281EEA32" w14:textId="77777777" w:rsidR="00EE37F0" w:rsidRPr="00BF67D7" w:rsidRDefault="00EE37F0" w:rsidP="00EE37F0">
      <w:pPr>
        <w:pStyle w:val="BodyText"/>
        <w:ind w:firstLine="284"/>
        <w:jc w:val="center"/>
        <w:rPr>
          <w:lang w:val="sq-AL"/>
        </w:rPr>
      </w:pPr>
    </w:p>
    <w:p w14:paraId="281EEA33" w14:textId="2A72F22F" w:rsidR="00EE37F0" w:rsidRPr="00BF67D7" w:rsidRDefault="00EE37F0" w:rsidP="00DE2410">
      <w:pPr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PËR MIRATIMIN E RREGULLORES “PËR PËRCAKTIMIN E KUSHTEVE SHTESË PËR NJOHJEN E ORGANIZATAVE PRODHUESE”</w:t>
      </w:r>
    </w:p>
    <w:p w14:paraId="281EEA34" w14:textId="77777777" w:rsidR="00EE37F0" w:rsidRPr="00BF67D7" w:rsidRDefault="00EE37F0" w:rsidP="00EE37F0">
      <w:pPr>
        <w:ind w:firstLine="284"/>
        <w:jc w:val="center"/>
        <w:rPr>
          <w:rFonts w:ascii="Garamond" w:hAnsi="Garamond"/>
          <w:b w:val="0"/>
          <w:bCs w:val="0"/>
          <w:sz w:val="24"/>
        </w:rPr>
      </w:pPr>
    </w:p>
    <w:p w14:paraId="281EEA35" w14:textId="36E5F795" w:rsidR="00EE37F0" w:rsidRPr="00BF67D7" w:rsidRDefault="00EE37F0" w:rsidP="00EE37F0">
      <w:pPr>
        <w:tabs>
          <w:tab w:val="left" w:pos="4180"/>
          <w:tab w:val="left" w:pos="948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Në mbështetje të pikës 4, të nenit 102 të Kushtetutës, të pikës 2</w:t>
      </w:r>
      <w:r w:rsidR="00DE2410">
        <w:rPr>
          <w:rFonts w:ascii="Garamond" w:hAnsi="Garamond"/>
          <w:b w:val="0"/>
          <w:bCs w:val="0"/>
          <w:sz w:val="24"/>
        </w:rPr>
        <w:t>,</w:t>
      </w:r>
      <w:r w:rsidRPr="00BF67D7">
        <w:rPr>
          <w:rFonts w:ascii="Garamond" w:hAnsi="Garamond"/>
          <w:b w:val="0"/>
          <w:bCs w:val="0"/>
          <w:sz w:val="24"/>
        </w:rPr>
        <w:t xml:space="preserve"> të nenit 62</w:t>
      </w:r>
      <w:r w:rsidR="00DE2410">
        <w:rPr>
          <w:rFonts w:ascii="Garamond" w:hAnsi="Garamond"/>
          <w:b w:val="0"/>
          <w:bCs w:val="0"/>
          <w:sz w:val="24"/>
        </w:rPr>
        <w:t>,</w:t>
      </w:r>
      <w:r w:rsidRPr="00BF67D7">
        <w:rPr>
          <w:rFonts w:ascii="Garamond" w:hAnsi="Garamond"/>
          <w:b w:val="0"/>
          <w:bCs w:val="0"/>
          <w:sz w:val="24"/>
        </w:rPr>
        <w:t xml:space="preserve"> të ligjit nr. 64/2012</w:t>
      </w:r>
      <w:r w:rsidR="00DE2410">
        <w:rPr>
          <w:rFonts w:ascii="Garamond" w:hAnsi="Garamond"/>
          <w:b w:val="0"/>
          <w:bCs w:val="0"/>
          <w:sz w:val="24"/>
        </w:rPr>
        <w:t>,</w:t>
      </w:r>
      <w:r w:rsidRPr="00BF67D7">
        <w:rPr>
          <w:rFonts w:ascii="Garamond" w:hAnsi="Garamond"/>
          <w:b w:val="0"/>
          <w:bCs w:val="0"/>
          <w:sz w:val="24"/>
        </w:rPr>
        <w:t xml:space="preserve"> “Për peshkimin”, </w:t>
      </w:r>
    </w:p>
    <w:p w14:paraId="281EEA36" w14:textId="77777777" w:rsidR="00EE37F0" w:rsidRPr="00BF67D7" w:rsidRDefault="00EE37F0" w:rsidP="00EE37F0">
      <w:pPr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URDHËROJ:</w:t>
      </w:r>
    </w:p>
    <w:p w14:paraId="281EEA37" w14:textId="77777777" w:rsidR="00EE37F0" w:rsidRPr="00BF67D7" w:rsidRDefault="00EE37F0" w:rsidP="00EE37F0">
      <w:pPr>
        <w:ind w:firstLine="284"/>
        <w:jc w:val="center"/>
        <w:rPr>
          <w:rFonts w:ascii="Garamond" w:hAnsi="Garamond"/>
          <w:b w:val="0"/>
          <w:bCs w:val="0"/>
          <w:sz w:val="24"/>
        </w:rPr>
      </w:pPr>
    </w:p>
    <w:p w14:paraId="281EEA38" w14:textId="77777777" w:rsidR="00EE37F0" w:rsidRPr="00BF67D7" w:rsidRDefault="00EE37F0" w:rsidP="00EE37F0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1. Miratimin e rregullores “Për përcaktimin e kushteve shtesë për njohjen e organizatave prodhuese”, sipas tekstit që i bashkëlidhet këtij urdhri dhe është pjesë përbërëse e tij. </w:t>
      </w:r>
    </w:p>
    <w:p w14:paraId="281EEA39" w14:textId="6AE4BCAD" w:rsidR="00EE37F0" w:rsidRPr="00BF67D7" w:rsidRDefault="00EE37F0" w:rsidP="00EE37F0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2.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Ngarkohet Drejtoria e Politikave dhe Programeve të Peshkimit dhe Akuakulturës dhe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Drejtoria e Shërbimeve të Peshkimit dhe Akuakulturës për ndjekjen dhe zbatimin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e këtij urdhri.</w:t>
      </w:r>
    </w:p>
    <w:p w14:paraId="281EEA3A" w14:textId="77777777" w:rsidR="00EE37F0" w:rsidRPr="00BF67D7" w:rsidRDefault="00EE37F0" w:rsidP="00EE37F0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Ky urdhër hyn në fuqi menjëherë dhe botohet në Fletoren Zyrtare.</w:t>
      </w:r>
    </w:p>
    <w:p w14:paraId="281EEA3B" w14:textId="77777777" w:rsidR="00EE37F0" w:rsidRPr="00BF67D7" w:rsidRDefault="00EE37F0" w:rsidP="00EE37F0">
      <w:pPr>
        <w:ind w:firstLine="284"/>
        <w:jc w:val="both"/>
        <w:rPr>
          <w:rFonts w:ascii="Garamond" w:hAnsi="Garamond"/>
          <w:sz w:val="24"/>
        </w:rPr>
      </w:pPr>
    </w:p>
    <w:p w14:paraId="281EEA3C" w14:textId="79A99160" w:rsidR="00EE37F0" w:rsidRPr="00BF67D7" w:rsidRDefault="003E529B" w:rsidP="00F16D38">
      <w:pPr>
        <w:pStyle w:val="BodyText"/>
        <w:ind w:firstLine="284"/>
        <w:jc w:val="right"/>
        <w:rPr>
          <w:lang w:val="sq-AL"/>
        </w:rPr>
      </w:pPr>
      <w:r>
        <w:rPr>
          <w:bCs/>
          <w:lang w:val="sq-AL"/>
        </w:rPr>
        <w:t>MINISTËR I</w:t>
      </w:r>
      <w:bookmarkStart w:id="0" w:name="_GoBack"/>
      <w:bookmarkEnd w:id="0"/>
      <w:r w:rsidR="00EE37F0" w:rsidRPr="00BF67D7">
        <w:rPr>
          <w:bCs/>
          <w:lang w:val="sq-AL"/>
        </w:rPr>
        <w:t xml:space="preserve"> </w:t>
      </w:r>
      <w:r w:rsidR="00EE37F0" w:rsidRPr="00BF67D7">
        <w:rPr>
          <w:lang w:val="sq-AL"/>
        </w:rPr>
        <w:t>BUJQËSISË DHE ZHVILLIMIT RURAL</w:t>
      </w:r>
    </w:p>
    <w:p w14:paraId="281EEA3D" w14:textId="77777777" w:rsidR="00EE37F0" w:rsidRPr="00BF67D7" w:rsidRDefault="00F16D38" w:rsidP="00F16D38">
      <w:pPr>
        <w:ind w:firstLine="284"/>
        <w:jc w:val="right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Frida Krifca</w:t>
      </w:r>
    </w:p>
    <w:p w14:paraId="281EEA3E" w14:textId="40CFBA26" w:rsidR="00BF67D7" w:rsidRDefault="00BF67D7" w:rsidP="00EE37F0">
      <w:pPr>
        <w:tabs>
          <w:tab w:val="left" w:pos="9540"/>
        </w:tabs>
        <w:ind w:firstLine="284"/>
        <w:jc w:val="center"/>
        <w:rPr>
          <w:rFonts w:ascii="Garamond" w:hAnsi="Garamond"/>
          <w:b w:val="0"/>
          <w:bCs w:val="0"/>
          <w:color w:val="FFFFFF"/>
          <w:sz w:val="24"/>
        </w:rPr>
      </w:pPr>
    </w:p>
    <w:p w14:paraId="281EEA3F" w14:textId="77777777" w:rsidR="00EE37F0" w:rsidRPr="00BF67D7" w:rsidRDefault="00EE37F0" w:rsidP="00EE37F0">
      <w:pPr>
        <w:tabs>
          <w:tab w:val="left" w:pos="954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 xml:space="preserve">RREGULLORE </w:t>
      </w:r>
    </w:p>
    <w:p w14:paraId="281EEA40" w14:textId="77777777" w:rsidR="00EE37F0" w:rsidRPr="00BF67D7" w:rsidRDefault="00F16D38" w:rsidP="00F16D38">
      <w:pPr>
        <w:tabs>
          <w:tab w:val="left" w:pos="954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 xml:space="preserve">PËR </w:t>
      </w:r>
      <w:r w:rsidR="00EE37F0" w:rsidRPr="00BF67D7">
        <w:rPr>
          <w:rFonts w:ascii="Garamond" w:hAnsi="Garamond"/>
          <w:b w:val="0"/>
          <w:sz w:val="24"/>
        </w:rPr>
        <w:t>PËRCAKTIMIN E KUSHTEVE SHTESË PËR NJOHJEN E ORGANIZATAVE PRODHUESE</w:t>
      </w:r>
    </w:p>
    <w:p w14:paraId="281EEA41" w14:textId="77777777" w:rsidR="00EE37F0" w:rsidRPr="00BF67D7" w:rsidRDefault="00EE37F0" w:rsidP="00EE37F0">
      <w:pPr>
        <w:tabs>
          <w:tab w:val="left" w:pos="9540"/>
        </w:tabs>
        <w:ind w:firstLine="284"/>
        <w:jc w:val="center"/>
        <w:rPr>
          <w:rFonts w:ascii="Garamond" w:hAnsi="Garamond"/>
          <w:sz w:val="24"/>
        </w:rPr>
      </w:pPr>
    </w:p>
    <w:p w14:paraId="281EEA42" w14:textId="77777777" w:rsidR="00EE37F0" w:rsidRPr="00BF67D7" w:rsidRDefault="00EE37F0" w:rsidP="00EE37F0">
      <w:pPr>
        <w:tabs>
          <w:tab w:val="left" w:pos="954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Neni 1</w:t>
      </w:r>
    </w:p>
    <w:p w14:paraId="281EEA43" w14:textId="77777777" w:rsidR="00EE37F0" w:rsidRPr="00BF67D7" w:rsidRDefault="00EE37F0" w:rsidP="00EE37F0">
      <w:pPr>
        <w:tabs>
          <w:tab w:val="left" w:pos="954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Qëllimi</w:t>
      </w:r>
    </w:p>
    <w:p w14:paraId="281EEA44" w14:textId="77777777" w:rsidR="00F16D38" w:rsidRPr="00BF67D7" w:rsidRDefault="00F16D38" w:rsidP="00EE37F0">
      <w:pPr>
        <w:tabs>
          <w:tab w:val="left" w:pos="9540"/>
        </w:tabs>
        <w:ind w:firstLine="284"/>
        <w:jc w:val="center"/>
        <w:rPr>
          <w:rFonts w:ascii="Garamond" w:hAnsi="Garamond"/>
          <w:sz w:val="24"/>
        </w:rPr>
      </w:pPr>
    </w:p>
    <w:p w14:paraId="281EEA45" w14:textId="3961FCBA" w:rsidR="00EE37F0" w:rsidRPr="00BF67D7" w:rsidRDefault="00EE37F0" w:rsidP="00EE37F0">
      <w:pPr>
        <w:tabs>
          <w:tab w:val="left" w:pos="954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Qëllimi i kësaj rregulloreje është përcaktimi i kushteve shtesë për njohjen e organizatave prodhuese të sektorit të peshkimit dhe akuakulturës sipas neneve 61 dhe 61/1 të ligjit nr. 64/2012 “Për peshkimin”, të ndryshuar dhe neneve 44/1-44/2 të ligjit nr. 103/2016 “Për </w:t>
      </w:r>
      <w:r w:rsidR="00615744">
        <w:rPr>
          <w:rFonts w:ascii="Garamond" w:hAnsi="Garamond"/>
          <w:b w:val="0"/>
          <w:bCs w:val="0"/>
          <w:sz w:val="24"/>
        </w:rPr>
        <w:t>a</w:t>
      </w:r>
      <w:r w:rsidRPr="00BF67D7">
        <w:rPr>
          <w:rFonts w:ascii="Garamond" w:hAnsi="Garamond"/>
          <w:b w:val="0"/>
          <w:bCs w:val="0"/>
          <w:sz w:val="24"/>
        </w:rPr>
        <w:t>kuakulturën” , i ndryshuar.</w:t>
      </w:r>
    </w:p>
    <w:p w14:paraId="281EEA46" w14:textId="77777777" w:rsidR="00EE37F0" w:rsidRPr="00BF67D7" w:rsidRDefault="00EE37F0" w:rsidP="00EE37F0">
      <w:pPr>
        <w:tabs>
          <w:tab w:val="left" w:pos="9540"/>
        </w:tabs>
        <w:ind w:firstLine="284"/>
        <w:rPr>
          <w:rFonts w:ascii="Garamond" w:hAnsi="Garamond"/>
          <w:sz w:val="24"/>
        </w:rPr>
      </w:pPr>
    </w:p>
    <w:p w14:paraId="281EEA47" w14:textId="77777777" w:rsidR="00EE37F0" w:rsidRPr="00BF67D7" w:rsidRDefault="00EE37F0" w:rsidP="00EE37F0">
      <w:pPr>
        <w:tabs>
          <w:tab w:val="left" w:pos="954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Neni 2</w:t>
      </w:r>
    </w:p>
    <w:p w14:paraId="281EEA48" w14:textId="77777777" w:rsidR="00EE37F0" w:rsidRPr="00BF67D7" w:rsidRDefault="00EE37F0" w:rsidP="00EE37F0">
      <w:pPr>
        <w:tabs>
          <w:tab w:val="left" w:pos="954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Organizata prodhuese</w:t>
      </w:r>
    </w:p>
    <w:p w14:paraId="281EEA49" w14:textId="77777777" w:rsidR="00F16D38" w:rsidRPr="00BF67D7" w:rsidRDefault="00F16D38" w:rsidP="00EE37F0">
      <w:pPr>
        <w:tabs>
          <w:tab w:val="left" w:pos="9540"/>
        </w:tabs>
        <w:ind w:firstLine="284"/>
        <w:jc w:val="center"/>
        <w:rPr>
          <w:rFonts w:ascii="Garamond" w:hAnsi="Garamond"/>
          <w:sz w:val="24"/>
        </w:rPr>
      </w:pPr>
    </w:p>
    <w:p w14:paraId="281EEA4A" w14:textId="77777777" w:rsidR="00EE37F0" w:rsidRPr="00BF67D7" w:rsidRDefault="00EE37F0" w:rsidP="00EE37F0">
      <w:pPr>
        <w:tabs>
          <w:tab w:val="left" w:pos="954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Organizatë prodhuese nënkupton çdo organizatë prodhuese të peshkimit dhe akuakulturës që krijohet me nismën e prodhuesve sipas pikës 1, të nenit 61 të ligjit nr. 64/2012 “Për peshkimin”, të ndryshuar, dhe nenit 44/1 të ligjit “Për akuakulturën”, të ndryshuar.</w:t>
      </w:r>
    </w:p>
    <w:p w14:paraId="281EEA4B" w14:textId="77777777" w:rsidR="00EE37F0" w:rsidRPr="00BF67D7" w:rsidRDefault="00EE37F0" w:rsidP="00EE37F0">
      <w:pPr>
        <w:ind w:firstLine="284"/>
        <w:jc w:val="both"/>
        <w:rPr>
          <w:rFonts w:ascii="Garamond" w:hAnsi="Garamond"/>
          <w:b w:val="0"/>
          <w:bCs w:val="0"/>
          <w:sz w:val="24"/>
        </w:rPr>
      </w:pPr>
    </w:p>
    <w:p w14:paraId="281EEA4C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Neni 3</w:t>
      </w:r>
    </w:p>
    <w:p w14:paraId="281EEA4D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Njohja e organizatave prodhuese</w:t>
      </w:r>
    </w:p>
    <w:p w14:paraId="281EEA4E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4F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Ministria mund të njohë si organizatë prodhuese çdo grup të krijuar me iniciativën e prodhuesve në sektorin e peshkimit ose akuakulturës, me kusht që:</w:t>
      </w:r>
    </w:p>
    <w:p w14:paraId="281EEA50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a) të respektojë parimet e përmendura në nenin 4 të kësaj Rregulloreje dhe rregullat e miratuara për zbatimin e tyre;</w:t>
      </w:r>
    </w:p>
    <w:p w14:paraId="281EEA51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b) të kryejë një veprimtari ekonomike të mjaftueshme, veçanërisht për sa i përket numrit të anëtarëve ose vëllimit të prodhimit të tregtueshëm;</w:t>
      </w:r>
    </w:p>
    <w:p w14:paraId="281EEA52" w14:textId="77777777" w:rsidR="00EE37F0" w:rsidRPr="00BF67D7" w:rsidRDefault="00EE37F0" w:rsidP="00EE37F0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lastRenderedPageBreak/>
        <w:t>c) të ketë seli qendrore brenda territorit të Republikës së Shqipërisë me personalitet juridik sipas legjislacionit në fuqi;</w:t>
      </w:r>
    </w:p>
    <w:p w14:paraId="281EEA53" w14:textId="38EB00DA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ç)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të ndjekë objektivat përcaktuar n</w:t>
      </w:r>
      <w:r w:rsidR="00EF4ABE">
        <w:rPr>
          <w:rFonts w:ascii="Garamond" w:hAnsi="Garamond"/>
          <w:b w:val="0"/>
          <w:bCs w:val="0"/>
          <w:sz w:val="24"/>
        </w:rPr>
        <w:t>ë</w:t>
      </w:r>
      <w:r w:rsidRPr="00BF67D7">
        <w:rPr>
          <w:rFonts w:ascii="Garamond" w:hAnsi="Garamond"/>
          <w:b w:val="0"/>
          <w:bCs w:val="0"/>
          <w:sz w:val="24"/>
        </w:rPr>
        <w:t xml:space="preserve"> nenin 61/1, të ligjit nr. 64/2012 “Për peshkimin”, t</w:t>
      </w:r>
      <w:r w:rsidR="00615744">
        <w:rPr>
          <w:rFonts w:ascii="Garamond" w:hAnsi="Garamond"/>
          <w:b w:val="0"/>
          <w:bCs w:val="0"/>
          <w:sz w:val="24"/>
        </w:rPr>
        <w:t>ë</w:t>
      </w:r>
      <w:r w:rsidRPr="00BF67D7">
        <w:rPr>
          <w:rFonts w:ascii="Garamond" w:hAnsi="Garamond"/>
          <w:b w:val="0"/>
          <w:bCs w:val="0"/>
          <w:sz w:val="24"/>
        </w:rPr>
        <w:t xml:space="preserve"> ndryshuar, dhe të nenit 44/2</w:t>
      </w:r>
      <w:r w:rsidR="00615744">
        <w:rPr>
          <w:rFonts w:ascii="Garamond" w:hAnsi="Garamond"/>
          <w:b w:val="0"/>
          <w:bCs w:val="0"/>
          <w:sz w:val="24"/>
        </w:rPr>
        <w:t>,</w:t>
      </w:r>
      <w:r w:rsidRPr="00BF67D7">
        <w:rPr>
          <w:rFonts w:ascii="Garamond" w:hAnsi="Garamond"/>
          <w:b w:val="0"/>
          <w:bCs w:val="0"/>
          <w:sz w:val="24"/>
        </w:rPr>
        <w:t xml:space="preserve"> të ligjit “Për akuakulturën” të ndryshuar;</w:t>
      </w:r>
    </w:p>
    <w:p w14:paraId="281EEA54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d) të zbatojë rregullat në fuqi të konkurrencës;</w:t>
      </w:r>
    </w:p>
    <w:p w14:paraId="281EEA55" w14:textId="07CEB46A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dh)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të mos abuzojë me pozitën dominuese në një treg të caktuar;</w:t>
      </w:r>
    </w:p>
    <w:p w14:paraId="281EEA56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e) të sigurojë informacion të detajuar dhe të përshtatshëm në lidhje me anëtarët, administrimin dhe burimet e financimit.</w:t>
      </w:r>
    </w:p>
    <w:p w14:paraId="281EEA57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</w:p>
    <w:p w14:paraId="281EEA58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 xml:space="preserve">Neni 4 </w:t>
      </w:r>
    </w:p>
    <w:p w14:paraId="281EEA59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Funksionimi i brendshëm i organizatave prodhuese</w:t>
      </w:r>
    </w:p>
    <w:p w14:paraId="281EEA5A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5B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Funksionimi i brendshëm i organizatave prodhuese, bazohet në parimet e mëposhtme:</w:t>
      </w:r>
    </w:p>
    <w:p w14:paraId="281EEA5F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a) pajtueshmërinë nga anëtarët me rregullat e miratuara nga organizata në lidhje me shfrytëzimin, prodhimin dhe tregtimin të produkteve të peshkimit;</w:t>
      </w:r>
    </w:p>
    <w:p w14:paraId="281EEA60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b) mosdiskriminimit ndërmjet anëtarëve, veçanërisht në lidhje me kombësinë ose vendin e themelimit;</w:t>
      </w:r>
    </w:p>
    <w:p w14:paraId="281EEA61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c) vendosja e një kontributi financiar për anëtarët për financimin e organizatës;</w:t>
      </w:r>
    </w:p>
    <w:p w14:paraId="281EEA62" w14:textId="6A7D1E41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ç)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funksionimin demokratik që lejon anëtarët të kontrollojnë organizatën dhe vendimet e saj;</w:t>
      </w:r>
    </w:p>
    <w:p w14:paraId="281EEA63" w14:textId="4FC0EF2E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d) zbatimi i sanksioneve efektive, bindëse dhe proporcionale në rast mosrespektimi të detyrimeve të përcaktuara nga rregulloret e brendshme të organizatës, veçanërisht në rast të mospagesës së kontributeve financiare;</w:t>
      </w:r>
      <w:r w:rsidR="00B754BB">
        <w:rPr>
          <w:rFonts w:ascii="Garamond" w:hAnsi="Garamond"/>
          <w:b w:val="0"/>
          <w:bCs w:val="0"/>
          <w:sz w:val="24"/>
        </w:rPr>
        <w:t xml:space="preserve"> </w:t>
      </w:r>
    </w:p>
    <w:p w14:paraId="281EEA64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dh) përcaktimi i rregullave që kanë të bëjnë me pranimin e anëtarëve të rinj dhe përjashtimin e anëtarëve ekzistues;</w:t>
      </w:r>
    </w:p>
    <w:p w14:paraId="281EEA65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e) përcaktimi i rregullave kontabël dhe buxhetore të nevojshme për menaxhimin e organizatës.</w:t>
      </w:r>
    </w:p>
    <w:p w14:paraId="281EEA66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67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Neni 5</w:t>
      </w:r>
    </w:p>
    <w:p w14:paraId="281EEA68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 xml:space="preserve">Procedura dhe forma e kërkesës për njohjen e organizatave prodhuese </w:t>
      </w:r>
    </w:p>
    <w:p w14:paraId="281EEA69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6A" w14:textId="77777777" w:rsidR="00EE37F0" w:rsidRPr="00BF67D7" w:rsidRDefault="00EE37F0" w:rsidP="00EE37F0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1. Brenda tre muajve nga marrja e një kërkese për njohje, Ministria informon me shkrim organizatën prodhuese për vendimin e saj. Në rast refuzimi, vendimi duhet të jetë i arsyetuar. </w:t>
      </w:r>
    </w:p>
    <w:p w14:paraId="281EEA6B" w14:textId="77777777" w:rsidR="00EE37F0" w:rsidRPr="00BF67D7" w:rsidRDefault="00EE37F0" w:rsidP="00EE37F0">
      <w:pPr>
        <w:tabs>
          <w:tab w:val="left" w:pos="72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2. Informacioni që duhet të përfshihet në kërkesën për njohjen e organizatave prodhuese:</w:t>
      </w:r>
    </w:p>
    <w:p w14:paraId="281EEA6C" w14:textId="77777777" w:rsidR="00EE37F0" w:rsidRPr="00BF67D7" w:rsidRDefault="00EE37F0" w:rsidP="00EE37F0">
      <w:pPr>
        <w:tabs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a)</w:t>
      </w:r>
      <w:r w:rsidRPr="00BF67D7">
        <w:rPr>
          <w:rFonts w:ascii="Garamond" w:hAnsi="Garamond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statuti i organizatës prodhuese, akti i themelimit, vendimi i gjykatës për regjistrimin dhe numri i identifikimit të personit të tatueshëm (NIPT);</w:t>
      </w:r>
    </w:p>
    <w:p w14:paraId="281EEA6D" w14:textId="2CC31E6C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b)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rregullat për funksionimin e brendshëm, sipas përcaktimeve të nenit 4 të kësaj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 xml:space="preserve">Rregulloreje; </w:t>
      </w:r>
    </w:p>
    <w:p w14:paraId="281EEA6E" w14:textId="77777777" w:rsidR="00EE37F0" w:rsidRPr="00BF67D7" w:rsidRDefault="00EE37F0" w:rsidP="00EE37F0">
      <w:pPr>
        <w:tabs>
          <w:tab w:val="left" w:pos="1080"/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c) emrat e personave që mund të veprojnë në emër dhe për llogari të organizatës prodhuese;</w:t>
      </w:r>
    </w:p>
    <w:p w14:paraId="281EEA6F" w14:textId="234E678A" w:rsidR="00EE37F0" w:rsidRPr="00BF67D7" w:rsidRDefault="00EE37F0" w:rsidP="00EE37F0">
      <w:pPr>
        <w:tabs>
          <w:tab w:val="left" w:pos="980"/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ç)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evidenca që organizata prodhuese zbaton kushtet e njohjes;</w:t>
      </w:r>
    </w:p>
    <w:p w14:paraId="281EEA70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d) detajet e aktiviteteve të kryera prej saj, duke përfshirë fushën e veprimtarisë dhe produktet e peshkimit dhe akuakulturës për të cilat kërkohet njohja.</w:t>
      </w:r>
    </w:p>
    <w:p w14:paraId="281EEA71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</w:p>
    <w:p w14:paraId="281EEA72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 xml:space="preserve">Neni 6 </w:t>
      </w:r>
    </w:p>
    <w:p w14:paraId="281EEA73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 xml:space="preserve">Kontrollet dhe tërheqja e njohjes </w:t>
      </w:r>
    </w:p>
    <w:p w14:paraId="281EEA74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75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1. Ministria kryen kontrolle në intervale të rregullta për të verifikuar nëse organizatat prodhuese janë në përputhje me kushtet e njohjes të parashikuara në nenin 3 të kësaj rregulloreje, në ligjin nr. 64/2012 “Për peshkimin”, të ndryshuar dhe në ligjin nr. 103/2016 “Për akuakulturën”, të ndryshuar. </w:t>
      </w:r>
    </w:p>
    <w:p w14:paraId="281EEA76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2. Mospërputhja me kushtet e njohjes sjell revokimin e saj.</w:t>
      </w:r>
    </w:p>
    <w:p w14:paraId="281EEA77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</w:p>
    <w:p w14:paraId="281EEA78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lastRenderedPageBreak/>
        <w:t>Neni 7</w:t>
      </w:r>
    </w:p>
    <w:p w14:paraId="281EEA79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Kushtet dhe procedura për revokimin e njohjes së organizatave prodhuese</w:t>
      </w:r>
    </w:p>
    <w:p w14:paraId="281EEA7A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7B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1. Kur Ministria synon të revokojë njohjen e një organizate prodhuese, njofton organizatën për arsyet e revokimit. </w:t>
      </w:r>
    </w:p>
    <w:p w14:paraId="281EEA7C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2. Ministria i jep mundësinë organizatës në fjalë mundësinë për të paraqitur qëndrimin e saj brenda dy muajve nga marrja e njoftimit. </w:t>
      </w:r>
    </w:p>
    <w:p w14:paraId="281EEA7D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</w:p>
    <w:p w14:paraId="281EEA7E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Neni 8</w:t>
      </w:r>
    </w:p>
    <w:p w14:paraId="281EEA7F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 xml:space="preserve">Komunikimi i vendimit </w:t>
      </w:r>
    </w:p>
    <w:p w14:paraId="281EEA80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81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Ministria njofton vendimin mbi dhënien ose tërheqjen e njohjes brenda një periudhe tremujore nga marrja e tij.</w:t>
      </w:r>
    </w:p>
    <w:p w14:paraId="281EEA82" w14:textId="77777777" w:rsidR="00EE37F0" w:rsidRPr="00BF67D7" w:rsidRDefault="00EE37F0" w:rsidP="00F16D38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b w:val="0"/>
          <w:sz w:val="24"/>
        </w:rPr>
      </w:pPr>
      <w:r w:rsidRPr="00BF67D7">
        <w:rPr>
          <w:rFonts w:ascii="Garamond" w:hAnsi="Garamond"/>
          <w:b w:val="0"/>
          <w:sz w:val="24"/>
        </w:rPr>
        <w:t>Neni 9</w:t>
      </w:r>
    </w:p>
    <w:p w14:paraId="281EEA83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  <w:r w:rsidRPr="00BF67D7">
        <w:rPr>
          <w:rFonts w:ascii="Garamond" w:hAnsi="Garamond"/>
          <w:sz w:val="24"/>
        </w:rPr>
        <w:t>Informacioni mbi çmimet kufi</w:t>
      </w:r>
    </w:p>
    <w:p w14:paraId="281EEA84" w14:textId="77777777" w:rsidR="00F16D38" w:rsidRPr="00BF67D7" w:rsidRDefault="00F16D38" w:rsidP="00EE37F0">
      <w:pPr>
        <w:tabs>
          <w:tab w:val="left" w:pos="2580"/>
          <w:tab w:val="left" w:pos="3320"/>
        </w:tabs>
        <w:ind w:firstLine="284"/>
        <w:jc w:val="center"/>
        <w:rPr>
          <w:rFonts w:ascii="Garamond" w:hAnsi="Garamond"/>
          <w:sz w:val="24"/>
        </w:rPr>
      </w:pPr>
    </w:p>
    <w:p w14:paraId="281EEA85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Njoftimi i kryer nga Ministria mbi çmimet kufi që do të zbatohen nga organizata prodhuese duhet të përmbajë informacionin e mëposhtëm:</w:t>
      </w:r>
    </w:p>
    <w:p w14:paraId="281EEA86" w14:textId="77777777" w:rsidR="00EE37F0" w:rsidRPr="00BF67D7" w:rsidRDefault="00EE37F0" w:rsidP="00EE37F0">
      <w:pPr>
        <w:tabs>
          <w:tab w:val="left" w:pos="56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a) periudhën e zbatimit të çmimeve kufi;</w:t>
      </w:r>
    </w:p>
    <w:p w14:paraId="281EEA87" w14:textId="77777777" w:rsidR="00EE37F0" w:rsidRPr="00BF67D7" w:rsidRDefault="00EE37F0" w:rsidP="00EE37F0">
      <w:pPr>
        <w:tabs>
          <w:tab w:val="left" w:pos="560"/>
          <w:tab w:val="left" w:pos="900"/>
          <w:tab w:val="left" w:pos="116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b) zonën ku do të zbatohen çmimet kufi;</w:t>
      </w:r>
    </w:p>
    <w:p w14:paraId="281EEA88" w14:textId="77777777" w:rsidR="00EE37F0" w:rsidRPr="00BF67D7" w:rsidRDefault="00EE37F0" w:rsidP="00EE37F0">
      <w:pPr>
        <w:tabs>
          <w:tab w:val="left" w:pos="90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c) llojin e produktit peshkor që do t’i nënshtrohet vendosjes së çmimit kufi së bashku me kodin FAO alpha-3 për çdo specie;</w:t>
      </w:r>
    </w:p>
    <w:p w14:paraId="281EEA89" w14:textId="63BF0F3B" w:rsidR="00EE37F0" w:rsidRPr="00BF67D7" w:rsidRDefault="00EE37F0" w:rsidP="00EE37F0">
      <w:pPr>
        <w:tabs>
          <w:tab w:val="left" w:pos="2580"/>
          <w:tab w:val="left" w:pos="332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 xml:space="preserve"> ç)</w:t>
      </w:r>
      <w:r w:rsidR="00EF4ABE">
        <w:rPr>
          <w:rFonts w:ascii="Garamond" w:hAnsi="Garamond"/>
          <w:b w:val="0"/>
          <w:bCs w:val="0"/>
          <w:sz w:val="24"/>
        </w:rPr>
        <w:t xml:space="preserve"> </w:t>
      </w:r>
      <w:r w:rsidRPr="00BF67D7">
        <w:rPr>
          <w:rFonts w:ascii="Garamond" w:hAnsi="Garamond"/>
          <w:b w:val="0"/>
          <w:bCs w:val="0"/>
          <w:sz w:val="24"/>
        </w:rPr>
        <w:t>çmimin kufi të vendosur për njësi peshe, sipas specieve;</w:t>
      </w:r>
    </w:p>
    <w:p w14:paraId="281EEA8A" w14:textId="77777777" w:rsidR="00EE37F0" w:rsidRPr="00BF67D7" w:rsidRDefault="00EE37F0" w:rsidP="00EE37F0">
      <w:pPr>
        <w:tabs>
          <w:tab w:val="left" w:pos="280"/>
          <w:tab w:val="left" w:pos="900"/>
        </w:tabs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BF67D7">
        <w:rPr>
          <w:rFonts w:ascii="Garamond" w:hAnsi="Garamond"/>
          <w:b w:val="0"/>
          <w:bCs w:val="0"/>
          <w:sz w:val="24"/>
        </w:rPr>
        <w:t>d) valutën e përdorur.</w:t>
      </w:r>
    </w:p>
    <w:p w14:paraId="281EEA8B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rPr>
          <w:rFonts w:ascii="Garamond" w:hAnsi="Garamond"/>
          <w:b w:val="0"/>
          <w:bCs w:val="0"/>
          <w:sz w:val="24"/>
        </w:rPr>
      </w:pPr>
    </w:p>
    <w:p w14:paraId="281EEA8C" w14:textId="77777777" w:rsidR="00EE37F0" w:rsidRPr="00BF67D7" w:rsidRDefault="00EE37F0" w:rsidP="00EE37F0">
      <w:pPr>
        <w:tabs>
          <w:tab w:val="left" w:pos="2580"/>
          <w:tab w:val="left" w:pos="3320"/>
        </w:tabs>
        <w:ind w:firstLine="284"/>
        <w:rPr>
          <w:rFonts w:ascii="Garamond" w:hAnsi="Garamond"/>
          <w:b w:val="0"/>
          <w:bCs w:val="0"/>
          <w:sz w:val="24"/>
        </w:rPr>
      </w:pPr>
    </w:p>
    <w:p w14:paraId="281EEA8D" w14:textId="77777777" w:rsidR="00665028" w:rsidRPr="00BF67D7" w:rsidRDefault="00665028" w:rsidP="00EE37F0">
      <w:pPr>
        <w:ind w:firstLine="284"/>
        <w:rPr>
          <w:rFonts w:ascii="Garamond" w:hAnsi="Garamond"/>
          <w:sz w:val="24"/>
        </w:rPr>
      </w:pPr>
    </w:p>
    <w:sectPr w:rsidR="00665028" w:rsidRPr="00BF67D7" w:rsidSect="00BF67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4CEAF" w14:textId="77777777" w:rsidR="003E529B" w:rsidRDefault="003E529B" w:rsidP="008564C8">
      <w:r>
        <w:separator/>
      </w:r>
    </w:p>
  </w:endnote>
  <w:endnote w:type="continuationSeparator" w:id="0">
    <w:p w14:paraId="32639436" w14:textId="77777777" w:rsidR="003E529B" w:rsidRDefault="003E529B" w:rsidP="008564C8">
      <w:r>
        <w:continuationSeparator/>
      </w:r>
    </w:p>
  </w:endnote>
  <w:endnote w:type="continuationNotice" w:id="1">
    <w:p w14:paraId="0ABA204C" w14:textId="77777777" w:rsidR="003E529B" w:rsidRDefault="003E52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7EE29" w14:textId="77777777" w:rsidR="003E529B" w:rsidRDefault="003E529B" w:rsidP="008564C8">
      <w:r>
        <w:separator/>
      </w:r>
    </w:p>
  </w:footnote>
  <w:footnote w:type="continuationSeparator" w:id="0">
    <w:p w14:paraId="4CEF136D" w14:textId="77777777" w:rsidR="003E529B" w:rsidRDefault="003E529B" w:rsidP="008564C8">
      <w:r>
        <w:continuationSeparator/>
      </w:r>
    </w:p>
  </w:footnote>
  <w:footnote w:type="continuationNotice" w:id="1">
    <w:p w14:paraId="624017E6" w14:textId="77777777" w:rsidR="003E529B" w:rsidRDefault="003E52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1A6F"/>
    <w:multiLevelType w:val="hybridMultilevel"/>
    <w:tmpl w:val="990E2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04F0C"/>
    <w:multiLevelType w:val="hybridMultilevel"/>
    <w:tmpl w:val="9FC03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3373A"/>
    <w:multiLevelType w:val="hybridMultilevel"/>
    <w:tmpl w:val="C9A08F5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053EE"/>
    <w:multiLevelType w:val="hybridMultilevel"/>
    <w:tmpl w:val="6674D6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E80F62"/>
    <w:multiLevelType w:val="hybridMultilevel"/>
    <w:tmpl w:val="C9626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61CB8"/>
    <w:multiLevelType w:val="hybridMultilevel"/>
    <w:tmpl w:val="A844B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9312D"/>
    <w:multiLevelType w:val="hybridMultilevel"/>
    <w:tmpl w:val="8BAE107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1321D9"/>
    <w:multiLevelType w:val="hybridMultilevel"/>
    <w:tmpl w:val="99F4A6D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41515"/>
    <w:multiLevelType w:val="hybridMultilevel"/>
    <w:tmpl w:val="1844262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6C031B7"/>
    <w:multiLevelType w:val="hybridMultilevel"/>
    <w:tmpl w:val="DB4EDDBC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6F58A1"/>
    <w:multiLevelType w:val="hybridMultilevel"/>
    <w:tmpl w:val="CFB285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F2E5A"/>
    <w:multiLevelType w:val="hybridMultilevel"/>
    <w:tmpl w:val="9E781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DA67D9"/>
    <w:multiLevelType w:val="hybridMultilevel"/>
    <w:tmpl w:val="6A84AAE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D7520"/>
    <w:multiLevelType w:val="hybridMultilevel"/>
    <w:tmpl w:val="3F562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1461B1"/>
    <w:multiLevelType w:val="hybridMultilevel"/>
    <w:tmpl w:val="B3B0D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2251CE"/>
    <w:multiLevelType w:val="hybridMultilevel"/>
    <w:tmpl w:val="6674D62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503E67"/>
    <w:multiLevelType w:val="hybridMultilevel"/>
    <w:tmpl w:val="71E4CC0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D1992"/>
    <w:multiLevelType w:val="hybridMultilevel"/>
    <w:tmpl w:val="F1587A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1C42DA"/>
    <w:multiLevelType w:val="hybridMultilevel"/>
    <w:tmpl w:val="BC2EDA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8E6685"/>
    <w:multiLevelType w:val="hybridMultilevel"/>
    <w:tmpl w:val="A1968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B4B9C"/>
    <w:multiLevelType w:val="hybridMultilevel"/>
    <w:tmpl w:val="042EA0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5B6B50"/>
    <w:multiLevelType w:val="hybridMultilevel"/>
    <w:tmpl w:val="F1587A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4E20D8"/>
    <w:multiLevelType w:val="hybridMultilevel"/>
    <w:tmpl w:val="7C3228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801E5"/>
    <w:multiLevelType w:val="hybridMultilevel"/>
    <w:tmpl w:val="CC00BE0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53773E"/>
    <w:multiLevelType w:val="hybridMultilevel"/>
    <w:tmpl w:val="042EA0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18"/>
  </w:num>
  <w:num w:numId="4">
    <w:abstractNumId w:val="21"/>
  </w:num>
  <w:num w:numId="5">
    <w:abstractNumId w:val="11"/>
  </w:num>
  <w:num w:numId="6">
    <w:abstractNumId w:val="17"/>
  </w:num>
  <w:num w:numId="7">
    <w:abstractNumId w:val="23"/>
  </w:num>
  <w:num w:numId="8">
    <w:abstractNumId w:val="6"/>
  </w:num>
  <w:num w:numId="9">
    <w:abstractNumId w:val="24"/>
  </w:num>
  <w:num w:numId="10">
    <w:abstractNumId w:val="15"/>
  </w:num>
  <w:num w:numId="11">
    <w:abstractNumId w:val="14"/>
  </w:num>
  <w:num w:numId="12">
    <w:abstractNumId w:val="8"/>
  </w:num>
  <w:num w:numId="13">
    <w:abstractNumId w:val="1"/>
  </w:num>
  <w:num w:numId="14">
    <w:abstractNumId w:val="20"/>
  </w:num>
  <w:num w:numId="15">
    <w:abstractNumId w:val="3"/>
  </w:num>
  <w:num w:numId="16">
    <w:abstractNumId w:val="10"/>
  </w:num>
  <w:num w:numId="17">
    <w:abstractNumId w:val="9"/>
  </w:num>
  <w:num w:numId="18">
    <w:abstractNumId w:val="12"/>
  </w:num>
  <w:num w:numId="19">
    <w:abstractNumId w:val="16"/>
  </w:num>
  <w:num w:numId="20">
    <w:abstractNumId w:val="7"/>
  </w:num>
  <w:num w:numId="21">
    <w:abstractNumId w:val="2"/>
  </w:num>
  <w:num w:numId="22">
    <w:abstractNumId w:val="13"/>
  </w:num>
  <w:num w:numId="23">
    <w:abstractNumId w:val="5"/>
  </w:num>
  <w:num w:numId="24">
    <w:abstractNumId w:val="19"/>
  </w:num>
  <w:num w:numId="25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FBC"/>
    <w:rsid w:val="00010BD3"/>
    <w:rsid w:val="00013FF2"/>
    <w:rsid w:val="00020C3C"/>
    <w:rsid w:val="00020CA0"/>
    <w:rsid w:val="00022F10"/>
    <w:rsid w:val="000257E5"/>
    <w:rsid w:val="000350CC"/>
    <w:rsid w:val="000518F8"/>
    <w:rsid w:val="00051921"/>
    <w:rsid w:val="000645EB"/>
    <w:rsid w:val="00095C07"/>
    <w:rsid w:val="000A06F8"/>
    <w:rsid w:val="000A35B2"/>
    <w:rsid w:val="000A4F4C"/>
    <w:rsid w:val="000B0A4B"/>
    <w:rsid w:val="000C5912"/>
    <w:rsid w:val="000C5D3E"/>
    <w:rsid w:val="000D74FB"/>
    <w:rsid w:val="000E5CCB"/>
    <w:rsid w:val="000E7CE8"/>
    <w:rsid w:val="000F7DCF"/>
    <w:rsid w:val="00121324"/>
    <w:rsid w:val="00122036"/>
    <w:rsid w:val="00126F82"/>
    <w:rsid w:val="001308E2"/>
    <w:rsid w:val="001314B9"/>
    <w:rsid w:val="00143072"/>
    <w:rsid w:val="00147843"/>
    <w:rsid w:val="00160F48"/>
    <w:rsid w:val="001737E5"/>
    <w:rsid w:val="00174E8A"/>
    <w:rsid w:val="00194FE6"/>
    <w:rsid w:val="00197B20"/>
    <w:rsid w:val="001B1DC7"/>
    <w:rsid w:val="001B6056"/>
    <w:rsid w:val="001C0F70"/>
    <w:rsid w:val="001C1329"/>
    <w:rsid w:val="001C7BA4"/>
    <w:rsid w:val="001D51D2"/>
    <w:rsid w:val="001D56DC"/>
    <w:rsid w:val="001D6DB7"/>
    <w:rsid w:val="001F2819"/>
    <w:rsid w:val="001F3787"/>
    <w:rsid w:val="001F5185"/>
    <w:rsid w:val="001F7378"/>
    <w:rsid w:val="00212878"/>
    <w:rsid w:val="0021511D"/>
    <w:rsid w:val="00215950"/>
    <w:rsid w:val="002223F4"/>
    <w:rsid w:val="0022315E"/>
    <w:rsid w:val="00223643"/>
    <w:rsid w:val="00223C18"/>
    <w:rsid w:val="00224F72"/>
    <w:rsid w:val="00226AE8"/>
    <w:rsid w:val="002318B2"/>
    <w:rsid w:val="002350F0"/>
    <w:rsid w:val="00241093"/>
    <w:rsid w:val="002465E3"/>
    <w:rsid w:val="00250B7A"/>
    <w:rsid w:val="002533C6"/>
    <w:rsid w:val="00274403"/>
    <w:rsid w:val="00276E94"/>
    <w:rsid w:val="0028030B"/>
    <w:rsid w:val="00291D59"/>
    <w:rsid w:val="002A7C43"/>
    <w:rsid w:val="002B7C8F"/>
    <w:rsid w:val="002C11BB"/>
    <w:rsid w:val="002C151C"/>
    <w:rsid w:val="002C78AC"/>
    <w:rsid w:val="002D23F3"/>
    <w:rsid w:val="002D63E8"/>
    <w:rsid w:val="002E475B"/>
    <w:rsid w:val="002F0E57"/>
    <w:rsid w:val="002F3245"/>
    <w:rsid w:val="00312208"/>
    <w:rsid w:val="003163A6"/>
    <w:rsid w:val="00321A7B"/>
    <w:rsid w:val="00323CBC"/>
    <w:rsid w:val="003311E1"/>
    <w:rsid w:val="0033622C"/>
    <w:rsid w:val="003504E4"/>
    <w:rsid w:val="003505CE"/>
    <w:rsid w:val="003563F5"/>
    <w:rsid w:val="00357CAA"/>
    <w:rsid w:val="0036216C"/>
    <w:rsid w:val="00376035"/>
    <w:rsid w:val="003A6CBB"/>
    <w:rsid w:val="003B08DC"/>
    <w:rsid w:val="003B4A48"/>
    <w:rsid w:val="003C3F6B"/>
    <w:rsid w:val="003D0F79"/>
    <w:rsid w:val="003D2CC3"/>
    <w:rsid w:val="003D49E3"/>
    <w:rsid w:val="003D506E"/>
    <w:rsid w:val="003E529B"/>
    <w:rsid w:val="003F7DAE"/>
    <w:rsid w:val="00404D7B"/>
    <w:rsid w:val="00412B0D"/>
    <w:rsid w:val="00414A3A"/>
    <w:rsid w:val="00426CA6"/>
    <w:rsid w:val="00432C2A"/>
    <w:rsid w:val="00457904"/>
    <w:rsid w:val="00466761"/>
    <w:rsid w:val="004677AF"/>
    <w:rsid w:val="004764DA"/>
    <w:rsid w:val="0048217C"/>
    <w:rsid w:val="004857C7"/>
    <w:rsid w:val="0048644A"/>
    <w:rsid w:val="004A20ED"/>
    <w:rsid w:val="004A29F7"/>
    <w:rsid w:val="004A4587"/>
    <w:rsid w:val="004A7ACA"/>
    <w:rsid w:val="004A7F3A"/>
    <w:rsid w:val="004C6C7F"/>
    <w:rsid w:val="004D142C"/>
    <w:rsid w:val="004E3CE9"/>
    <w:rsid w:val="004F192D"/>
    <w:rsid w:val="004F2C99"/>
    <w:rsid w:val="004F7B70"/>
    <w:rsid w:val="0050679E"/>
    <w:rsid w:val="0050726D"/>
    <w:rsid w:val="005246E8"/>
    <w:rsid w:val="0053084D"/>
    <w:rsid w:val="00537853"/>
    <w:rsid w:val="005419FD"/>
    <w:rsid w:val="005461B6"/>
    <w:rsid w:val="005649A2"/>
    <w:rsid w:val="005923AB"/>
    <w:rsid w:val="00593BE6"/>
    <w:rsid w:val="00594B6E"/>
    <w:rsid w:val="00594F63"/>
    <w:rsid w:val="005A09DD"/>
    <w:rsid w:val="005A36CE"/>
    <w:rsid w:val="005A3FE3"/>
    <w:rsid w:val="005D4633"/>
    <w:rsid w:val="005E284E"/>
    <w:rsid w:val="005F2915"/>
    <w:rsid w:val="006051CE"/>
    <w:rsid w:val="00606E19"/>
    <w:rsid w:val="0061143C"/>
    <w:rsid w:val="00614D4A"/>
    <w:rsid w:val="00615744"/>
    <w:rsid w:val="00622130"/>
    <w:rsid w:val="006234F7"/>
    <w:rsid w:val="00624F99"/>
    <w:rsid w:val="00627C60"/>
    <w:rsid w:val="006321E3"/>
    <w:rsid w:val="00647F15"/>
    <w:rsid w:val="0066479D"/>
    <w:rsid w:val="00665028"/>
    <w:rsid w:val="00671C6D"/>
    <w:rsid w:val="006723DF"/>
    <w:rsid w:val="00677DB2"/>
    <w:rsid w:val="00681B9F"/>
    <w:rsid w:val="00681CF1"/>
    <w:rsid w:val="00686E4A"/>
    <w:rsid w:val="006A7B5D"/>
    <w:rsid w:val="006B1DE3"/>
    <w:rsid w:val="006C7626"/>
    <w:rsid w:val="006C7AF4"/>
    <w:rsid w:val="006D5083"/>
    <w:rsid w:val="006F2621"/>
    <w:rsid w:val="0070642E"/>
    <w:rsid w:val="00714B45"/>
    <w:rsid w:val="007303B7"/>
    <w:rsid w:val="00731813"/>
    <w:rsid w:val="007463D0"/>
    <w:rsid w:val="007474B4"/>
    <w:rsid w:val="00747FD5"/>
    <w:rsid w:val="00754BD1"/>
    <w:rsid w:val="007668BB"/>
    <w:rsid w:val="00775731"/>
    <w:rsid w:val="007772E5"/>
    <w:rsid w:val="0078096D"/>
    <w:rsid w:val="00783159"/>
    <w:rsid w:val="00783C99"/>
    <w:rsid w:val="007A02EF"/>
    <w:rsid w:val="007A58BB"/>
    <w:rsid w:val="007B0AFF"/>
    <w:rsid w:val="007B3B7F"/>
    <w:rsid w:val="007B7B89"/>
    <w:rsid w:val="007C3F51"/>
    <w:rsid w:val="007D2EA0"/>
    <w:rsid w:val="007D442F"/>
    <w:rsid w:val="007E23F2"/>
    <w:rsid w:val="007F084A"/>
    <w:rsid w:val="007F46B2"/>
    <w:rsid w:val="00803C66"/>
    <w:rsid w:val="0081356B"/>
    <w:rsid w:val="008262B6"/>
    <w:rsid w:val="00827359"/>
    <w:rsid w:val="008326B1"/>
    <w:rsid w:val="00835E74"/>
    <w:rsid w:val="00850139"/>
    <w:rsid w:val="008564C8"/>
    <w:rsid w:val="00860245"/>
    <w:rsid w:val="008606E0"/>
    <w:rsid w:val="008657B7"/>
    <w:rsid w:val="0086666A"/>
    <w:rsid w:val="00880048"/>
    <w:rsid w:val="00882912"/>
    <w:rsid w:val="00887675"/>
    <w:rsid w:val="008948D4"/>
    <w:rsid w:val="008E3EBB"/>
    <w:rsid w:val="008F7EEE"/>
    <w:rsid w:val="009024DE"/>
    <w:rsid w:val="009060DA"/>
    <w:rsid w:val="00913352"/>
    <w:rsid w:val="00917CCB"/>
    <w:rsid w:val="009253AC"/>
    <w:rsid w:val="00944EC2"/>
    <w:rsid w:val="00945552"/>
    <w:rsid w:val="00945B23"/>
    <w:rsid w:val="00961205"/>
    <w:rsid w:val="00963D80"/>
    <w:rsid w:val="009670B6"/>
    <w:rsid w:val="00967957"/>
    <w:rsid w:val="00975376"/>
    <w:rsid w:val="009A0D02"/>
    <w:rsid w:val="009A7B0A"/>
    <w:rsid w:val="009B181E"/>
    <w:rsid w:val="009B4BC9"/>
    <w:rsid w:val="009C3987"/>
    <w:rsid w:val="009D1680"/>
    <w:rsid w:val="009D1E2D"/>
    <w:rsid w:val="009D3F8E"/>
    <w:rsid w:val="009E0931"/>
    <w:rsid w:val="00A03F16"/>
    <w:rsid w:val="00A06F2B"/>
    <w:rsid w:val="00A2493B"/>
    <w:rsid w:val="00A25E4D"/>
    <w:rsid w:val="00A272C9"/>
    <w:rsid w:val="00A27976"/>
    <w:rsid w:val="00A65479"/>
    <w:rsid w:val="00A72244"/>
    <w:rsid w:val="00A76327"/>
    <w:rsid w:val="00A84AB3"/>
    <w:rsid w:val="00A84DA8"/>
    <w:rsid w:val="00A85F53"/>
    <w:rsid w:val="00A86CCA"/>
    <w:rsid w:val="00AA78C6"/>
    <w:rsid w:val="00AA7ED0"/>
    <w:rsid w:val="00AB0325"/>
    <w:rsid w:val="00AB6DFF"/>
    <w:rsid w:val="00AD3D5F"/>
    <w:rsid w:val="00AD6525"/>
    <w:rsid w:val="00AD73DB"/>
    <w:rsid w:val="00AD7963"/>
    <w:rsid w:val="00B11F58"/>
    <w:rsid w:val="00B200C1"/>
    <w:rsid w:val="00B21959"/>
    <w:rsid w:val="00B269E4"/>
    <w:rsid w:val="00B31281"/>
    <w:rsid w:val="00B3686F"/>
    <w:rsid w:val="00B368DC"/>
    <w:rsid w:val="00B37F00"/>
    <w:rsid w:val="00B40372"/>
    <w:rsid w:val="00B512D6"/>
    <w:rsid w:val="00B5385F"/>
    <w:rsid w:val="00B538FF"/>
    <w:rsid w:val="00B5783F"/>
    <w:rsid w:val="00B754BB"/>
    <w:rsid w:val="00B77A52"/>
    <w:rsid w:val="00B77D35"/>
    <w:rsid w:val="00B801B3"/>
    <w:rsid w:val="00B86F76"/>
    <w:rsid w:val="00B9641D"/>
    <w:rsid w:val="00B97057"/>
    <w:rsid w:val="00BA2B05"/>
    <w:rsid w:val="00BC16CD"/>
    <w:rsid w:val="00BC7462"/>
    <w:rsid w:val="00BD0667"/>
    <w:rsid w:val="00BD27EC"/>
    <w:rsid w:val="00BD51C6"/>
    <w:rsid w:val="00BF4145"/>
    <w:rsid w:val="00BF67D7"/>
    <w:rsid w:val="00C01127"/>
    <w:rsid w:val="00C1195E"/>
    <w:rsid w:val="00C14D8F"/>
    <w:rsid w:val="00C17BEA"/>
    <w:rsid w:val="00C2485F"/>
    <w:rsid w:val="00C250EA"/>
    <w:rsid w:val="00C30C86"/>
    <w:rsid w:val="00C33005"/>
    <w:rsid w:val="00C360C2"/>
    <w:rsid w:val="00C40132"/>
    <w:rsid w:val="00C41840"/>
    <w:rsid w:val="00C41B1D"/>
    <w:rsid w:val="00C548FB"/>
    <w:rsid w:val="00C63C6A"/>
    <w:rsid w:val="00C7235D"/>
    <w:rsid w:val="00C97707"/>
    <w:rsid w:val="00C97CED"/>
    <w:rsid w:val="00CA5A08"/>
    <w:rsid w:val="00CB1C8D"/>
    <w:rsid w:val="00CC0F85"/>
    <w:rsid w:val="00CC1A3B"/>
    <w:rsid w:val="00CD0A9A"/>
    <w:rsid w:val="00CF0A86"/>
    <w:rsid w:val="00CF51D5"/>
    <w:rsid w:val="00CF75F3"/>
    <w:rsid w:val="00D0352A"/>
    <w:rsid w:val="00D11A4A"/>
    <w:rsid w:val="00D146A3"/>
    <w:rsid w:val="00D25E44"/>
    <w:rsid w:val="00D26963"/>
    <w:rsid w:val="00D273C5"/>
    <w:rsid w:val="00D308B3"/>
    <w:rsid w:val="00D31F70"/>
    <w:rsid w:val="00D356D4"/>
    <w:rsid w:val="00D44176"/>
    <w:rsid w:val="00D45FD5"/>
    <w:rsid w:val="00D73DA5"/>
    <w:rsid w:val="00D95DA1"/>
    <w:rsid w:val="00D974AC"/>
    <w:rsid w:val="00DA053B"/>
    <w:rsid w:val="00DA274F"/>
    <w:rsid w:val="00DA3FFB"/>
    <w:rsid w:val="00DA63E8"/>
    <w:rsid w:val="00DB5E75"/>
    <w:rsid w:val="00DC097F"/>
    <w:rsid w:val="00DC7070"/>
    <w:rsid w:val="00DC7A92"/>
    <w:rsid w:val="00DD7006"/>
    <w:rsid w:val="00DE2410"/>
    <w:rsid w:val="00DE2B39"/>
    <w:rsid w:val="00DE3A19"/>
    <w:rsid w:val="00DF018E"/>
    <w:rsid w:val="00DF6932"/>
    <w:rsid w:val="00DF698A"/>
    <w:rsid w:val="00E11F71"/>
    <w:rsid w:val="00E13157"/>
    <w:rsid w:val="00E20975"/>
    <w:rsid w:val="00E276CA"/>
    <w:rsid w:val="00E30FBC"/>
    <w:rsid w:val="00E3302C"/>
    <w:rsid w:val="00E55796"/>
    <w:rsid w:val="00E64F57"/>
    <w:rsid w:val="00E65192"/>
    <w:rsid w:val="00E67458"/>
    <w:rsid w:val="00E735A7"/>
    <w:rsid w:val="00E7660C"/>
    <w:rsid w:val="00E76D8E"/>
    <w:rsid w:val="00E77917"/>
    <w:rsid w:val="00E81664"/>
    <w:rsid w:val="00E8248E"/>
    <w:rsid w:val="00E83E30"/>
    <w:rsid w:val="00E8525E"/>
    <w:rsid w:val="00E94D1D"/>
    <w:rsid w:val="00EA3883"/>
    <w:rsid w:val="00EC544F"/>
    <w:rsid w:val="00ED3FA6"/>
    <w:rsid w:val="00EE37F0"/>
    <w:rsid w:val="00EF1CE6"/>
    <w:rsid w:val="00EF4ABE"/>
    <w:rsid w:val="00EF6702"/>
    <w:rsid w:val="00F06FBC"/>
    <w:rsid w:val="00F16D38"/>
    <w:rsid w:val="00F469AD"/>
    <w:rsid w:val="00F56BA2"/>
    <w:rsid w:val="00F60641"/>
    <w:rsid w:val="00F60F99"/>
    <w:rsid w:val="00F66249"/>
    <w:rsid w:val="00F66B4F"/>
    <w:rsid w:val="00F74710"/>
    <w:rsid w:val="00F80A2D"/>
    <w:rsid w:val="00F815E8"/>
    <w:rsid w:val="00F84720"/>
    <w:rsid w:val="00F87231"/>
    <w:rsid w:val="00F96716"/>
    <w:rsid w:val="00F96E13"/>
    <w:rsid w:val="00F97CB1"/>
    <w:rsid w:val="00FB2179"/>
    <w:rsid w:val="00FC2090"/>
    <w:rsid w:val="00FC4130"/>
    <w:rsid w:val="00FE7CE5"/>
    <w:rsid w:val="00FF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EEA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BC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-grseq-1">
    <w:name w:val="ti-grseq-1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character" w:customStyle="1" w:styleId="bold">
    <w:name w:val="bold"/>
    <w:basedOn w:val="DefaultParagraphFont"/>
    <w:rsid w:val="00B538FF"/>
  </w:style>
  <w:style w:type="paragraph" w:customStyle="1" w:styleId="tbl-hdr">
    <w:name w:val="tbl-hdr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customStyle="1" w:styleId="tbl-txt">
    <w:name w:val="tbl-txt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B53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BodyTextChar">
    <w:name w:val="Body Text Char"/>
    <w:link w:val="BodyText"/>
    <w:rsid w:val="004A20ED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A20ED"/>
    <w:pPr>
      <w:widowControl w:val="0"/>
      <w:shd w:val="clear" w:color="auto" w:fill="FFFFFF"/>
      <w:ind w:firstLine="300"/>
    </w:pPr>
    <w:rPr>
      <w:rFonts w:ascii="Garamond" w:eastAsia="Garamond" w:hAnsi="Garamond" w:cs="Garamond"/>
      <w:b w:val="0"/>
      <w:bCs w:val="0"/>
      <w:sz w:val="24"/>
      <w:lang w:val="it-IT"/>
    </w:rPr>
  </w:style>
  <w:style w:type="character" w:customStyle="1" w:styleId="BodyTextChar1">
    <w:name w:val="Body Text Char1"/>
    <w:basedOn w:val="DefaultParagraphFont"/>
    <w:uiPriority w:val="99"/>
    <w:semiHidden/>
    <w:rsid w:val="004A20ED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styleId="Hyperlink">
    <w:name w:val="Hyperlink"/>
    <w:uiPriority w:val="99"/>
    <w:unhideWhenUsed/>
    <w:rsid w:val="004A20ED"/>
    <w:rPr>
      <w:color w:val="0563C1"/>
      <w:u w:val="single"/>
    </w:rPr>
  </w:style>
  <w:style w:type="table" w:styleId="TableGrid">
    <w:name w:val="Table Grid"/>
    <w:basedOn w:val="TableNormal"/>
    <w:uiPriority w:val="39"/>
    <w:rsid w:val="00FE7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44E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4EC2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44EC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525"/>
    <w:rPr>
      <w:rFonts w:ascii="Segoe UI" w:eastAsia="Times New Roman" w:hAnsi="Segoe UI" w:cs="Segoe UI"/>
      <w:b/>
      <w:bCs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D6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525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525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525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AD6525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BC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-grseq-1">
    <w:name w:val="ti-grseq-1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character" w:customStyle="1" w:styleId="bold">
    <w:name w:val="bold"/>
    <w:basedOn w:val="DefaultParagraphFont"/>
    <w:rsid w:val="00B538FF"/>
  </w:style>
  <w:style w:type="paragraph" w:customStyle="1" w:styleId="tbl-hdr">
    <w:name w:val="tbl-hdr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customStyle="1" w:styleId="tbl-txt">
    <w:name w:val="tbl-txt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B53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BodyTextChar">
    <w:name w:val="Body Text Char"/>
    <w:link w:val="BodyText"/>
    <w:rsid w:val="004A20ED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A20ED"/>
    <w:pPr>
      <w:widowControl w:val="0"/>
      <w:shd w:val="clear" w:color="auto" w:fill="FFFFFF"/>
      <w:ind w:firstLine="300"/>
    </w:pPr>
    <w:rPr>
      <w:rFonts w:ascii="Garamond" w:eastAsia="Garamond" w:hAnsi="Garamond" w:cs="Garamond"/>
      <w:b w:val="0"/>
      <w:bCs w:val="0"/>
      <w:sz w:val="24"/>
      <w:lang w:val="it-IT"/>
    </w:rPr>
  </w:style>
  <w:style w:type="character" w:customStyle="1" w:styleId="BodyTextChar1">
    <w:name w:val="Body Text Char1"/>
    <w:basedOn w:val="DefaultParagraphFont"/>
    <w:uiPriority w:val="99"/>
    <w:semiHidden/>
    <w:rsid w:val="004A20ED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styleId="Hyperlink">
    <w:name w:val="Hyperlink"/>
    <w:uiPriority w:val="99"/>
    <w:unhideWhenUsed/>
    <w:rsid w:val="004A20ED"/>
    <w:rPr>
      <w:color w:val="0563C1"/>
      <w:u w:val="single"/>
    </w:rPr>
  </w:style>
  <w:style w:type="table" w:styleId="TableGrid">
    <w:name w:val="Table Grid"/>
    <w:basedOn w:val="TableNormal"/>
    <w:uiPriority w:val="39"/>
    <w:rsid w:val="00FE7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44E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4EC2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44EC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525"/>
    <w:rPr>
      <w:rFonts w:ascii="Segoe UI" w:eastAsia="Times New Roman" w:hAnsi="Segoe UI" w:cs="Segoe UI"/>
      <w:b/>
      <w:bCs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D6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525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525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525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AD6525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0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2022-08-03T07:04:52Z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miratimin e rregullores "Për përcaktimin e kushteve shtesë për njohjen e organizatave prodhuese"</Titulli>
    <Modifikuesi xmlns="0e656187-b300-4fb0-8bf4-3a50f872073c">jorina.kryeziu</Modifikuesi>
    <Nr_x002e__x0020_prot_x0020_QBZ xmlns="0e656187-b300-4fb0-8bf4-3a50f872073c">1247/1</Nr_x002e__x0020_prot_x0020_QBZ>
    <Data_x0020_e_x0020_Modifikimit xmlns="0e656187-b300-4fb0-8bf4-3a50f872073c">2022-08-08T10:24:53Z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2988/7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A94FE06164ECD8AFE9B8F03ED8D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A94FE06164ECD8AFE9B8F03ED8D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3ADBE-2AE0-42E3-8CDD-9B2AC72D41AF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E0676E1-4741-4E21-9EEB-7AA7FC858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9E6BB-51F4-42C2-B42D-7994AE37B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E2425D-F307-48DE-853D-590C2474A1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22EB49-7F50-4AB1-9C98-1F3DAAD6E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6E22FF-47AB-432E-9789-BCE07A79D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përcaktimin e kushteve shtesë për njohjen e organizatave prodhuese"</vt:lpstr>
    </vt:vector>
  </TitlesOfParts>
  <Company>Microsoft</Company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përcaktimin e kushteve shtesë për njohjen e organizatave prodhuese"</dc:title>
  <dc:creator>Kule, Marco (NFIG)</dc:creator>
  <cp:lastModifiedBy>Valjeta Kaftalli</cp:lastModifiedBy>
  <cp:revision>11</cp:revision>
  <cp:lastPrinted>2022-05-13T09:01:00Z</cp:lastPrinted>
  <dcterms:created xsi:type="dcterms:W3CDTF">2022-08-03T11:17:00Z</dcterms:created>
  <dcterms:modified xsi:type="dcterms:W3CDTF">2022-08-09T07:01:00Z</dcterms:modified>
</cp:coreProperties>
</file>