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C64A0" w14:textId="77777777"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URDHËR</w:t>
      </w:r>
    </w:p>
    <w:p w14:paraId="46AC64A1" w14:textId="7701E074"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Nr.</w:t>
      </w:r>
      <w:r w:rsidR="00BA6C76">
        <w:rPr>
          <w:rFonts w:ascii="Garamond" w:hAnsi="Garamond"/>
          <w:b/>
          <w:bCs/>
          <w:sz w:val="24"/>
          <w:szCs w:val="24"/>
          <w:lang w:val="sq-AL"/>
        </w:rPr>
        <w:t xml:space="preserve"> </w:t>
      </w:r>
      <w:r w:rsidRPr="00BA6C76">
        <w:rPr>
          <w:rFonts w:ascii="Garamond" w:hAnsi="Garamond"/>
          <w:b/>
          <w:bCs/>
          <w:sz w:val="24"/>
          <w:szCs w:val="24"/>
          <w:lang w:val="sq-AL"/>
        </w:rPr>
        <w:t>365, datë</w:t>
      </w:r>
      <w:r w:rsidR="00BA6C76">
        <w:rPr>
          <w:rFonts w:ascii="Garamond" w:hAnsi="Garamond"/>
          <w:b/>
          <w:bCs/>
          <w:sz w:val="24"/>
          <w:szCs w:val="24"/>
          <w:lang w:val="sq-AL"/>
        </w:rPr>
        <w:t xml:space="preserve"> </w:t>
      </w:r>
      <w:r w:rsidRPr="00BA6C76">
        <w:rPr>
          <w:rFonts w:ascii="Garamond" w:hAnsi="Garamond"/>
          <w:b/>
          <w:bCs/>
          <w:sz w:val="24"/>
          <w:szCs w:val="24"/>
          <w:lang w:val="sq-AL"/>
        </w:rPr>
        <w:t>10.8.2022</w:t>
      </w:r>
    </w:p>
    <w:p w14:paraId="46AC64A2" w14:textId="77777777" w:rsidR="00B06FCE" w:rsidRPr="00BA6C76" w:rsidRDefault="00B06FCE" w:rsidP="00B06FCE">
      <w:pPr>
        <w:spacing w:after="0" w:line="240" w:lineRule="auto"/>
        <w:ind w:firstLine="284"/>
        <w:jc w:val="center"/>
        <w:rPr>
          <w:rFonts w:ascii="Garamond" w:hAnsi="Garamond"/>
          <w:b/>
          <w:bCs/>
          <w:sz w:val="24"/>
          <w:szCs w:val="24"/>
          <w:lang w:val="sq-AL"/>
        </w:rPr>
      </w:pPr>
    </w:p>
    <w:p w14:paraId="46AC64A3" w14:textId="36BBF916" w:rsidR="00B06FCE" w:rsidRDefault="00B06FCE" w:rsidP="00B06FCE">
      <w:pPr>
        <w:pStyle w:val="BodyText"/>
        <w:tabs>
          <w:tab w:val="left" w:pos="3600"/>
        </w:tabs>
        <w:ind w:firstLine="284"/>
        <w:jc w:val="center"/>
        <w:rPr>
          <w:rFonts w:ascii="Garamond" w:hAnsi="Garamond"/>
          <w:b/>
          <w:bCs/>
          <w:lang w:val="sq-AL"/>
        </w:rPr>
      </w:pPr>
      <w:r w:rsidRPr="00BA6C76">
        <w:rPr>
          <w:rFonts w:ascii="Garamond" w:hAnsi="Garamond"/>
          <w:b/>
          <w:bCs/>
          <w:lang w:val="sq-AL"/>
        </w:rPr>
        <w:t>PËR IMPORTIN E KAFSHËVE TË LLOJIT DERRA, PRODUKTEVE, NËNPRODUKTEVE</w:t>
      </w:r>
      <w:r w:rsidR="00BA6C76">
        <w:rPr>
          <w:rFonts w:ascii="Garamond" w:hAnsi="Garamond"/>
          <w:b/>
          <w:bCs/>
          <w:lang w:val="sq-AL"/>
        </w:rPr>
        <w:t xml:space="preserve"> </w:t>
      </w:r>
      <w:r w:rsidRPr="00BA6C76">
        <w:rPr>
          <w:rFonts w:ascii="Garamond" w:hAnsi="Garamond"/>
          <w:b/>
          <w:bCs/>
          <w:lang w:val="sq-AL"/>
        </w:rPr>
        <w:t xml:space="preserve">TË TYRE, MATERIALIT BIOLOGJIK, EMBRIONEVE, MISHIT DHE NËNPRODUKTEVE TË TYRE NGA HUNGARIA, LETONIA, UKRAINA, RUMANIA, ITALIA, GJERMANIA, LITUANIA, MOLDAVIA, </w:t>
      </w:r>
      <w:r w:rsidR="00FC3196">
        <w:rPr>
          <w:rFonts w:ascii="Garamond" w:hAnsi="Garamond"/>
          <w:b/>
          <w:bCs/>
          <w:lang w:val="sq-AL"/>
        </w:rPr>
        <w:t>SLLOVAKIA, SERBIA</w:t>
      </w:r>
      <w:r w:rsidRPr="00BA6C76">
        <w:rPr>
          <w:rFonts w:ascii="Garamond" w:hAnsi="Garamond"/>
          <w:b/>
          <w:bCs/>
          <w:lang w:val="sq-AL"/>
        </w:rPr>
        <w:t>, ESTONIA, BULLGARIA,</w:t>
      </w:r>
      <w:r w:rsidR="00BA6C76">
        <w:rPr>
          <w:rFonts w:ascii="Garamond" w:hAnsi="Garamond"/>
          <w:b/>
          <w:bCs/>
          <w:lang w:val="sq-AL"/>
        </w:rPr>
        <w:t xml:space="preserve"> </w:t>
      </w:r>
      <w:r w:rsidRPr="00BA6C76">
        <w:rPr>
          <w:rFonts w:ascii="Garamond" w:hAnsi="Garamond"/>
          <w:b/>
          <w:bCs/>
          <w:lang w:val="sq-AL"/>
        </w:rPr>
        <w:t>POLONIA DHE MAQEDONIA E VERIUT</w:t>
      </w:r>
    </w:p>
    <w:p w14:paraId="11CCD5E4" w14:textId="68612D0B" w:rsidR="000F294E" w:rsidRPr="000F294E" w:rsidRDefault="000F294E" w:rsidP="00B06FCE">
      <w:pPr>
        <w:pStyle w:val="BodyText"/>
        <w:tabs>
          <w:tab w:val="left" w:pos="3600"/>
        </w:tabs>
        <w:ind w:firstLine="284"/>
        <w:jc w:val="center"/>
        <w:rPr>
          <w:rFonts w:ascii="Garamond" w:hAnsi="Garamond"/>
          <w:bCs/>
          <w:i/>
          <w:lang w:val="sq-AL"/>
        </w:rPr>
      </w:pPr>
      <w:r w:rsidRPr="000F294E">
        <w:rPr>
          <w:rFonts w:ascii="Garamond" w:hAnsi="Garamond"/>
          <w:bCs/>
          <w:i/>
          <w:lang w:val="sq-AL"/>
        </w:rPr>
        <w:t>(ndryshuar me urdhrin nr. 431, datë 27.9.2022)</w:t>
      </w:r>
    </w:p>
    <w:p w14:paraId="7309E0A0" w14:textId="13D3C6C7" w:rsidR="000F294E" w:rsidRPr="000F294E" w:rsidRDefault="000F294E" w:rsidP="000F294E">
      <w:pPr>
        <w:pStyle w:val="BodyText"/>
        <w:tabs>
          <w:tab w:val="left" w:pos="3600"/>
        </w:tabs>
        <w:ind w:firstLine="284"/>
        <w:jc w:val="right"/>
        <w:rPr>
          <w:rFonts w:ascii="Garamond" w:hAnsi="Garamond"/>
          <w:bCs/>
          <w:i/>
          <w:lang w:val="sq-AL"/>
        </w:rPr>
      </w:pPr>
      <w:r w:rsidRPr="000F294E">
        <w:rPr>
          <w:rFonts w:ascii="Garamond" w:hAnsi="Garamond"/>
          <w:bCs/>
          <w:i/>
          <w:lang w:val="sq-AL"/>
        </w:rPr>
        <w:t>(i përditësuar)</w:t>
      </w:r>
    </w:p>
    <w:p w14:paraId="46AC64A4" w14:textId="77777777" w:rsidR="00B06FCE" w:rsidRPr="00BA6C76" w:rsidRDefault="00B06FCE" w:rsidP="00B06FCE">
      <w:pPr>
        <w:pStyle w:val="BodyText"/>
        <w:ind w:firstLine="284"/>
        <w:jc w:val="center"/>
        <w:rPr>
          <w:rFonts w:ascii="Garamond" w:hAnsi="Garamond"/>
          <w:b/>
          <w:bCs/>
          <w:lang w:val="sq-AL"/>
        </w:rPr>
      </w:pPr>
    </w:p>
    <w:p w14:paraId="46AC64A5" w14:textId="2CD15EF9" w:rsidR="00B06FCE" w:rsidRPr="00BA6C76" w:rsidRDefault="00B06FCE" w:rsidP="00B06FCE">
      <w:pPr>
        <w:pStyle w:val="BodyText"/>
        <w:ind w:firstLine="284"/>
        <w:rPr>
          <w:rFonts w:ascii="Garamond" w:hAnsi="Garamond"/>
          <w:lang w:val="sq-AL"/>
        </w:rPr>
      </w:pPr>
      <w:r w:rsidRPr="00BA6C76">
        <w:rPr>
          <w:rFonts w:ascii="Garamond" w:hAnsi="Garamond"/>
          <w:lang w:val="sq-AL"/>
        </w:rPr>
        <w:t>Mbështetur në nenin 102, pika 4</w:t>
      </w:r>
      <w:r w:rsidR="00BA6C76">
        <w:rPr>
          <w:rFonts w:ascii="Garamond" w:hAnsi="Garamond"/>
          <w:lang w:val="sq-AL"/>
        </w:rPr>
        <w:t>,</w:t>
      </w:r>
      <w:r w:rsidRPr="00BA6C76">
        <w:rPr>
          <w:rFonts w:ascii="Garamond" w:hAnsi="Garamond"/>
          <w:lang w:val="sq-AL"/>
        </w:rPr>
        <w:t xml:space="preserve"> e Kushtetutës, neni 43, i </w:t>
      </w:r>
      <w:r w:rsidR="00BA6C76" w:rsidRPr="00BA6C76">
        <w:rPr>
          <w:rFonts w:ascii="Garamond" w:hAnsi="Garamond"/>
          <w:lang w:val="sq-AL"/>
        </w:rPr>
        <w:t xml:space="preserve">ligjit </w:t>
      </w:r>
      <w:r w:rsidRPr="00BA6C76">
        <w:rPr>
          <w:rFonts w:ascii="Garamond" w:hAnsi="Garamond"/>
          <w:lang w:val="sq-AL"/>
        </w:rPr>
        <w:t>nr. 10465, datë 29.9.2011</w:t>
      </w:r>
      <w:r w:rsidR="00BA6C76">
        <w:rPr>
          <w:rFonts w:ascii="Garamond" w:hAnsi="Garamond"/>
          <w:lang w:val="sq-AL"/>
        </w:rPr>
        <w:t>,</w:t>
      </w:r>
      <w:r w:rsidRPr="00BA6C76">
        <w:rPr>
          <w:rFonts w:ascii="Garamond" w:hAnsi="Garamond"/>
          <w:lang w:val="sq-AL"/>
        </w:rPr>
        <w:t xml:space="preserve"> “Për shërbimin veterinar në Republikën e Shqipërisë”, të ndryshuar, </w:t>
      </w:r>
    </w:p>
    <w:p w14:paraId="46AC64A6"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7" w14:textId="77777777" w:rsidR="00B06FCE" w:rsidRPr="00BA6C76" w:rsidRDefault="00B06FCE" w:rsidP="00175DC6">
      <w:pPr>
        <w:spacing w:after="0" w:line="240" w:lineRule="auto"/>
        <w:ind w:firstLine="284"/>
        <w:jc w:val="center"/>
        <w:rPr>
          <w:rFonts w:ascii="Garamond" w:hAnsi="Garamond"/>
          <w:bCs/>
          <w:sz w:val="24"/>
          <w:szCs w:val="24"/>
          <w:lang w:val="sq-AL"/>
        </w:rPr>
      </w:pPr>
      <w:r w:rsidRPr="00BA6C76">
        <w:rPr>
          <w:rFonts w:ascii="Garamond" w:hAnsi="Garamond"/>
          <w:bCs/>
          <w:sz w:val="24"/>
          <w:szCs w:val="24"/>
          <w:lang w:val="sq-AL"/>
        </w:rPr>
        <w:t>URDHËROJ:</w:t>
      </w:r>
    </w:p>
    <w:p w14:paraId="46AC64A8"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9" w14:textId="0AB7C18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1. Lejimin e importit dhe tranzitimit për në territorin e Republikës së Shqipërisë, e të gjith</w:t>
      </w:r>
      <w:r w:rsidR="001E1925">
        <w:rPr>
          <w:rFonts w:ascii="Garamond" w:hAnsi="Garamond"/>
          <w:sz w:val="24"/>
          <w:szCs w:val="24"/>
          <w:lang w:val="sq-AL"/>
        </w:rPr>
        <w:t>a</w:t>
      </w:r>
      <w:r w:rsidRPr="00BA6C76">
        <w:rPr>
          <w:rFonts w:ascii="Garamond" w:hAnsi="Garamond"/>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1E1925">
        <w:rPr>
          <w:rFonts w:ascii="Garamond" w:hAnsi="Garamond"/>
          <w:sz w:val="24"/>
          <w:szCs w:val="24"/>
          <w:lang w:val="sq-AL"/>
        </w:rPr>
        <w:t>,</w:t>
      </w:r>
      <w:r w:rsidRPr="00BA6C76">
        <w:rPr>
          <w:rFonts w:ascii="Garamond" w:hAnsi="Garamond"/>
          <w:sz w:val="24"/>
          <w:szCs w:val="24"/>
          <w:lang w:val="sq-AL"/>
        </w:rPr>
        <w:t xml:space="preserve"> vetëm nëse plotësohen kushtet e mëposhtme nga pika 1.1 deri në pikën 1.8, përkatësisht nga:</w:t>
      </w:r>
    </w:p>
    <w:p w14:paraId="46AC64AA" w14:textId="2111D399"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Hungarisë</w:t>
      </w:r>
      <w:r w:rsidR="001E1925">
        <w:rPr>
          <w:rFonts w:ascii="Garamond" w:hAnsi="Garamond"/>
          <w:sz w:val="24"/>
          <w:szCs w:val="24"/>
          <w:lang w:val="sq-AL"/>
        </w:rPr>
        <w:t>:</w:t>
      </w:r>
      <w:r w:rsidRPr="00BA6C76">
        <w:rPr>
          <w:rFonts w:ascii="Garamond" w:hAnsi="Garamond"/>
          <w:sz w:val="24"/>
          <w:szCs w:val="24"/>
          <w:lang w:val="sq-AL"/>
        </w:rPr>
        <w:t xml:space="preserve"> qarku Borsod-Abaúj-Zemplén, qyteti Gönc; qarku Hajdú-Bihar, qyteti Debrecen dhe Hajdúböszörmény; qarku Jász-Nagykun-Szolnok, qyteti Tiszafüred; qarku Nograd, qyteti Bátonyterenye; qarku Szabolcs-Szatmár-Bereg, qyteti Nyíregyháza</w:t>
      </w:r>
      <w:r w:rsidR="000F294E">
        <w:rPr>
          <w:rFonts w:ascii="Garamond" w:hAnsi="Garamond"/>
          <w:sz w:val="24"/>
          <w:szCs w:val="24"/>
          <w:lang w:val="sq-AL"/>
        </w:rPr>
        <w:t xml:space="preserve">, </w:t>
      </w:r>
      <w:r w:rsidR="000F294E" w:rsidRPr="000F294E">
        <w:rPr>
          <w:rFonts w:ascii="Garamond" w:hAnsi="Garamond"/>
          <w:i/>
          <w:sz w:val="24"/>
          <w:szCs w:val="24"/>
          <w:lang w:val="sq-AL"/>
        </w:rPr>
        <w:t>qarku Pest, qyteti Pilisvörösvár</w:t>
      </w:r>
      <w:r w:rsidRPr="000F294E">
        <w:rPr>
          <w:rFonts w:ascii="Garamond" w:hAnsi="Garamond"/>
          <w:i/>
          <w:sz w:val="24"/>
          <w:szCs w:val="24"/>
          <w:lang w:val="sq-AL"/>
        </w:rPr>
        <w:t>;</w:t>
      </w:r>
    </w:p>
    <w:p w14:paraId="46AC64AB" w14:textId="6A9E0052"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Letonisë</w:t>
      </w:r>
      <w:r w:rsidR="001E1925">
        <w:rPr>
          <w:rFonts w:ascii="Garamond" w:hAnsi="Garamond"/>
          <w:sz w:val="24"/>
          <w:szCs w:val="24"/>
          <w:lang w:val="sq-AL"/>
        </w:rPr>
        <w:t>:</w:t>
      </w:r>
      <w:r w:rsidRPr="00BA6C76">
        <w:rPr>
          <w:rFonts w:ascii="Garamond" w:hAnsi="Garamond"/>
          <w:sz w:val="24"/>
          <w:szCs w:val="24"/>
          <w:lang w:val="sq-AL"/>
        </w:rPr>
        <w:t xml:space="preserve"> rajoni Latgales qyteti Augšdaugavas, njësia administrative Demenes; qyteti Balvu, njësia administrative Susāju; qyteti Dienvidkurzemes, njësia administrative, Rucavas; qyteti</w:t>
      </w:r>
      <w:r w:rsidR="00BA6C76">
        <w:rPr>
          <w:rFonts w:ascii="Garamond" w:hAnsi="Garamond"/>
          <w:sz w:val="24"/>
          <w:szCs w:val="24"/>
          <w:lang w:val="sq-AL"/>
        </w:rPr>
        <w:t xml:space="preserve"> </w:t>
      </w:r>
      <w:r w:rsidRPr="00BA6C76">
        <w:rPr>
          <w:rFonts w:ascii="Garamond" w:hAnsi="Garamond"/>
          <w:sz w:val="24"/>
          <w:szCs w:val="24"/>
          <w:lang w:val="sq-AL"/>
        </w:rPr>
        <w:t xml:space="preserve">Kuldīgas, njësia administrative Īvandes, Kurmāles dhe Laidu; qyteti Ludzas, njësia administrative Cirmas; qyteti Zemītes dhe Tumes; qyteti Ventspils, njësia administrative Jūrkalnes, Piltenes, Popes; rajoni Vidzemes, qyteti Madona, njësia administrative Barkavas dhe Skultes; rajoni Vizemes, qyteti Madonas, njësia administrative Indrānu, qyteti Valmieras, njësia administrative Valmieras, Naukšēnu dhe Plāņu, qyteti Cēsu; qyteti Valkas, njësia administrative Ērģemes; rajoni Zemgales, qyteti Aizkraukles, njësia administrative Skrīveru; njësia administrative Zaļenieku, </w:t>
      </w:r>
      <w:r w:rsidRPr="000F294E">
        <w:rPr>
          <w:rFonts w:ascii="Garamond" w:hAnsi="Garamond"/>
          <w:sz w:val="24"/>
          <w:szCs w:val="24"/>
          <w:lang w:val="sq-AL"/>
        </w:rPr>
        <w:t>Līvbērzes</w:t>
      </w:r>
      <w:r w:rsidR="000F294E">
        <w:rPr>
          <w:rFonts w:ascii="Garamond" w:hAnsi="Garamond"/>
          <w:sz w:val="24"/>
          <w:szCs w:val="24"/>
          <w:lang w:val="sq-AL"/>
        </w:rPr>
        <w:t>,</w:t>
      </w:r>
      <w:r w:rsidR="000F294E" w:rsidRPr="000F294E">
        <w:t xml:space="preserve"> </w:t>
      </w:r>
      <w:r w:rsidR="000F294E" w:rsidRPr="000F294E">
        <w:rPr>
          <w:rFonts w:ascii="Garamond" w:hAnsi="Garamond"/>
          <w:i/>
          <w:sz w:val="24"/>
          <w:szCs w:val="24"/>
          <w:lang w:val="sq-AL"/>
        </w:rPr>
        <w:t>rajoni Latgales, qyteti Krāslavas, njësia administrative Šķaunes; rajoni Kurzemes, qyteti Kuldīgas, njësia administrative Ēdoles; qyteti Madonas, njësia administrative Praulienas; rajoni Kurzemes, qyteti Tukuma, njësia administrative Slampes; rajoni Zemgales, qyteti Dobeles, njësia administrative Annenieku; rajoni Latgales, qyteti Rēzeknes, njësia administrative Gaigalavas; rajoni Latgales, qyteti Preiļu, njësia administrative Rušonas; rajoni Kurzemes, qyteti Tukuma, njësia administrative Degoles, njësia administrative Vārkavas; rajoni Kurzemes, qyteti Dienvidkurzemes, njësia administrative Sakas; rajoni Vidzemes, qyteti Cēsu, njësia administrative Raiskuma; rajoni Kurzemes, qyteti Ventspils, njësia administrative Vārves; rajoni Latgales, qyteti Ludzas, njësia administrative Ņukšu; rajoni Latgales, qyteti Balvu, njësia administrative Lazdulejas; rajoni Vidzemes, qyteti Madonas, njësia administrative Ošupes; rajoni Kurzemes, qyteti Talsu, njësia administrative Lībagu; rajoni Kurzemes, qyteti Kuldīgas, njësia administrative Skrundas; rajoni Vidzemes, qyteti Madonas, njësia administrative Aronas; rajoni Vidzemes, qyteti Gulbenes, njësia administrative Daukstu; rajoni Vidzemes, qyteti Alūksnes, njësia administrative Liepnas; rajoni Vidzemes, qyteti Gulbenes, njësia administrative Stāmerienas; rajoni Latgales, qyteti Balvu, njësia administrative Kubulu; rajoni Vidzemes, qyteti Madonas, njësia administrative Ošupes; rajoni Vidzemes, qyteti Smiltenes, njësia administrative Grundzāles; rajoni Latgales, qyteti Rēzeknes, njësia administrative Silmalas; rajoni Latgales, qyteti Rēzeknes, njësia administrative Ilzeskalna; rajoni Latgales, qyteti Preiļu, njësia administrative Rušonas; rajoni Latgales, qyteti Rēzeknes, njësia administrative Gaigalavas</w:t>
      </w:r>
      <w:r w:rsidRPr="000F294E">
        <w:rPr>
          <w:rFonts w:ascii="Garamond" w:hAnsi="Garamond"/>
          <w:i/>
          <w:sz w:val="24"/>
          <w:szCs w:val="24"/>
          <w:lang w:val="sq-AL"/>
        </w:rPr>
        <w:t xml:space="preserve">. </w:t>
      </w:r>
    </w:p>
    <w:p w14:paraId="46AC64AC" w14:textId="4C662132"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lastRenderedPageBreak/>
        <w:t>Shteti i Ukrainës</w:t>
      </w:r>
      <w:r w:rsidRPr="00BA6C76">
        <w:rPr>
          <w:rFonts w:ascii="Garamond" w:hAnsi="Garamond"/>
          <w:sz w:val="24"/>
          <w:szCs w:val="24"/>
          <w:lang w:val="sq-AL"/>
        </w:rPr>
        <w:t>, përkatësisht</w:t>
      </w:r>
      <w:r w:rsidR="001E1925">
        <w:rPr>
          <w:rFonts w:ascii="Garamond" w:hAnsi="Garamond"/>
          <w:sz w:val="24"/>
          <w:szCs w:val="24"/>
          <w:lang w:val="sq-AL"/>
        </w:rPr>
        <w:t>:</w:t>
      </w:r>
      <w:r w:rsidRPr="00BA6C76">
        <w:rPr>
          <w:rFonts w:ascii="Garamond" w:hAnsi="Garamond"/>
          <w:sz w:val="24"/>
          <w:szCs w:val="24"/>
          <w:lang w:val="sq-AL"/>
        </w:rPr>
        <w:t xml:space="preserve"> rajoni Konotops’kyi, qyteti Sumy, Făleşti, Străşeni, </w:t>
      </w:r>
      <w:r w:rsidRPr="00BA6C76">
        <w:rPr>
          <w:rFonts w:ascii="Garamond" w:hAnsi="Garamond" w:cs="Poppins-Regular"/>
          <w:color w:val="202C32"/>
          <w:spacing w:val="15"/>
          <w:sz w:val="24"/>
          <w:szCs w:val="24"/>
          <w:lang w:val="sq-AL"/>
        </w:rPr>
        <w:t>Cahul,</w:t>
      </w:r>
      <w:r w:rsidR="00BA6C76">
        <w:rPr>
          <w:rFonts w:ascii="Garamond" w:hAnsi="Garamond" w:cs="Poppins-Regular"/>
          <w:color w:val="202C32"/>
          <w:spacing w:val="15"/>
          <w:sz w:val="24"/>
          <w:szCs w:val="24"/>
          <w:lang w:val="sq-AL"/>
        </w:rPr>
        <w:t xml:space="preserve"> </w:t>
      </w:r>
      <w:r w:rsidRPr="00BA6C76">
        <w:rPr>
          <w:rFonts w:ascii="Garamond" w:hAnsi="Garamond"/>
          <w:sz w:val="24"/>
          <w:szCs w:val="24"/>
          <w:lang w:val="sq-AL"/>
        </w:rPr>
        <w:t xml:space="preserve">Edineţ, Sîngerei; i gjithë territori i shtetit të </w:t>
      </w:r>
      <w:r w:rsidRPr="00BA6C76">
        <w:rPr>
          <w:rFonts w:ascii="Garamond" w:hAnsi="Garamond"/>
          <w:b/>
          <w:bCs/>
          <w:sz w:val="24"/>
          <w:szCs w:val="24"/>
          <w:lang w:val="sq-AL"/>
        </w:rPr>
        <w:t>Rumanisë</w:t>
      </w:r>
      <w:r w:rsidRPr="00BA6C76">
        <w:rPr>
          <w:rFonts w:ascii="Garamond" w:hAnsi="Garamond"/>
          <w:sz w:val="24"/>
          <w:szCs w:val="24"/>
          <w:lang w:val="sq-AL"/>
        </w:rPr>
        <w:t>.</w:t>
      </w:r>
      <w:r w:rsidRPr="00BA6C76">
        <w:rPr>
          <w:rFonts w:ascii="Garamond" w:hAnsi="Garamond"/>
          <w:b/>
          <w:bCs/>
          <w:sz w:val="24"/>
          <w:szCs w:val="24"/>
          <w:lang w:val="sq-AL"/>
        </w:rPr>
        <w:t xml:space="preserve"> </w:t>
      </w:r>
    </w:p>
    <w:p w14:paraId="46AC64AD" w14:textId="05145A7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Italisë</w:t>
      </w:r>
      <w:r w:rsidR="001E1925">
        <w:rPr>
          <w:rFonts w:ascii="Garamond" w:hAnsi="Garamond"/>
          <w:sz w:val="24"/>
          <w:szCs w:val="24"/>
          <w:lang w:val="sq-AL"/>
        </w:rPr>
        <w:t>:</w:t>
      </w:r>
      <w:r w:rsidRPr="00BA6C76">
        <w:rPr>
          <w:rFonts w:ascii="Garamond" w:hAnsi="Garamond"/>
          <w:sz w:val="24"/>
          <w:szCs w:val="24"/>
          <w:lang w:val="sq-AL"/>
        </w:rPr>
        <w:t xml:space="preserve"> rajoni i Lazio, qyteti i Romës, Rieti; rajoni Piemonte, qyteti Alessandria;</w:t>
      </w:r>
      <w:r w:rsidR="00BA6C76">
        <w:rPr>
          <w:rFonts w:ascii="Garamond" w:hAnsi="Garamond"/>
          <w:sz w:val="24"/>
          <w:szCs w:val="24"/>
          <w:lang w:val="sq-AL"/>
        </w:rPr>
        <w:t xml:space="preserve"> </w:t>
      </w:r>
      <w:r w:rsidRPr="00BA6C76">
        <w:rPr>
          <w:rFonts w:ascii="Garamond" w:hAnsi="Garamond"/>
          <w:sz w:val="24"/>
          <w:szCs w:val="24"/>
          <w:lang w:val="sq-AL"/>
        </w:rPr>
        <w:t>rajoni Liguria, qyteti Genova; rajoni Sardegna, qyteti Nuoro.</w:t>
      </w:r>
    </w:p>
    <w:p w14:paraId="46AC64AE" w14:textId="72AB4B9D"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BA6C76">
        <w:rPr>
          <w:rFonts w:ascii="Garamond" w:hAnsi="Garamond"/>
          <w:b/>
          <w:bCs/>
          <w:sz w:val="24"/>
          <w:szCs w:val="24"/>
          <w:lang w:val="sq-AL"/>
        </w:rPr>
        <w:t>Shteti i Gjermanisë</w:t>
      </w:r>
      <w:r w:rsidR="001E1925">
        <w:rPr>
          <w:rFonts w:ascii="Garamond" w:hAnsi="Garamond"/>
          <w:sz w:val="24"/>
          <w:szCs w:val="24"/>
          <w:lang w:val="sq-AL"/>
        </w:rPr>
        <w:t>:</w:t>
      </w:r>
      <w:r w:rsidRPr="00BA6C76">
        <w:rPr>
          <w:rFonts w:ascii="Garamond" w:hAnsi="Garamond"/>
          <w:sz w:val="24"/>
          <w:szCs w:val="24"/>
          <w:lang w:val="sq-AL"/>
        </w:rPr>
        <w:t xml:space="preserve"> rajoni i Baden-Württemberg, qyteti Emmendingen, njësia administrative Nördlicher Kaiserstuhl; rajoni Brandenburg, qyteti Barnim, njësia Britz-Chorin-Oderberg; qyteti Frankfurt (Oder), njësia administrative Frankfurt (Oder); qyteti Märkisch-Oderland, njësia administrative Lebus, Bad Freienwalde (Oder), Golzow; qyteti Oberspreewald-Lausitz, njësia administrative Großräschen dhe Ruhland; qyteti Oder-Spree, njësia administrative Odervorland, Scharmützelsee dhe Rietz-Neuendorf; qyteti Spree-Neiße, njësia administrative Schenkendöbern, Döbern-Land, Spremberg, Guben, Forst (Lausitz) dhe Döbern-Land; qyteti Uckermark, njësia administrative Schwedt/Oder, Gartz (Oder), Oder-Welse dhe Angermünde; rajoni Mecklenburg-Vorpommern, qyteti Ludwigslust-Parchim, njësia administrative Parchimer Umland, Eldenburg Lübz, Grabow; rajoni Sachsen, qyteti Bautzen, njësia administrative Malschwitz,</w:t>
      </w:r>
      <w:r w:rsidR="00BA6C76">
        <w:rPr>
          <w:rFonts w:ascii="Garamond" w:hAnsi="Garamond"/>
          <w:sz w:val="24"/>
          <w:szCs w:val="24"/>
          <w:lang w:val="sq-AL"/>
        </w:rPr>
        <w:t xml:space="preserve"> </w:t>
      </w:r>
      <w:r w:rsidRPr="00BA6C76">
        <w:rPr>
          <w:rFonts w:ascii="Garamond" w:hAnsi="Garamond"/>
          <w:sz w:val="24"/>
          <w:szCs w:val="24"/>
          <w:lang w:val="sq-AL"/>
        </w:rPr>
        <w:t>Schwepnitz, Königsbrück,</w:t>
      </w:r>
      <w:r w:rsidR="00BA6C76">
        <w:rPr>
          <w:rFonts w:ascii="Garamond" w:hAnsi="Garamond"/>
          <w:sz w:val="24"/>
          <w:szCs w:val="24"/>
          <w:lang w:val="sq-AL"/>
        </w:rPr>
        <w:t xml:space="preserve"> </w:t>
      </w:r>
      <w:r w:rsidRPr="00BA6C76">
        <w:rPr>
          <w:rFonts w:ascii="Garamond" w:hAnsi="Garamond"/>
          <w:sz w:val="24"/>
          <w:szCs w:val="24"/>
          <w:lang w:val="sq-AL"/>
        </w:rPr>
        <w:t xml:space="preserve">Pulsnitz, Großdubrau, Spreetal, Lohsa, Wachau; qyteti Görlitz, njësia administrative Weißwasser/O.L., Diehsa, Markersdorf, Boxberg/O.L., Schleife, Niesky, Markersdorf, Bernstadt/Schönau-Berzdorf, Diehsa, Schleife, Reichenbach/O.L., Ostritz, Weißer Schöps/Neiße; qyteti Meißen, njësia administrative Thiendorf, Ebersbach, Moritzburg, Schönfeld, Radeburg, Thiendorf, Schönfeld; qyteti Nordsachsen, njësia administrative Wermsdorf; qyteti Sächsische Schweiz-Osterzgebirge, njësia administrative Lohmen/Stadt </w:t>
      </w:r>
      <w:r w:rsidRPr="000F294E">
        <w:rPr>
          <w:rFonts w:ascii="Garamond" w:hAnsi="Garamond"/>
          <w:sz w:val="24"/>
          <w:szCs w:val="24"/>
          <w:lang w:val="sq-AL"/>
        </w:rPr>
        <w:t>Wehlen</w:t>
      </w:r>
      <w:r w:rsidR="000F294E">
        <w:rPr>
          <w:rFonts w:ascii="Garamond" w:hAnsi="Garamond"/>
          <w:sz w:val="24"/>
          <w:szCs w:val="24"/>
          <w:lang w:val="sq-AL"/>
        </w:rPr>
        <w:t xml:space="preserve"> </w:t>
      </w:r>
      <w:r w:rsidR="000F294E" w:rsidRPr="000F294E">
        <w:rPr>
          <w:rFonts w:ascii="Garamond" w:hAnsi="Garamond"/>
          <w:i/>
          <w:sz w:val="24"/>
          <w:szCs w:val="24"/>
          <w:lang w:val="sq-AL"/>
        </w:rPr>
        <w:t xml:space="preserve">rajoni Niedersachsen, qyteti Cloppenburg, njësia administrative Garrel; rajoni Niedersachse, qyteti Emsland, njësia administrative Twist; rajoni Schleswig-Holstein, qyteti Nordfriesland, njësia administrative Südtondern; rajoni Brandenburg, qyteti Spree-Neiße, njësia administrative Peitz </w:t>
      </w:r>
      <w:r w:rsidRPr="000F294E">
        <w:rPr>
          <w:rFonts w:ascii="Garamond" w:hAnsi="Garamond"/>
          <w:i/>
          <w:sz w:val="24"/>
          <w:szCs w:val="24"/>
          <w:lang w:val="sq-AL"/>
        </w:rPr>
        <w:t>.</w:t>
      </w:r>
    </w:p>
    <w:p w14:paraId="46AC64AF" w14:textId="386039A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Lituanisë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Kauno, Bashkia Kėdainių, Kauno, Kaišiadorių, Prienų, Jonavos; qyteti Klaipedos, bashkia Kretingos dhe Skuodo; qyteti Marijampoles, Bashkia Šakių; qyteti Šiauliai, Bashkia Akmenės dhe Šiaulių; qyteti Taurages, Bashkia Tauragės dhe Jurbarko; qyteti Telšiai, Bashkia Telšių; qyteti Utenos, Bashkia Anykščių, Molėtų, Zarasų, Utenos, Ignalinos dhe</w:t>
      </w:r>
      <w:r w:rsidR="00BA6C76">
        <w:rPr>
          <w:rFonts w:ascii="Garamond" w:hAnsi="Garamond"/>
          <w:sz w:val="24"/>
          <w:szCs w:val="24"/>
          <w:lang w:val="sq-AL"/>
        </w:rPr>
        <w:t xml:space="preserve"> </w:t>
      </w:r>
      <w:r w:rsidRPr="00BA6C76">
        <w:rPr>
          <w:rFonts w:ascii="Garamond" w:hAnsi="Garamond"/>
          <w:sz w:val="24"/>
          <w:szCs w:val="24"/>
          <w:lang w:val="sq-AL"/>
        </w:rPr>
        <w:t>Zarasų; qyteti Vilniaus, Bashkia Švenčionių, Trakų, Vilniaus.</w:t>
      </w:r>
    </w:p>
    <w:p w14:paraId="46AC64B0" w14:textId="5E918B9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Moldavisë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i Edineţ, Dubăsari, Briceni, Rîşcani, Sîngerei, Făleşti, Străşeni, Cahul dhe Edineţ.</w:t>
      </w:r>
    </w:p>
    <w:p w14:paraId="46AC64B1" w14:textId="10A4453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Sllovakisë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Banskobystrický, qyteti Brezno, Banská Bystrica, Poltár, Rimavská Sobota, Zvolen, Lucenec, Krupina, Velký Krtíš, Detva, Revúca, Žiar nad Hronom, Revúca; rajoni Košický, qyteti Rožnava, Sobrance, Trebišov, Michalovce, Spišská Nová Ves, Košice-okolie; rajoni Prešovský, qyteti Bardejov Humenné, Levoca</w:t>
      </w:r>
    </w:p>
    <w:p w14:paraId="46AC64B2"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Prešov, Vranov nad Toplou, Stropkov, Kežmarok, Sabinov, Kežmarok, Medzilaborce, Svidník, Snina dhe Poprad; rajoni Žilinský, qyteti Liptovský Mikuláš.</w:t>
      </w:r>
    </w:p>
    <w:p w14:paraId="46AC64B3" w14:textId="195E03B2"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Serbisë</w:t>
      </w:r>
      <w:r w:rsidR="001E1925">
        <w:rPr>
          <w:rFonts w:ascii="Garamond" w:hAnsi="Garamond"/>
          <w:b/>
          <w:bCs/>
          <w:sz w:val="24"/>
          <w:szCs w:val="24"/>
          <w:lang w:val="sq-AL"/>
        </w:rPr>
        <w:t>:</w:t>
      </w:r>
      <w:r w:rsidRPr="00BA6C76">
        <w:rPr>
          <w:rFonts w:ascii="Garamond" w:hAnsi="Garamond"/>
          <w:sz w:val="24"/>
          <w:szCs w:val="24"/>
          <w:lang w:val="sq-AL"/>
        </w:rPr>
        <w:t xml:space="preserve"> rajoni Borski, Bashkia Majdanpek dhe Kladovo; rajoni Braničevski, Bashkia Kučevo, Golubac dhe Veliko Gradište; rajoni Nišavski, Bashkia Ražanj dhe Niš; rajoni Pirotski, Bashkia Pirot, Dimitrovgrad dhe Babušnica; rajoni Zaječarski, Bashkia Sokobanja dhe Boljevac</w:t>
      </w:r>
      <w:r w:rsidR="000F294E">
        <w:rPr>
          <w:rFonts w:ascii="Garamond" w:hAnsi="Garamond"/>
          <w:sz w:val="24"/>
          <w:szCs w:val="24"/>
          <w:lang w:val="sq-AL"/>
        </w:rPr>
        <w:t xml:space="preserve">, </w:t>
      </w:r>
      <w:r w:rsidR="000F294E" w:rsidRPr="000F294E">
        <w:rPr>
          <w:rFonts w:ascii="Garamond" w:hAnsi="Garamond"/>
          <w:i/>
          <w:sz w:val="24"/>
          <w:szCs w:val="24"/>
          <w:lang w:val="sq-AL"/>
        </w:rPr>
        <w:t>rajonet Južnobanatski, Niiavski, Pomoravski, Pčinjski, Jablanički dhe Podunavski</w:t>
      </w:r>
      <w:r w:rsidRPr="00BA6C76">
        <w:rPr>
          <w:rFonts w:ascii="Garamond" w:hAnsi="Garamond"/>
          <w:sz w:val="24"/>
          <w:szCs w:val="24"/>
          <w:lang w:val="sq-AL"/>
        </w:rPr>
        <w:t>.</w:t>
      </w:r>
    </w:p>
    <w:p w14:paraId="46AC64B4" w14:textId="2910739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Estonisë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qarku Harju, Bashkia Harju, fshati Tagadi; Bashkia Kose, fshati</w:t>
      </w:r>
      <w:r w:rsidR="00BA6C76">
        <w:rPr>
          <w:rFonts w:ascii="Garamond" w:hAnsi="Garamond"/>
          <w:sz w:val="24"/>
          <w:szCs w:val="24"/>
          <w:lang w:val="sq-AL"/>
        </w:rPr>
        <w:t xml:space="preserve"> </w:t>
      </w:r>
      <w:r w:rsidRPr="00BA6C76">
        <w:rPr>
          <w:rFonts w:ascii="Garamond" w:hAnsi="Garamond"/>
          <w:sz w:val="24"/>
          <w:szCs w:val="24"/>
          <w:lang w:val="sq-AL"/>
        </w:rPr>
        <w:t xml:space="preserve">Tammiku; rajoni Ida-Viru, Bashkia Toila, fshati Voka; Bashkia Kohtla-Nõmme, fshati Kohtla-Nõmme; rajoni Järva, Bashkia Roosna-Alliku, fshati Oeti; qarku Jõgeva, fshati Torma, fshati Liikatku; rajoni Lääne-Viru, Bashkia Viru-Nigula, fshati Viru-Nigula, Pada, Malla, Mahu; Bashkia Laekvere, fshati Luusika; Bashkia Rägavere, fshati Viru-Kabala; Bashkia Väike-Maarja, fshati Pikevere; Bashkia Vihula, fshati Lauli; rajoni Pärnu, Bashkia Tõstamaa, fshati Päraküla; rajoni Põlva, Bashkia Mikitamäe, fshati Laossina; Bashkia Orava, fshati Kõvera, Kamnitsa; Bashkia Räpina, fshati Linte; rajoni Rapla, </w:t>
      </w:r>
      <w:r w:rsidRPr="00BA6C76">
        <w:rPr>
          <w:rFonts w:ascii="Garamond" w:hAnsi="Garamond"/>
          <w:sz w:val="24"/>
          <w:szCs w:val="24"/>
          <w:lang w:val="sq-AL"/>
        </w:rPr>
        <w:lastRenderedPageBreak/>
        <w:t>Bashkia Kohila, fshati Urge; rajoni Saare, Bashkia Kärla, fshati Hirmuste; rajoni Viljandi, Bashkia Abja, fshati Penuja; Bashkia Tarvastu, fshati Soe.</w:t>
      </w:r>
    </w:p>
    <w:p w14:paraId="46AC64B5" w14:textId="77301F1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Bullgarisë</w:t>
      </w:r>
      <w:r w:rsidR="001E1925">
        <w:rPr>
          <w:rFonts w:ascii="Garamond" w:hAnsi="Garamond"/>
          <w:sz w:val="24"/>
          <w:szCs w:val="24"/>
          <w:lang w:val="sq-AL"/>
        </w:rPr>
        <w:t>:</w:t>
      </w:r>
      <w:r w:rsidRPr="00BA6C76">
        <w:rPr>
          <w:rFonts w:ascii="Garamond" w:hAnsi="Garamond"/>
          <w:sz w:val="24"/>
          <w:szCs w:val="24"/>
          <w:lang w:val="sq-AL"/>
        </w:rPr>
        <w:t xml:space="preserve"> rajoni Blagoevgrad, Burgas, Dobrich, Gabrovo, Haskovo, Kardzhali, Kyustendil, Pazardzhik, Pernik, Plovdiv, Razgrad, Ruse, Shumen, Sliven, Smolyan, Sofia, Stara Zagora, Tragovishte, Varna, Veliko Tarnovo dhe Yambol.</w:t>
      </w:r>
    </w:p>
    <w:p w14:paraId="46AC64B6" w14:textId="0C263D2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Polonisë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Dolnośląskie, Lubelskie, Lubuskie, Małopolskie, Mazowieckie, Opolskie, Podkarpackie, Podlaskie, Pomorskie, Warmińsko-Mazurskie, Wielkopolskie dhe Zachodniopomorskie.</w:t>
      </w:r>
    </w:p>
    <w:p w14:paraId="46AC64B7" w14:textId="0D9A45B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 xml:space="preserve">Shteti i Maqedonisë së </w:t>
      </w:r>
      <w:r w:rsidR="000F294E" w:rsidRPr="00BA6C76">
        <w:rPr>
          <w:rFonts w:ascii="Garamond" w:hAnsi="Garamond"/>
          <w:b/>
          <w:bCs/>
          <w:sz w:val="24"/>
          <w:szCs w:val="24"/>
          <w:lang w:val="sq-AL"/>
        </w:rPr>
        <w:t>Veriut</w:t>
      </w:r>
      <w:r w:rsidR="001E1925">
        <w:rPr>
          <w:rFonts w:ascii="Garamond" w:hAnsi="Garamond"/>
          <w:sz w:val="24"/>
          <w:szCs w:val="24"/>
          <w:lang w:val="sq-AL"/>
        </w:rPr>
        <w:t>:</w:t>
      </w:r>
      <w:r w:rsidRPr="00BA6C76">
        <w:rPr>
          <w:rFonts w:ascii="Garamond" w:hAnsi="Garamond"/>
          <w:sz w:val="24"/>
          <w:szCs w:val="24"/>
          <w:lang w:val="sq-AL"/>
        </w:rPr>
        <w:t xml:space="preserve"> njësia administratie Delcevo, fshati Kostin Dol; bashkia Makedonska Kamenica, fshati </w:t>
      </w:r>
      <w:r w:rsidRPr="00BA6C76">
        <w:rPr>
          <w:rFonts w:ascii="Garamond" w:hAnsi="Garamond" w:cs="Poppins-Regular"/>
          <w:color w:val="202C32"/>
          <w:spacing w:val="15"/>
          <w:sz w:val="24"/>
          <w:szCs w:val="24"/>
          <w:lang w:val="sq-AL"/>
        </w:rPr>
        <w:t>Moshtica</w:t>
      </w:r>
      <w:r w:rsidR="000F294E">
        <w:rPr>
          <w:rFonts w:ascii="Garamond" w:hAnsi="Garamond" w:cs="Poppins-Regular"/>
          <w:color w:val="202C32"/>
          <w:spacing w:val="15"/>
          <w:sz w:val="24"/>
          <w:szCs w:val="24"/>
          <w:lang w:val="sq-AL"/>
        </w:rPr>
        <w:t xml:space="preserve">, </w:t>
      </w:r>
      <w:r w:rsidR="000F294E" w:rsidRPr="000F294E">
        <w:rPr>
          <w:rFonts w:ascii="Garamond" w:hAnsi="Garamond" w:cs="Poppins-Regular"/>
          <w:i/>
          <w:color w:val="202C32"/>
          <w:spacing w:val="15"/>
          <w:sz w:val="24"/>
          <w:szCs w:val="24"/>
          <w:lang w:val="sq-AL"/>
        </w:rPr>
        <w:t>qyteti Kočani, qyteti Vinitsa</w:t>
      </w:r>
      <w:r w:rsidRPr="00BA6C76">
        <w:rPr>
          <w:rFonts w:ascii="Garamond" w:hAnsi="Garamond" w:cs="Poppins-Regular"/>
          <w:color w:val="202C32"/>
          <w:spacing w:val="15"/>
          <w:sz w:val="24"/>
          <w:szCs w:val="24"/>
          <w:lang w:val="sq-AL"/>
        </w:rPr>
        <w:t>.</w:t>
      </w:r>
    </w:p>
    <w:p w14:paraId="46AC64B8"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1.1. Për kafshët e gjalla të llojit</w:t>
      </w:r>
      <w:bookmarkStart w:id="0" w:name="_GoBack"/>
      <w:bookmarkEnd w:id="0"/>
      <w:r w:rsidRPr="00BA6C76">
        <w:rPr>
          <w:rFonts w:ascii="Garamond" w:hAnsi="Garamond"/>
          <w:sz w:val="24"/>
          <w:szCs w:val="24"/>
          <w:lang w:val="sq-AL"/>
        </w:rPr>
        <w:t xml:space="preserve"> derra të butë dhe të egër, </w:t>
      </w:r>
      <w:r w:rsidRPr="00BA6C76">
        <w:rPr>
          <w:rFonts w:ascii="Garamond" w:hAnsi="Garamond"/>
          <w:b/>
          <w:bCs/>
          <w:sz w:val="24"/>
          <w:szCs w:val="24"/>
          <w:lang w:val="sq-AL"/>
        </w:rPr>
        <w:t>certifikata shëndetësore veterinare duhet të vërtetojë që kafshët:</w:t>
      </w:r>
    </w:p>
    <w:p w14:paraId="46AC64B9" w14:textId="2173F84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ditën e dërgesës;</w:t>
      </w:r>
    </w:p>
    <w:p w14:paraId="46AC64BA" w14:textId="79091B87"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tre muajt e fundit në një kompartament (zonë) pa prezencë të murtajës afrikane të derrave</w:t>
      </w:r>
      <w:r w:rsidR="001E1925">
        <w:rPr>
          <w:rFonts w:ascii="Garamond" w:hAnsi="Garamond"/>
          <w:sz w:val="24"/>
          <w:szCs w:val="24"/>
          <w:lang w:val="sq-AL"/>
        </w:rPr>
        <w:t>;</w:t>
      </w:r>
      <w:r w:rsidRPr="00BA6C76">
        <w:rPr>
          <w:rFonts w:ascii="Garamond" w:hAnsi="Garamond"/>
          <w:sz w:val="24"/>
          <w:szCs w:val="24"/>
          <w:lang w:val="sq-AL"/>
        </w:rPr>
        <w:t xml:space="preserve"> ose</w:t>
      </w:r>
    </w:p>
    <w:p w14:paraId="46AC64BB" w14:textId="6D71F26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1E1925">
        <w:rPr>
          <w:rFonts w:ascii="Garamond" w:hAnsi="Garamond"/>
          <w:sz w:val="24"/>
          <w:szCs w:val="24"/>
          <w:lang w:val="sq-AL"/>
        </w:rPr>
        <w:t>)</w:t>
      </w:r>
      <w:r w:rsidRPr="00BA6C76">
        <w:rPr>
          <w:rFonts w:ascii="Garamond" w:hAnsi="Garamond"/>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46AC64BC" w14:textId="476DCDC2" w:rsidR="00B06FCE" w:rsidRPr="00BA6C76" w:rsidRDefault="001E1925"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1.2</w:t>
      </w:r>
      <w:r w:rsidR="00B06FCE" w:rsidRPr="00BA6C76">
        <w:rPr>
          <w:rFonts w:ascii="Garamond" w:hAnsi="Garamond"/>
          <w:sz w:val="24"/>
          <w:szCs w:val="24"/>
          <w:lang w:val="sq-AL"/>
        </w:rPr>
        <w:t xml:space="preserve"> Për materialin biologjik të kafshëve të llojit derra të butë ose të egër, </w:t>
      </w:r>
      <w:r w:rsidR="00B06FCE" w:rsidRPr="00BA6C76">
        <w:rPr>
          <w:rFonts w:ascii="Garamond" w:hAnsi="Garamond"/>
          <w:b/>
          <w:bCs/>
          <w:sz w:val="24"/>
          <w:szCs w:val="24"/>
          <w:lang w:val="sq-AL"/>
        </w:rPr>
        <w:t>certifikata shëndetësore veterinare duhet të vërtetojë që kafshët donatore të materialit biologjik:</w:t>
      </w:r>
    </w:p>
    <w:p w14:paraId="46AC64BD" w14:textId="5A7B720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në një stacion, në të cilin janë mbikëqyrur</w:t>
      </w:r>
      <w:r w:rsidR="001E1925">
        <w:rPr>
          <w:rFonts w:ascii="Garamond" w:hAnsi="Garamond"/>
          <w:sz w:val="24"/>
          <w:szCs w:val="24"/>
          <w:lang w:val="sq-AL"/>
        </w:rPr>
        <w:t>,</w:t>
      </w:r>
      <w:r w:rsidRPr="00BA6C76">
        <w:rPr>
          <w:rFonts w:ascii="Garamond" w:hAnsi="Garamond"/>
          <w:sz w:val="24"/>
          <w:szCs w:val="24"/>
          <w:lang w:val="sq-AL"/>
        </w:rPr>
        <w:t xml:space="preserve"> në përputhje me nenet 15.1.28 deri në 15.1.30 të Kodit Terrestrial të OIE-së dhe vërteton se asnjë rast i murtajës afrikane të derrave, nuk ka ndodhur në tre v</w:t>
      </w:r>
      <w:r w:rsidR="001E1925">
        <w:rPr>
          <w:rFonts w:ascii="Garamond" w:hAnsi="Garamond"/>
          <w:sz w:val="24"/>
          <w:szCs w:val="24"/>
          <w:lang w:val="sq-AL"/>
        </w:rPr>
        <w:t>jetët</w:t>
      </w:r>
      <w:r w:rsidRPr="00BA6C76">
        <w:rPr>
          <w:rFonts w:ascii="Garamond" w:hAnsi="Garamond"/>
          <w:sz w:val="24"/>
          <w:szCs w:val="24"/>
          <w:lang w:val="sq-AL"/>
        </w:rPr>
        <w:t xml:space="preserve"> 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BE" w14:textId="116E11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në ditën e mbledhjes së materialit biologjik;</w:t>
      </w:r>
    </w:p>
    <w:p w14:paraId="46AC64BF" w14:textId="5FD1A7C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sperma është mbledhur, përpunuar dhe ruajtur në përputhje me kapitujt 4.6 dhe 4.7 të Kodit Terrestrial të OIE-së;</w:t>
      </w:r>
    </w:p>
    <w:p w14:paraId="46AC64C0" w14:textId="7C80270A"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sperma e përdorur për fekondimin e ovociteve është në përputhje me kushtet e përcaktuara në nenin 15.1.10 ose nenin 15.1.11</w:t>
      </w:r>
      <w:r w:rsidR="00BA6C76">
        <w:rPr>
          <w:rFonts w:ascii="Garamond" w:hAnsi="Garamond"/>
          <w:sz w:val="24"/>
          <w:szCs w:val="24"/>
          <w:lang w:val="sq-AL"/>
        </w:rPr>
        <w:t xml:space="preserve"> </w:t>
      </w:r>
      <w:r w:rsidRPr="00BA6C76">
        <w:rPr>
          <w:rFonts w:ascii="Garamond" w:hAnsi="Garamond"/>
          <w:sz w:val="24"/>
          <w:szCs w:val="24"/>
          <w:lang w:val="sq-AL"/>
        </w:rPr>
        <w:t>të Kodit Terrestrial të OIE-së, sipas rastit.</w:t>
      </w:r>
    </w:p>
    <w:p w14:paraId="46AC64C1" w14:textId="5B66B1F4"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1.3 Për embrionet e derivuara </w:t>
      </w:r>
      <w:r w:rsidRPr="005E176E">
        <w:rPr>
          <w:rFonts w:ascii="Garamond" w:hAnsi="Garamond"/>
          <w:i/>
          <w:iCs/>
          <w:sz w:val="24"/>
          <w:szCs w:val="24"/>
          <w:lang w:val="sq-AL"/>
        </w:rPr>
        <w:t>in vivo</w:t>
      </w:r>
      <w:r w:rsidRPr="00BA6C76">
        <w:rPr>
          <w:rFonts w:ascii="Garamond" w:hAnsi="Garamond"/>
          <w:sz w:val="24"/>
          <w:szCs w:val="24"/>
          <w:lang w:val="sq-AL"/>
        </w:rPr>
        <w:t xml:space="preserve"> të derrave të butë, </w:t>
      </w:r>
      <w:r w:rsidRPr="00BA6C76">
        <w:rPr>
          <w:rFonts w:ascii="Garamond" w:hAnsi="Garamond"/>
          <w:b/>
          <w:bCs/>
          <w:sz w:val="24"/>
          <w:szCs w:val="24"/>
          <w:lang w:val="sq-AL"/>
        </w:rPr>
        <w:t>certifikata shëndetësore veterinare duhet të vërtetojë që kafshët donatore të embrioneve:</w:t>
      </w:r>
    </w:p>
    <w:p w14:paraId="46AC64C2" w14:textId="39471D33" w:rsidR="00B06FCE" w:rsidRPr="00BA6C76" w:rsidRDefault="00B06FCE" w:rsidP="005E176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5E176E">
        <w:rPr>
          <w:rFonts w:ascii="Garamond" w:hAnsi="Garamond"/>
          <w:sz w:val="24"/>
          <w:szCs w:val="24"/>
          <w:lang w:val="sq-AL"/>
        </w:rPr>
        <w:t>jetët</w:t>
      </w:r>
      <w:r w:rsidRPr="00BA6C76">
        <w:rPr>
          <w:rFonts w:ascii="Garamond" w:hAnsi="Garamond"/>
          <w:sz w:val="24"/>
          <w:szCs w:val="24"/>
          <w:lang w:val="sq-AL"/>
        </w:rPr>
        <w:t xml:space="preserve"> 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3" w14:textId="5FEA6DF1"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shenjë klinike të murtajës afrikane të derrave në ditën e mbledhjes së embrioneve;</w:t>
      </w:r>
    </w:p>
    <w:p w14:paraId="46AC64C4" w14:textId="789BD585"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i janë nënshtruar një testi serologjik të kryer të paktën 21 ditë pas grumbullimit, me rezultate negative;</w:t>
      </w:r>
    </w:p>
    <w:p w14:paraId="46AC64C5" w14:textId="7F603D2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embrionet janë mbledhur, përpunuar dhe ruajtur në përputhje me dispozitat përkatëse të kapitullit 4.8 dhe 4.10</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6" w14:textId="2A5D8451" w:rsidR="00B06FCE" w:rsidRPr="00BA6C76" w:rsidRDefault="0055173F"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1.4</w:t>
      </w:r>
      <w:r w:rsidR="00B06FCE" w:rsidRPr="00BA6C76">
        <w:rPr>
          <w:rFonts w:ascii="Garamond" w:hAnsi="Garamond"/>
          <w:sz w:val="24"/>
          <w:szCs w:val="24"/>
          <w:lang w:val="sq-AL"/>
        </w:rPr>
        <w:t xml:space="preserve"> Për mishin e kafshëve të llojit derra të butë ose të egër, </w:t>
      </w:r>
      <w:r w:rsidR="00B06FCE" w:rsidRPr="00BA6C76">
        <w:rPr>
          <w:rFonts w:ascii="Garamond" w:hAnsi="Garamond"/>
          <w:b/>
          <w:bCs/>
          <w:sz w:val="24"/>
          <w:szCs w:val="24"/>
          <w:lang w:val="sq-AL"/>
        </w:rPr>
        <w:t>certifikata shëndetësore veterinare duhet të vërtetojë</w:t>
      </w:r>
      <w:r>
        <w:rPr>
          <w:rFonts w:ascii="Garamond" w:hAnsi="Garamond"/>
          <w:b/>
          <w:bCs/>
          <w:sz w:val="24"/>
          <w:szCs w:val="24"/>
          <w:lang w:val="sq-AL"/>
        </w:rPr>
        <w:t>,</w:t>
      </w:r>
      <w:r w:rsidR="00B06FCE" w:rsidRPr="00BA6C76">
        <w:rPr>
          <w:rFonts w:ascii="Garamond" w:hAnsi="Garamond"/>
          <w:b/>
          <w:bCs/>
          <w:sz w:val="24"/>
          <w:szCs w:val="24"/>
          <w:lang w:val="sq-AL"/>
        </w:rPr>
        <w:t xml:space="preserve"> që:</w:t>
      </w:r>
    </w:p>
    <w:p w14:paraId="46AC64C7" w14:textId="02C5C412"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kafshët e llojit derra</w:t>
      </w:r>
      <w:r w:rsidR="0055173F">
        <w:rPr>
          <w:rFonts w:ascii="Garamond" w:hAnsi="Garamond"/>
          <w:sz w:val="24"/>
          <w:szCs w:val="24"/>
          <w:lang w:val="sq-AL"/>
        </w:rPr>
        <w:t>,</w:t>
      </w:r>
      <w:r w:rsidRPr="00BA6C76">
        <w:rPr>
          <w:rFonts w:ascii="Garamond" w:hAnsi="Garamond"/>
          <w:sz w:val="24"/>
          <w:szCs w:val="24"/>
          <w:lang w:val="sq-AL"/>
        </w:rPr>
        <w:t xml:space="preserve"> që kanë origjinën nga tufat në të cilat janë mbikëqyrur në përputhje me nenet 15.1.28 deri në 15.1.30 të Kodit Terrestrial të OIE-së </w:t>
      </w:r>
      <w:r w:rsidRPr="00BA6C76">
        <w:rPr>
          <w:rFonts w:ascii="Garamond" w:hAnsi="Garamond"/>
          <w:sz w:val="24"/>
          <w:szCs w:val="24"/>
          <w:lang w:val="sq-AL"/>
        </w:rPr>
        <w:lastRenderedPageBreak/>
        <w:t>dhe vërteton se asnjë rast i murtajës afrikane të derrave nuk ka ndodhur në tre v</w:t>
      </w:r>
      <w:r w:rsidR="0055173F">
        <w:rPr>
          <w:rFonts w:ascii="Garamond" w:hAnsi="Garamond"/>
          <w:sz w:val="24"/>
          <w:szCs w:val="24"/>
          <w:lang w:val="sq-AL"/>
        </w:rPr>
        <w:t>jetëve të</w:t>
      </w:r>
      <w:r w:rsidRPr="00BA6C76">
        <w:rPr>
          <w:rFonts w:ascii="Garamond" w:hAnsi="Garamond"/>
          <w:sz w:val="24"/>
          <w:szCs w:val="24"/>
          <w:lang w:val="sq-AL"/>
        </w:rPr>
        <w:t xml:space="preserv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8" w14:textId="1AABD110"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testuar mostra nga një numër statistikisht përfaqësues i kafshëve për sëmundjen e</w:t>
      </w:r>
      <w:r w:rsidR="00BA6C76">
        <w:rPr>
          <w:rFonts w:ascii="Garamond" w:hAnsi="Garamond"/>
          <w:sz w:val="24"/>
          <w:szCs w:val="24"/>
          <w:lang w:val="sq-AL"/>
        </w:rPr>
        <w:t xml:space="preserve"> </w:t>
      </w:r>
      <w:r w:rsidRPr="00BA6C76">
        <w:rPr>
          <w:rFonts w:ascii="Garamond" w:hAnsi="Garamond"/>
          <w:sz w:val="24"/>
          <w:szCs w:val="24"/>
          <w:lang w:val="sq-AL"/>
        </w:rPr>
        <w:t>murtajës afrikane të derrave, me rezultate negative;</w:t>
      </w:r>
    </w:p>
    <w:p w14:paraId="46AC64C9" w14:textId="67FC655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A" w14:textId="373AD6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janë marrë masat e nevojshme pas therjes për të shmangur kontaktin e mishit të freskët me çdo burim të virusit të murtajës afrikane të derrave.</w:t>
      </w:r>
    </w:p>
    <w:p w14:paraId="46AC64CB" w14:textId="77FF95D1"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1.5 Për mishin e freskët të kafshëve të egra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C" w14:textId="57A99A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vrarë në një vend ose zonë të lirë nga murtaja afrikane e derrave në përputhje me pikën 1 ose pikën 2 të nenit 15.1.4 të Kodit Terrestrial të OIE-së;</w:t>
      </w:r>
    </w:p>
    <w:p w14:paraId="46AC64CD" w14:textId="649AFBC1"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w:t>
      </w:r>
      <w:r w:rsidR="0055173F">
        <w:rPr>
          <w:rFonts w:ascii="Garamond" w:hAnsi="Garamond"/>
          <w:sz w:val="24"/>
          <w:szCs w:val="24"/>
          <w:lang w:val="sq-AL"/>
        </w:rPr>
        <w:t>u</w:t>
      </w:r>
      <w:r w:rsidRPr="00BA6C76">
        <w:rPr>
          <w:rFonts w:ascii="Garamond" w:hAnsi="Garamond"/>
          <w:sz w:val="24"/>
          <w:szCs w:val="24"/>
          <w:lang w:val="sq-AL"/>
        </w:rPr>
        <w:t xml:space="preserve"> janë nënshtruar me rezultate të favorshme një inspektimi pas vdekjes në përputhje me kapitullin 6.3 të Kodit Terrestrial të OIE-së në një objekt ekzaminimi të miratuar nga </w:t>
      </w:r>
      <w:r w:rsidR="006F271C" w:rsidRPr="00BA6C76">
        <w:rPr>
          <w:rFonts w:ascii="Garamond" w:hAnsi="Garamond"/>
          <w:sz w:val="24"/>
          <w:szCs w:val="24"/>
          <w:lang w:val="sq-AL"/>
        </w:rPr>
        <w:t>autoriteti veterinar p</w:t>
      </w:r>
      <w:r w:rsidRPr="00BA6C76">
        <w:rPr>
          <w:rFonts w:ascii="Garamond" w:hAnsi="Garamond"/>
          <w:sz w:val="24"/>
          <w:szCs w:val="24"/>
          <w:lang w:val="sq-AL"/>
        </w:rPr>
        <w:t>ër qëllime eksporti.</w:t>
      </w:r>
    </w:p>
    <w:p w14:paraId="46AC64CE" w14:textId="4A8E2A7E"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1.6 Për produktet e mishit të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F" w14:textId="289F19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mishi i freskët plotëson kushtet përkatëse në nenet 15.1.14, 15.1.15. dhe 15.1.16 të Kodit Terrestrial të OIE-së;</w:t>
      </w:r>
    </w:p>
    <w:p w14:paraId="46AC64D0" w14:textId="2AB3364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mishi është përpunuar në një objekt të miratuar nga </w:t>
      </w:r>
      <w:r w:rsidR="006F271C"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dhe ka plotësuar kushtet përkatëse të neneve 15.1.14, 15.1.15 dhe 15.1.16 të Kodit Terrestrial të OIE-së, ose;</w:t>
      </w:r>
    </w:p>
    <w:p w14:paraId="46AC64D1" w14:textId="195EC9D3"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në mënyrë që të sigurohet shkatërrimi i</w:t>
      </w:r>
      <w:r w:rsidR="00BA6C76">
        <w:rPr>
          <w:rFonts w:ascii="Garamond" w:hAnsi="Garamond"/>
          <w:sz w:val="24"/>
          <w:szCs w:val="24"/>
          <w:lang w:val="sq-AL"/>
        </w:rPr>
        <w:t xml:space="preserve"> </w:t>
      </w:r>
      <w:r w:rsidRPr="00BA6C76">
        <w:rPr>
          <w:rFonts w:ascii="Garamond" w:hAnsi="Garamond"/>
          <w:sz w:val="24"/>
          <w:szCs w:val="24"/>
          <w:lang w:val="sq-AL"/>
        </w:rPr>
        <w:t>virusit të murtajës afrikane të derrave</w:t>
      </w:r>
      <w:r w:rsidR="0055173F">
        <w:rPr>
          <w:rFonts w:ascii="Garamond" w:hAnsi="Garamond"/>
          <w:sz w:val="24"/>
          <w:szCs w:val="24"/>
          <w:lang w:val="sq-AL"/>
        </w:rPr>
        <w:t>,</w:t>
      </w:r>
      <w:r w:rsidRPr="00BA6C76">
        <w:rPr>
          <w:rFonts w:ascii="Garamond" w:hAnsi="Garamond"/>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46AC64D2" w14:textId="7E425665"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1.7 Për qimet (e pjesës së shpinës) e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D3" w14:textId="24666ACB"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kanë origjinën nga derrat e egër ose të butë të kapur në një vend, zonë ose ndarje pa prezencë të murtajës afrikane të derrave dhe janë përpunuar në një objekt të miratuar nga </w:t>
      </w:r>
      <w:r w:rsidR="006F271C" w:rsidRPr="00BA6C76">
        <w:rPr>
          <w:rFonts w:ascii="Garamond" w:hAnsi="Garamond"/>
          <w:sz w:val="24"/>
          <w:szCs w:val="24"/>
          <w:lang w:val="sq-AL"/>
        </w:rPr>
        <w:t>autoriteti</w:t>
      </w:r>
      <w:r w:rsidR="006F271C">
        <w:rPr>
          <w:rFonts w:ascii="Garamond" w:hAnsi="Garamond"/>
          <w:sz w:val="24"/>
          <w:szCs w:val="24"/>
          <w:lang w:val="sq-AL"/>
        </w:rPr>
        <w:t xml:space="preserve"> veterinar </w:t>
      </w:r>
      <w:r w:rsidR="00C97397">
        <w:rPr>
          <w:rFonts w:ascii="Garamond" w:hAnsi="Garamond"/>
          <w:sz w:val="24"/>
          <w:szCs w:val="24"/>
          <w:lang w:val="sq-AL"/>
        </w:rPr>
        <w:t>për qëllime eksporti</w:t>
      </w:r>
      <w:r w:rsidR="00C97397" w:rsidRPr="00BA6C76">
        <w:rPr>
          <w:rFonts w:ascii="Garamond" w:hAnsi="Garamond"/>
          <w:sz w:val="24"/>
          <w:szCs w:val="24"/>
          <w:lang w:val="sq-AL"/>
        </w:rPr>
        <w:t>;</w:t>
      </w:r>
      <w:r w:rsidRPr="00BA6C76">
        <w:rPr>
          <w:rFonts w:ascii="Garamond" w:hAnsi="Garamond"/>
          <w:sz w:val="24"/>
          <w:szCs w:val="24"/>
          <w:lang w:val="sq-AL"/>
        </w:rPr>
        <w:t xml:space="preserve"> ose</w:t>
      </w:r>
    </w:p>
    <w:p w14:paraId="46AC64D4" w14:textId="47B7C4D1"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C97397">
        <w:rPr>
          <w:rFonts w:ascii="Garamond" w:hAnsi="Garamond"/>
          <w:sz w:val="24"/>
          <w:szCs w:val="24"/>
          <w:lang w:val="sq-AL"/>
        </w:rPr>
        <w:t>,</w:t>
      </w:r>
      <w:r w:rsidRPr="00BA6C76">
        <w:rPr>
          <w:rFonts w:ascii="Garamond" w:hAnsi="Garamond"/>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6AC64D5" w14:textId="70065AF7"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1.8 Për lëkurët e kafshëve të llojit derra, </w:t>
      </w:r>
      <w:r w:rsidRPr="00BA6C76">
        <w:rPr>
          <w:rFonts w:ascii="Garamond" w:hAnsi="Garamond"/>
          <w:b/>
          <w:bCs/>
          <w:sz w:val="24"/>
          <w:szCs w:val="24"/>
          <w:lang w:val="sq-AL"/>
        </w:rPr>
        <w:t>certifikata shëndetësore veterinare duhet të vërtetojë</w:t>
      </w:r>
      <w:r w:rsidR="00C97397">
        <w:rPr>
          <w:rFonts w:ascii="Garamond" w:hAnsi="Garamond"/>
          <w:b/>
          <w:bCs/>
          <w:sz w:val="24"/>
          <w:szCs w:val="24"/>
          <w:lang w:val="sq-AL"/>
        </w:rPr>
        <w:t>,</w:t>
      </w:r>
      <w:r w:rsidRPr="00BA6C76">
        <w:rPr>
          <w:rFonts w:ascii="Garamond" w:hAnsi="Garamond"/>
          <w:b/>
          <w:bCs/>
          <w:sz w:val="24"/>
          <w:szCs w:val="24"/>
          <w:lang w:val="sq-AL"/>
        </w:rPr>
        <w:t xml:space="preserve"> që:</w:t>
      </w:r>
    </w:p>
    <w:p w14:paraId="46AC64D6" w14:textId="14E4CF39"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BA6C76">
        <w:rPr>
          <w:rFonts w:ascii="Garamond" w:hAnsi="Garamond"/>
          <w:sz w:val="24"/>
          <w:szCs w:val="24"/>
          <w:lang w:val="sq-AL"/>
        </w:rPr>
        <w:t>)</w:t>
      </w:r>
      <w:r w:rsidRPr="00BA6C76">
        <w:rPr>
          <w:rFonts w:ascii="Garamond" w:hAnsi="Garamond"/>
          <w:sz w:val="24"/>
          <w:szCs w:val="24"/>
          <w:lang w:val="sq-AL"/>
        </w:rPr>
        <w:t xml:space="preserve"> kanë ardhur nga derra të një vendi ose zone të lirë nga sëmundja e</w:t>
      </w:r>
      <w:r w:rsidR="00BA6C76">
        <w:rPr>
          <w:rFonts w:ascii="Garamond" w:hAnsi="Garamond"/>
          <w:sz w:val="24"/>
          <w:szCs w:val="24"/>
          <w:lang w:val="sq-AL"/>
        </w:rPr>
        <w:t xml:space="preserve"> </w:t>
      </w:r>
      <w:r w:rsidRPr="00BA6C76">
        <w:rPr>
          <w:rFonts w:ascii="Garamond" w:hAnsi="Garamond"/>
          <w:sz w:val="24"/>
          <w:szCs w:val="24"/>
          <w:lang w:val="sq-AL"/>
        </w:rPr>
        <w:t>murtajës afrikane të derrave, në përputhje me pikën 1 ose pikën 2 të nenit 15.1.4 të Kodit Terrestrial të</w:t>
      </w:r>
      <w:r w:rsidR="00BA6C76">
        <w:rPr>
          <w:rFonts w:ascii="Garamond" w:hAnsi="Garamond"/>
          <w:sz w:val="24"/>
          <w:szCs w:val="24"/>
          <w:lang w:val="sq-AL"/>
        </w:rPr>
        <w:t xml:space="preserve"> </w:t>
      </w:r>
      <w:r w:rsidRPr="00BA6C76">
        <w:rPr>
          <w:rFonts w:ascii="Garamond" w:hAnsi="Garamond"/>
          <w:sz w:val="24"/>
          <w:szCs w:val="24"/>
          <w:lang w:val="sq-AL"/>
        </w:rPr>
        <w:t xml:space="preserve">OIE-së dhe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w:t>
      </w:r>
      <w:r w:rsidR="00C97397">
        <w:rPr>
          <w:rFonts w:ascii="Garamond" w:hAnsi="Garamond"/>
          <w:sz w:val="24"/>
          <w:szCs w:val="24"/>
          <w:lang w:val="sq-AL"/>
        </w:rPr>
        <w:t>;</w:t>
      </w:r>
      <w:r w:rsidRPr="00BA6C76">
        <w:rPr>
          <w:rFonts w:ascii="Garamond" w:hAnsi="Garamond"/>
          <w:sz w:val="24"/>
          <w:szCs w:val="24"/>
          <w:lang w:val="sq-AL"/>
        </w:rPr>
        <w:t xml:space="preserve"> ose</w:t>
      </w:r>
    </w:p>
    <w:p w14:paraId="46AC64D7" w14:textId="11889E82" w:rsidR="00B06FCE" w:rsidRPr="00BA6C76" w:rsidRDefault="00B06FCE" w:rsidP="00BA6C76">
      <w:pPr>
        <w:tabs>
          <w:tab w:val="left" w:pos="720"/>
        </w:tabs>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BA6C76">
        <w:rPr>
          <w:rFonts w:ascii="Garamond" w:hAnsi="Garamond"/>
          <w:sz w:val="24"/>
          <w:szCs w:val="24"/>
          <w:lang w:val="sq-AL"/>
        </w:rPr>
        <w:t>)</w:t>
      </w:r>
      <w:r w:rsidRPr="00BA6C76">
        <w:rPr>
          <w:rFonts w:ascii="Garamond" w:hAnsi="Garamond"/>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DD4091" w:rsidRPr="00BA6C76">
        <w:rPr>
          <w:rFonts w:ascii="Garamond" w:hAnsi="Garamond"/>
          <w:sz w:val="24"/>
          <w:szCs w:val="24"/>
          <w:lang w:val="sq-AL"/>
        </w:rPr>
        <w:t xml:space="preserve">autoriteti veterinar </w:t>
      </w:r>
      <w:r w:rsidR="00DD4091">
        <w:rPr>
          <w:rFonts w:ascii="Garamond" w:hAnsi="Garamond"/>
          <w:sz w:val="24"/>
          <w:szCs w:val="24"/>
          <w:lang w:val="sq-AL"/>
        </w:rPr>
        <w:t>për qëllime eksporti; ose</w:t>
      </w:r>
    </w:p>
    <w:p w14:paraId="46AC64D8" w14:textId="4F79715E" w:rsidR="00B06FCE" w:rsidRPr="00BA6C76" w:rsidRDefault="00B06FCE" w:rsidP="00BA6C76">
      <w:pPr>
        <w:spacing w:after="0" w:line="240" w:lineRule="auto"/>
        <w:ind w:firstLine="284"/>
        <w:jc w:val="both"/>
        <w:rPr>
          <w:rFonts w:ascii="Garamond" w:hAnsi="Garamond"/>
          <w:sz w:val="24"/>
          <w:szCs w:val="24"/>
          <w:lang w:val="sq-AL"/>
        </w:rPr>
      </w:pPr>
      <w:r w:rsidRPr="00BA6C76">
        <w:rPr>
          <w:rFonts w:ascii="Garamond" w:hAnsi="Garamond"/>
          <w:sz w:val="24"/>
          <w:szCs w:val="24"/>
          <w:lang w:val="sq-AL"/>
        </w:rPr>
        <w:t>c</w:t>
      </w:r>
      <w:r w:rsidR="00BA6C76">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11763F"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11763F">
        <w:rPr>
          <w:rFonts w:ascii="Garamond" w:hAnsi="Garamond"/>
          <w:sz w:val="24"/>
          <w:szCs w:val="24"/>
          <w:lang w:val="sq-AL"/>
        </w:rPr>
        <w:t>,</w:t>
      </w:r>
      <w:r w:rsidRPr="00BA6C76">
        <w:rPr>
          <w:rFonts w:ascii="Garamond" w:hAnsi="Garamond"/>
          <w:sz w:val="24"/>
          <w:szCs w:val="24"/>
          <w:lang w:val="sq-AL"/>
        </w:rPr>
        <w:t xml:space="preserve"> në përputhje me një nga procedurat e </w:t>
      </w:r>
      <w:r w:rsidRPr="00BA6C76">
        <w:rPr>
          <w:rFonts w:ascii="Garamond" w:hAnsi="Garamond"/>
          <w:sz w:val="24"/>
          <w:szCs w:val="24"/>
          <w:lang w:val="sq-AL"/>
        </w:rPr>
        <w:lastRenderedPageBreak/>
        <w:t>përmendura në nenin 15.1.25 të Kodit Terrestrial të OIE-së dhe janë marrë masat paraprake të nevojshme pas përpunimit për të shmangur kontaktin e produktit me çdo burim virusit të murtajës afrikane të derrave.</w:t>
      </w:r>
    </w:p>
    <w:p w14:paraId="46AC64D9" w14:textId="24149B30"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2. Urdhri nr. 14, datë 14.1.2022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 xml:space="preserve">të tyre, materialit biologjik, embrioneve, mishit dhe nënprodukteve të tyre nga Republika e Maqedonisë së </w:t>
      </w:r>
      <w:r w:rsidR="0011763F">
        <w:rPr>
          <w:rFonts w:ascii="Garamond" w:hAnsi="Garamond"/>
          <w:sz w:val="24"/>
          <w:szCs w:val="24"/>
          <w:lang w:val="sq-AL"/>
        </w:rPr>
        <w:t>Veriut”,</w:t>
      </w:r>
      <w:r w:rsidRPr="00BA6C76">
        <w:rPr>
          <w:rFonts w:ascii="Garamond" w:hAnsi="Garamond"/>
          <w:sz w:val="24"/>
          <w:szCs w:val="24"/>
          <w:lang w:val="sq-AL"/>
        </w:rPr>
        <w:t xml:space="preserve"> dhe </w:t>
      </w:r>
      <w:r w:rsidR="0011763F" w:rsidRPr="00BA6C76">
        <w:rPr>
          <w:rFonts w:ascii="Garamond" w:hAnsi="Garamond"/>
          <w:sz w:val="24"/>
          <w:szCs w:val="24"/>
          <w:lang w:val="sq-AL"/>
        </w:rPr>
        <w:t xml:space="preserve">urdhri </w:t>
      </w:r>
      <w:r w:rsidRPr="00BA6C76">
        <w:rPr>
          <w:rFonts w:ascii="Garamond" w:hAnsi="Garamond"/>
          <w:sz w:val="24"/>
          <w:szCs w:val="24"/>
          <w:lang w:val="sq-AL"/>
        </w:rPr>
        <w:t>nr. 335, datë 13.7.2022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të tyre, materialit biologjik, embrioneve, mishit dhe nënprodukteve të tyre nga Hungaria, Letonia, Ukraina, Rumania, Italia, Gjermania, Lituania, Moldavia, Sllovakia, Serbia, Estonia, Bullgaria dhe Polonia”,</w:t>
      </w:r>
      <w:r w:rsidR="00BA6C76" w:rsidRPr="00BA6C76">
        <w:rPr>
          <w:rFonts w:ascii="Garamond" w:hAnsi="Garamond"/>
          <w:sz w:val="24"/>
          <w:szCs w:val="24"/>
          <w:lang w:val="sq-AL"/>
        </w:rPr>
        <w:t xml:space="preserve"> </w:t>
      </w:r>
      <w:r w:rsidRPr="00BA6C76">
        <w:rPr>
          <w:rFonts w:ascii="Garamond" w:hAnsi="Garamond"/>
          <w:sz w:val="24"/>
          <w:szCs w:val="24"/>
          <w:lang w:val="sq-AL"/>
        </w:rPr>
        <w:t>shfuqizohet.</w:t>
      </w:r>
    </w:p>
    <w:p w14:paraId="46AC64DA"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3. Autoriteti Kombëtar i Ushqimit të informojë rregullisht, brenda 24 orëve Autoritetin Kombëtar të Veterinarisë dhe Mbrojtjes së Bimëve, Drejtorinë e Politikave dhe Programeve të Sigurisë Ushqimore dhe Veterinarisë për çdo ngarkesë të kafshëve të llojit derra, produkteve dhe nënprodukteve të tyre, materialit biologjik, embrioneve, mishit dhe nënprodukteve të tyre.</w:t>
      </w:r>
    </w:p>
    <w:p w14:paraId="46AC64DB"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4. Për zbatimin e këtij urdhri ngarkohet, Drejtoria e Politikave Veterinare në Ministrinë e Bujqësisë dhe Zhvillimit Rural, Autoriteti Kombëtar i Ushqimit dhe Autoriteti Kombëtar i Veterinarisë dhe Mbrojtjes së Bimëve.</w:t>
      </w:r>
    </w:p>
    <w:p w14:paraId="46AC64DC"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Ky urdhër hyn në fuqi menjëherë dhe botohet në Fletoren Zyrtare.</w:t>
      </w:r>
    </w:p>
    <w:p w14:paraId="46AC64DD" w14:textId="77777777" w:rsidR="00B06FCE" w:rsidRPr="00BA6C76" w:rsidRDefault="00B06FCE" w:rsidP="00B06FCE">
      <w:pPr>
        <w:spacing w:after="0" w:line="240" w:lineRule="auto"/>
        <w:ind w:firstLine="284"/>
        <w:jc w:val="both"/>
        <w:rPr>
          <w:rFonts w:ascii="Garamond" w:hAnsi="Garamond"/>
          <w:sz w:val="24"/>
          <w:szCs w:val="24"/>
          <w:lang w:val="sq-AL"/>
        </w:rPr>
      </w:pPr>
    </w:p>
    <w:p w14:paraId="46AC64DE" w14:textId="005AB4BA" w:rsidR="00B06FCE" w:rsidRPr="00BA6C76" w:rsidRDefault="00BA6C76" w:rsidP="00BA6C76">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ZËVENDËSMINISTËR</w:t>
      </w:r>
      <w:r w:rsidR="00B06FCE" w:rsidRPr="00BA6C76">
        <w:rPr>
          <w:rFonts w:ascii="Garamond" w:hAnsi="Garamond"/>
          <w:bCs/>
          <w:sz w:val="24"/>
          <w:szCs w:val="24"/>
          <w:lang w:val="sq-AL"/>
        </w:rPr>
        <w:t xml:space="preserve"> </w:t>
      </w:r>
      <w:r>
        <w:rPr>
          <w:rFonts w:ascii="Garamond" w:hAnsi="Garamond"/>
          <w:bCs/>
          <w:sz w:val="24"/>
          <w:szCs w:val="24"/>
          <w:lang w:val="sq-AL"/>
        </w:rPr>
        <w:t xml:space="preserve">I </w:t>
      </w:r>
      <w:r w:rsidR="00B06FCE" w:rsidRPr="00BA6C76">
        <w:rPr>
          <w:rFonts w:ascii="Garamond" w:hAnsi="Garamond"/>
          <w:bCs/>
          <w:sz w:val="24"/>
          <w:szCs w:val="24"/>
          <w:lang w:val="sq-AL"/>
        </w:rPr>
        <w:t xml:space="preserve">BUJQËSISË </w:t>
      </w:r>
    </w:p>
    <w:p w14:paraId="46AC64DF" w14:textId="77777777" w:rsidR="00B06FCE" w:rsidRPr="00BA6C76" w:rsidRDefault="00B06FCE" w:rsidP="00B06FCE">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DHE ZHVILLIMIT RURAL</w:t>
      </w:r>
    </w:p>
    <w:p w14:paraId="46AC64E3" w14:textId="0769082B" w:rsidR="00FF11BA" w:rsidRPr="00BA6C76" w:rsidRDefault="00B06FCE" w:rsidP="00BA6C76">
      <w:pPr>
        <w:spacing w:after="0" w:line="240" w:lineRule="auto"/>
        <w:ind w:firstLine="284"/>
        <w:jc w:val="right"/>
        <w:rPr>
          <w:rFonts w:ascii="Garamond" w:hAnsi="Garamond"/>
          <w:sz w:val="24"/>
          <w:szCs w:val="24"/>
          <w:lang w:val="sq-AL"/>
        </w:rPr>
      </w:pPr>
      <w:r w:rsidRPr="00BA6C76">
        <w:rPr>
          <w:rFonts w:ascii="Garamond" w:hAnsi="Garamond"/>
          <w:b/>
          <w:bCs/>
          <w:sz w:val="24"/>
          <w:szCs w:val="24"/>
          <w:lang w:val="sq-AL"/>
        </w:rPr>
        <w:t>Dhimitër Kote</w:t>
      </w:r>
    </w:p>
    <w:sectPr w:rsidR="00FF11BA" w:rsidRPr="00BA6C76" w:rsidSect="001E192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ppi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8013B"/>
    <w:multiLevelType w:val="hybridMultilevel"/>
    <w:tmpl w:val="A8E4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5E4AE6"/>
    <w:multiLevelType w:val="hybridMultilevel"/>
    <w:tmpl w:val="2970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E1108"/>
    <w:multiLevelType w:val="hybridMultilevel"/>
    <w:tmpl w:val="4BF2E7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BE6A6E"/>
    <w:multiLevelType w:val="hybridMultilevel"/>
    <w:tmpl w:val="E02A3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E16AE"/>
    <w:multiLevelType w:val="hybridMultilevel"/>
    <w:tmpl w:val="A9E439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83CCA"/>
    <w:multiLevelType w:val="hybridMultilevel"/>
    <w:tmpl w:val="889AEC7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D72EAA"/>
    <w:multiLevelType w:val="hybridMultilevel"/>
    <w:tmpl w:val="EEE42D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B2437"/>
    <w:multiLevelType w:val="hybridMultilevel"/>
    <w:tmpl w:val="0526DF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A22C1"/>
    <w:multiLevelType w:val="multilevel"/>
    <w:tmpl w:val="A1A22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9C4CDC"/>
    <w:multiLevelType w:val="hybridMultilevel"/>
    <w:tmpl w:val="CB40D0A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4"/>
  </w:num>
  <w:num w:numId="7">
    <w:abstractNumId w:val="6"/>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CE"/>
    <w:rsid w:val="000302A3"/>
    <w:rsid w:val="000F294E"/>
    <w:rsid w:val="0011763F"/>
    <w:rsid w:val="00175DC6"/>
    <w:rsid w:val="001B1230"/>
    <w:rsid w:val="001E1925"/>
    <w:rsid w:val="002075AE"/>
    <w:rsid w:val="0055173F"/>
    <w:rsid w:val="005E176E"/>
    <w:rsid w:val="006F271C"/>
    <w:rsid w:val="006F7F4C"/>
    <w:rsid w:val="00AB7CA0"/>
    <w:rsid w:val="00B06FCE"/>
    <w:rsid w:val="00BA6C76"/>
    <w:rsid w:val="00C97397"/>
    <w:rsid w:val="00DD4091"/>
    <w:rsid w:val="00FC3196"/>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64A0"/>
  <w15:docId w15:val="{0C85AEA0-DEA3-448E-B109-E550A9E3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FC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6FCE"/>
    <w:rPr>
      <w:sz w:val="20"/>
      <w:szCs w:val="20"/>
    </w:rPr>
  </w:style>
  <w:style w:type="character" w:customStyle="1" w:styleId="CommentTextChar">
    <w:name w:val="Comment Text Char"/>
    <w:basedOn w:val="DefaultParagraphFont"/>
    <w:link w:val="CommentText"/>
    <w:uiPriority w:val="99"/>
    <w:semiHidden/>
    <w:rsid w:val="00B06FCE"/>
    <w:rPr>
      <w:rFonts w:ascii="Calibri" w:eastAsia="Times New Roman" w:hAnsi="Calibri" w:cs="Times New Roman"/>
      <w:sz w:val="20"/>
      <w:szCs w:val="20"/>
    </w:rPr>
  </w:style>
  <w:style w:type="paragraph" w:styleId="BodyText">
    <w:name w:val="Body Text"/>
    <w:basedOn w:val="Normal"/>
    <w:link w:val="BodyTextChar"/>
    <w:semiHidden/>
    <w:unhideWhenUsed/>
    <w:rsid w:val="00B06FCE"/>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semiHidden/>
    <w:rsid w:val="00B06FCE"/>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06FCE"/>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B06FC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99B678A1FDD48C3A26AE2248FDB45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365</Nr_x002e__x0020_akti>
    <Data_x0020_e_x0020_Krijimit xmlns="0e656187-b300-4fb0-8bf4-3a50f872073c">2022-08-12T07:27:38Z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2022-08-10T22:00:00Z</Date_x0020_protokolli>
    <Titulli xmlns="0e656187-b300-4fb0-8bf4-3a50f872073c">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 </Titulli>
    <Modifikuesi xmlns="0e656187-b300-4fb0-8bf4-3a50f872073c">alma.lisaku</Modifikuesi>
    <Nr_x002e__x0020_prot_x0020_QBZ xmlns="0e656187-b300-4fb0-8bf4-3a50f872073c">1310/1</Nr_x002e__x0020_prot_x0020_QBZ>
    <Data_x0020_e_x0020_Modifikimit xmlns="0e656187-b300-4fb0-8bf4-3a50f872073c">2022-08-12T10:35:09Z</Data_x0020_e_x0020_Modifikimit>
    <Dekretuar xmlns="0e656187-b300-4fb0-8bf4-3a50f872073c">false</Dekretuar>
    <Data xmlns="0e656187-b300-4fb0-8bf4-3a50f872073c">2022-08-09T22:00:00Z</Data>
    <Nr_x002e__x0020_protokolli_x0020_i_x0020_aktit xmlns="0e656187-b300-4fb0-8bf4-3a50f872073c">4185/3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195A0-1156-4607-B957-F884CC8D1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052C864-0DDC-4C62-92DC-F601F9A0624B}">
  <ds:schemaRefs>
    <ds:schemaRef ds:uri="http://schemas.microsoft.com/sharepoint/v3/contenttype/forms"/>
  </ds:schemaRefs>
</ds:datastoreItem>
</file>

<file path=customXml/itemProps3.xml><?xml version="1.0" encoding="utf-8"?>
<ds:datastoreItem xmlns:ds="http://schemas.openxmlformats.org/officeDocument/2006/customXml" ds:itemID="{684F12D4-386E-440A-AC0B-49F02A8E6D46}">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2D129D5-D4CC-4833-996F-91ECB0597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2500</Words>
  <Characters>14252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Hungaria, Letonia, Ukraina, Rumania, Italia, Gjermania, Lituania, Moldavia, Sllovakia, Serbia, Estonia, Bull</vt:lpstr>
    </vt:vector>
  </TitlesOfParts>
  <Company/>
  <LinksUpToDate>false</LinksUpToDate>
  <CharactersWithSpaces>16719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dc:title>
  <dc:creator>Ermira Bukaci</dc:creator>
  <cp:lastModifiedBy>Sara Mborja</cp:lastModifiedBy>
  <cp:revision>2</cp:revision>
  <dcterms:created xsi:type="dcterms:W3CDTF">2022-10-12T12:02:00Z</dcterms:created>
  <dcterms:modified xsi:type="dcterms:W3CDTF">2022-10-12T12:02:00Z</dcterms:modified>
</cp:coreProperties>
</file>