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C9122C" w14:textId="77777777" w:rsidR="006B6C51" w:rsidRPr="00FA2D18" w:rsidRDefault="006B6C51" w:rsidP="006B6C51">
      <w:pPr>
        <w:autoSpaceDE w:val="0"/>
        <w:autoSpaceDN w:val="0"/>
        <w:adjustRightInd w:val="0"/>
        <w:spacing w:after="0" w:line="240" w:lineRule="auto"/>
        <w:ind w:firstLine="284"/>
        <w:jc w:val="center"/>
        <w:rPr>
          <w:rFonts w:ascii="Garamond" w:eastAsiaTheme="minorHAnsi" w:hAnsi="Garamond" w:cs="Times New Roman"/>
          <w:b/>
          <w:bCs/>
          <w:sz w:val="24"/>
          <w:szCs w:val="24"/>
        </w:rPr>
      </w:pPr>
      <w:r w:rsidRPr="00FA2D18">
        <w:rPr>
          <w:rFonts w:ascii="Garamond" w:eastAsiaTheme="minorHAnsi" w:hAnsi="Garamond" w:cs="Times New Roman"/>
          <w:b/>
          <w:bCs/>
          <w:sz w:val="24"/>
          <w:szCs w:val="24"/>
        </w:rPr>
        <w:t>URDHËR</w:t>
      </w:r>
      <w:bookmarkStart w:id="0" w:name="_GoBack"/>
      <w:bookmarkEnd w:id="0"/>
    </w:p>
    <w:p w14:paraId="11CB0112" w14:textId="1C25E6FA" w:rsidR="006B6C51" w:rsidRPr="00FA2D18" w:rsidRDefault="006B6C51" w:rsidP="006B6C51">
      <w:pPr>
        <w:autoSpaceDE w:val="0"/>
        <w:autoSpaceDN w:val="0"/>
        <w:adjustRightInd w:val="0"/>
        <w:spacing w:after="0" w:line="240" w:lineRule="auto"/>
        <w:ind w:firstLine="284"/>
        <w:jc w:val="center"/>
        <w:rPr>
          <w:rFonts w:ascii="Garamond" w:eastAsiaTheme="minorHAnsi" w:hAnsi="Garamond" w:cs="Times New Roman"/>
          <w:b/>
          <w:bCs/>
          <w:sz w:val="24"/>
          <w:szCs w:val="24"/>
        </w:rPr>
      </w:pPr>
      <w:r w:rsidRPr="00FA2D18">
        <w:rPr>
          <w:rFonts w:ascii="Garamond" w:eastAsiaTheme="minorHAnsi" w:hAnsi="Garamond" w:cs="Times New Roman"/>
          <w:b/>
          <w:bCs/>
          <w:sz w:val="24"/>
          <w:szCs w:val="24"/>
        </w:rPr>
        <w:t>Nr. 85, datë 17.2.2023</w:t>
      </w:r>
    </w:p>
    <w:p w14:paraId="33F4D646" w14:textId="77777777" w:rsidR="006B6C51" w:rsidRPr="00FA2D18" w:rsidRDefault="006B6C51" w:rsidP="006B6C51">
      <w:pPr>
        <w:autoSpaceDE w:val="0"/>
        <w:autoSpaceDN w:val="0"/>
        <w:adjustRightInd w:val="0"/>
        <w:spacing w:after="0" w:line="240" w:lineRule="auto"/>
        <w:ind w:firstLine="284"/>
        <w:jc w:val="center"/>
        <w:rPr>
          <w:rFonts w:ascii="Garamond" w:eastAsiaTheme="minorHAnsi" w:hAnsi="Garamond" w:cs="Times New Roman"/>
          <w:b/>
          <w:bCs/>
          <w:sz w:val="24"/>
          <w:szCs w:val="24"/>
        </w:rPr>
      </w:pPr>
    </w:p>
    <w:p w14:paraId="758C9AA9" w14:textId="783FB0E0" w:rsidR="006B6C51" w:rsidRPr="00FA2D18" w:rsidRDefault="006B6C51" w:rsidP="00941784">
      <w:pPr>
        <w:autoSpaceDE w:val="0"/>
        <w:autoSpaceDN w:val="0"/>
        <w:adjustRightInd w:val="0"/>
        <w:spacing w:after="0" w:line="240" w:lineRule="auto"/>
        <w:ind w:firstLine="284"/>
        <w:jc w:val="center"/>
        <w:rPr>
          <w:rFonts w:ascii="Garamond" w:eastAsiaTheme="minorHAnsi" w:hAnsi="Garamond" w:cs="Times New Roman"/>
          <w:b/>
          <w:bCs/>
          <w:sz w:val="24"/>
          <w:szCs w:val="24"/>
        </w:rPr>
      </w:pPr>
      <w:r w:rsidRPr="00FA2D18">
        <w:rPr>
          <w:rFonts w:ascii="Garamond" w:eastAsiaTheme="minorHAnsi" w:hAnsi="Garamond" w:cs="Times New Roman"/>
          <w:b/>
          <w:bCs/>
          <w:sz w:val="24"/>
          <w:szCs w:val="24"/>
        </w:rPr>
        <w:t>PËR MIRATIMIN E RREGULLORES</w:t>
      </w:r>
      <w:r w:rsidR="00941784" w:rsidRPr="00FA2D18">
        <w:rPr>
          <w:rFonts w:ascii="Garamond" w:eastAsiaTheme="minorHAnsi" w:hAnsi="Garamond" w:cs="Times New Roman"/>
          <w:b/>
          <w:bCs/>
          <w:sz w:val="24"/>
          <w:szCs w:val="24"/>
        </w:rPr>
        <w:t xml:space="preserve"> </w:t>
      </w:r>
      <w:r w:rsidRPr="00FA2D18">
        <w:rPr>
          <w:rFonts w:ascii="Garamond" w:eastAsiaTheme="minorHAnsi" w:hAnsi="Garamond" w:cs="Times New Roman"/>
          <w:b/>
          <w:bCs/>
          <w:sz w:val="24"/>
          <w:szCs w:val="24"/>
        </w:rPr>
        <w:t>PËR</w:t>
      </w:r>
      <w:r w:rsidR="00C35C1E" w:rsidRPr="00FA2D18">
        <w:rPr>
          <w:rFonts w:ascii="Garamond" w:eastAsiaTheme="minorHAnsi" w:hAnsi="Garamond" w:cs="Times New Roman"/>
          <w:b/>
          <w:bCs/>
          <w:sz w:val="24"/>
          <w:szCs w:val="24"/>
        </w:rPr>
        <w:t xml:space="preserve"> </w:t>
      </w:r>
      <w:r w:rsidRPr="00FA2D18">
        <w:rPr>
          <w:rFonts w:ascii="Garamond" w:eastAsiaTheme="minorHAnsi" w:hAnsi="Garamond" w:cs="Times New Roman"/>
          <w:b/>
          <w:bCs/>
          <w:sz w:val="24"/>
          <w:szCs w:val="24"/>
        </w:rPr>
        <w:t>KONTROLLIN ZYRTAR MBI PËRDORIMIN E SUBSTANCAVE FARMAKOLOGJIKISHT AKTIVE TË AUTORIZUARA SI PRODUKTE MJEKËSORE VETERINARE OSE SI ADITIVË PËR USHQIMET PËR KAFSHË DHE MBETJET E TYRE</w:t>
      </w:r>
      <w:r w:rsidR="00213BBC" w:rsidRPr="00FA2D18">
        <w:rPr>
          <w:rFonts w:ascii="Garamond" w:eastAsiaTheme="minorHAnsi" w:hAnsi="Garamond" w:cs="Times New Roman"/>
          <w:b/>
          <w:bCs/>
          <w:sz w:val="24"/>
          <w:szCs w:val="24"/>
        </w:rPr>
        <w:t>,</w:t>
      </w:r>
      <w:r w:rsidRPr="00FA2D18">
        <w:rPr>
          <w:rFonts w:ascii="Garamond" w:eastAsiaTheme="minorHAnsi" w:hAnsi="Garamond" w:cs="Times New Roman"/>
          <w:b/>
          <w:bCs/>
          <w:sz w:val="24"/>
          <w:szCs w:val="24"/>
        </w:rPr>
        <w:t xml:space="preserve"> SI DHE MBI PËRDORIMIN E SUBSTANCAVE FARMAKOLOGJIKISHT AKTIVE TË NDALUARA, QË PËRDOREN NË KAFSHËT QË PRODHOJNË USHQIM DHE MBETJET E TYRE, PËR ZBATIMIN E PLANIT KOMBËTAR TË MONITORIMIT TË MBETJEVE</w:t>
      </w:r>
      <w:r w:rsidRPr="00FA2D18">
        <w:rPr>
          <w:rStyle w:val="FootnoteReference"/>
          <w:rFonts w:ascii="Garamond" w:eastAsiaTheme="minorHAnsi" w:hAnsi="Garamond" w:cs="Times New Roman"/>
          <w:b/>
          <w:bCs/>
          <w:sz w:val="24"/>
          <w:szCs w:val="24"/>
        </w:rPr>
        <w:footnoteReference w:id="2"/>
      </w:r>
    </w:p>
    <w:p w14:paraId="17388AB8" w14:textId="469911B9" w:rsidR="00B04492" w:rsidRPr="00FA2D18" w:rsidRDefault="00B04492" w:rsidP="00941784">
      <w:pPr>
        <w:autoSpaceDE w:val="0"/>
        <w:autoSpaceDN w:val="0"/>
        <w:adjustRightInd w:val="0"/>
        <w:spacing w:after="0" w:line="240" w:lineRule="auto"/>
        <w:ind w:firstLine="284"/>
        <w:jc w:val="center"/>
        <w:rPr>
          <w:rFonts w:ascii="Garamond" w:eastAsiaTheme="minorHAnsi" w:hAnsi="Garamond" w:cs="Times New Roman"/>
          <w:bCs/>
          <w:i/>
          <w:sz w:val="24"/>
          <w:szCs w:val="24"/>
        </w:rPr>
      </w:pPr>
      <w:r w:rsidRPr="00FA2D18">
        <w:rPr>
          <w:rFonts w:ascii="Garamond" w:eastAsiaTheme="minorHAnsi" w:hAnsi="Garamond" w:cs="Times New Roman"/>
          <w:bCs/>
          <w:i/>
          <w:sz w:val="24"/>
          <w:szCs w:val="24"/>
        </w:rPr>
        <w:t>(Ndryshuar me urdhër nr. 328, datë 26.3.2026)</w:t>
      </w:r>
    </w:p>
    <w:p w14:paraId="7949CC68" w14:textId="12A59513" w:rsidR="00B04492" w:rsidRPr="00FA2D18" w:rsidRDefault="00B04492" w:rsidP="00B04492">
      <w:pPr>
        <w:autoSpaceDE w:val="0"/>
        <w:autoSpaceDN w:val="0"/>
        <w:adjustRightInd w:val="0"/>
        <w:spacing w:after="0" w:line="240" w:lineRule="auto"/>
        <w:ind w:firstLine="284"/>
        <w:jc w:val="right"/>
        <w:rPr>
          <w:rFonts w:ascii="Garamond" w:eastAsiaTheme="minorHAnsi" w:hAnsi="Garamond" w:cs="Times New Roman"/>
          <w:bCs/>
          <w:i/>
          <w:position w:val="7"/>
          <w:sz w:val="24"/>
          <w:szCs w:val="24"/>
        </w:rPr>
      </w:pPr>
      <w:r w:rsidRPr="00FA2D18">
        <w:rPr>
          <w:rFonts w:ascii="Garamond" w:eastAsiaTheme="minorHAnsi" w:hAnsi="Garamond" w:cs="Times New Roman"/>
          <w:bCs/>
          <w:i/>
          <w:sz w:val="24"/>
          <w:szCs w:val="24"/>
        </w:rPr>
        <w:t>(i përditësuar)</w:t>
      </w:r>
    </w:p>
    <w:p w14:paraId="2E163B68" w14:textId="77777777" w:rsidR="006B6C51" w:rsidRPr="00FA2D18" w:rsidRDefault="006B6C51" w:rsidP="006B6C51">
      <w:pPr>
        <w:autoSpaceDE w:val="0"/>
        <w:autoSpaceDN w:val="0"/>
        <w:adjustRightInd w:val="0"/>
        <w:spacing w:after="0" w:line="240" w:lineRule="auto"/>
        <w:ind w:firstLine="284"/>
        <w:rPr>
          <w:rFonts w:ascii="Garamond" w:eastAsiaTheme="minorHAnsi" w:hAnsi="Garamond" w:cs="Times New Roman"/>
          <w:b/>
          <w:bCs/>
          <w:sz w:val="24"/>
          <w:szCs w:val="24"/>
        </w:rPr>
      </w:pPr>
    </w:p>
    <w:p w14:paraId="25F1E1EB" w14:textId="3D385E24"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Në mbështetje të nenit 102, pika 4</w:t>
      </w:r>
      <w:r w:rsidR="00213BBC"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e Kushtetutës, pikës 3</w:t>
      </w:r>
      <w:r w:rsidR="00482FF2"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të nenit 81, pikës 8</w:t>
      </w:r>
      <w:r w:rsidR="00482FF2"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të nenit 102, të </w:t>
      </w:r>
      <w:r w:rsidR="00A518FE" w:rsidRPr="00FA2D18">
        <w:rPr>
          <w:rFonts w:ascii="Garamond" w:eastAsiaTheme="minorHAnsi" w:hAnsi="Garamond" w:cs="Times New Roman"/>
          <w:sz w:val="24"/>
          <w:szCs w:val="24"/>
        </w:rPr>
        <w:t>ligjit nr</w:t>
      </w:r>
      <w:r w:rsidRPr="00FA2D18">
        <w:rPr>
          <w:rFonts w:ascii="Garamond" w:eastAsiaTheme="minorHAnsi" w:hAnsi="Garamond" w:cs="Times New Roman"/>
          <w:sz w:val="24"/>
          <w:szCs w:val="24"/>
        </w:rPr>
        <w:t>. 10465, datë 29.9.2011</w:t>
      </w:r>
      <w:r w:rsidR="00A518FE"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“Për shërbimin veterinar në Republikën e Shqipërisë”, të ndryshuar, </w:t>
      </w:r>
    </w:p>
    <w:p w14:paraId="4B74C5BE" w14:textId="77777777"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p>
    <w:p w14:paraId="59D2EDE7" w14:textId="77777777" w:rsidR="006B6C51" w:rsidRPr="00FA2D18" w:rsidRDefault="006B6C51" w:rsidP="006B6C51">
      <w:pPr>
        <w:autoSpaceDE w:val="0"/>
        <w:autoSpaceDN w:val="0"/>
        <w:adjustRightInd w:val="0"/>
        <w:spacing w:after="0" w:line="240" w:lineRule="auto"/>
        <w:ind w:firstLine="284"/>
        <w:jc w:val="center"/>
        <w:rPr>
          <w:rFonts w:ascii="Garamond" w:eastAsiaTheme="minorHAnsi" w:hAnsi="Garamond" w:cs="Times New Roman"/>
          <w:bCs/>
          <w:sz w:val="24"/>
          <w:szCs w:val="24"/>
        </w:rPr>
      </w:pPr>
      <w:r w:rsidRPr="00FA2D18">
        <w:rPr>
          <w:rFonts w:ascii="Garamond" w:eastAsiaTheme="minorHAnsi" w:hAnsi="Garamond" w:cs="Times New Roman"/>
          <w:bCs/>
          <w:sz w:val="24"/>
          <w:szCs w:val="24"/>
        </w:rPr>
        <w:t>URDHËROJ:</w:t>
      </w:r>
    </w:p>
    <w:p w14:paraId="40ED5BAA" w14:textId="77777777" w:rsidR="004418BC" w:rsidRPr="00FA2D18" w:rsidRDefault="004418BC" w:rsidP="006B6C51">
      <w:pPr>
        <w:autoSpaceDE w:val="0"/>
        <w:autoSpaceDN w:val="0"/>
        <w:adjustRightInd w:val="0"/>
        <w:spacing w:after="0" w:line="240" w:lineRule="auto"/>
        <w:ind w:firstLine="284"/>
        <w:jc w:val="center"/>
        <w:rPr>
          <w:rFonts w:ascii="Garamond" w:eastAsiaTheme="minorHAnsi" w:hAnsi="Garamond" w:cs="Times New Roman"/>
          <w:b/>
          <w:bCs/>
          <w:sz w:val="24"/>
          <w:szCs w:val="24"/>
        </w:rPr>
      </w:pPr>
    </w:p>
    <w:p w14:paraId="0BFD95A1" w14:textId="4F6A2F5C"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 xml:space="preserve">1. Miratimin e </w:t>
      </w:r>
      <w:r w:rsidR="00482FF2" w:rsidRPr="00FA2D18">
        <w:rPr>
          <w:rFonts w:ascii="Garamond" w:eastAsiaTheme="minorHAnsi" w:hAnsi="Garamond" w:cs="Times New Roman"/>
          <w:sz w:val="24"/>
          <w:szCs w:val="24"/>
        </w:rPr>
        <w:t xml:space="preserve">rregullores </w:t>
      </w:r>
      <w:r w:rsidRPr="00FA2D18">
        <w:rPr>
          <w:rFonts w:ascii="Garamond" w:eastAsiaTheme="minorHAnsi" w:hAnsi="Garamond" w:cs="Times New Roman"/>
          <w:sz w:val="24"/>
          <w:szCs w:val="24"/>
        </w:rPr>
        <w:t>“Për kontrollin zyrtar mbi përdorimin e substancave farmakologjikisht aktive të autorizuara si produkte mjekësore veterinare ose si aditivë për ushqimet për kafshë dhe mbetjet e tyre</w:t>
      </w:r>
      <w:r w:rsidR="00D46AF0"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si dhe mbi përdorimin e substancave farmakologjikisht aktive të ndaluara që përdoren në kafshët që prodhojnë ushqim dhe mbetjet e tyre, për zbatimin e Planit Kombëtar të Monitorimit të Mbetjeve”, sipas tekstit bashkëlidhur.</w:t>
      </w:r>
    </w:p>
    <w:p w14:paraId="6A42953A" w14:textId="154013C5"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2. Ngarko</w:t>
      </w:r>
      <w:r w:rsidR="00416299" w:rsidRPr="00FA2D18">
        <w:rPr>
          <w:rFonts w:ascii="Garamond" w:eastAsiaTheme="minorHAnsi" w:hAnsi="Garamond" w:cs="Times New Roman"/>
          <w:sz w:val="24"/>
          <w:szCs w:val="24"/>
        </w:rPr>
        <w:t>hen për zbatimin e këtij urdhri</w:t>
      </w:r>
      <w:r w:rsidRPr="00FA2D18">
        <w:rPr>
          <w:rFonts w:ascii="Garamond" w:eastAsiaTheme="minorHAnsi" w:hAnsi="Garamond" w:cs="Times New Roman"/>
          <w:sz w:val="24"/>
          <w:szCs w:val="24"/>
        </w:rPr>
        <w:t xml:space="preserve"> Drejtoria e Përgjithshme e Zhvillimit në Fushën e Sigurisë Ushqimore, Veterinarisë, Mbrojtjes së Bimëve dhe Peshkimit, Autoriteti Kombëtar i Veterinarisë dhe Mbrojtjes së Bimëve, Autoriteti Kombëtar i Ushqimit dhe Instituti i Sigurisë Ushqimore dhe Veterinarisë.</w:t>
      </w:r>
    </w:p>
    <w:p w14:paraId="6BAED74A" w14:textId="77777777"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Ky urdhër hyn në fuqi menjëherë pas botimit në Fletoren Zyrtare.</w:t>
      </w:r>
    </w:p>
    <w:p w14:paraId="54384372" w14:textId="77777777" w:rsidR="006B6C51" w:rsidRPr="00FA2D18" w:rsidRDefault="006B6C51" w:rsidP="006B6C51">
      <w:pPr>
        <w:autoSpaceDE w:val="0"/>
        <w:autoSpaceDN w:val="0"/>
        <w:adjustRightInd w:val="0"/>
        <w:spacing w:after="0" w:line="240" w:lineRule="auto"/>
        <w:ind w:firstLine="284"/>
        <w:jc w:val="center"/>
        <w:rPr>
          <w:rFonts w:ascii="Garamond" w:eastAsiaTheme="minorHAnsi" w:hAnsi="Garamond" w:cs="Times New Roman"/>
          <w:b/>
          <w:bCs/>
          <w:sz w:val="24"/>
          <w:szCs w:val="24"/>
        </w:rPr>
      </w:pPr>
    </w:p>
    <w:p w14:paraId="0D805372" w14:textId="0ACE778E" w:rsidR="006B6C51" w:rsidRPr="00FA2D18" w:rsidRDefault="006B6C51" w:rsidP="006B6C51">
      <w:pPr>
        <w:autoSpaceDE w:val="0"/>
        <w:autoSpaceDN w:val="0"/>
        <w:adjustRightInd w:val="0"/>
        <w:spacing w:after="0" w:line="240" w:lineRule="auto"/>
        <w:ind w:firstLine="284"/>
        <w:jc w:val="right"/>
        <w:rPr>
          <w:rFonts w:ascii="Garamond" w:eastAsiaTheme="minorHAnsi" w:hAnsi="Garamond" w:cs="Times New Roman"/>
          <w:bCs/>
          <w:sz w:val="24"/>
          <w:szCs w:val="24"/>
        </w:rPr>
      </w:pPr>
      <w:r w:rsidRPr="00FA2D18">
        <w:rPr>
          <w:rFonts w:ascii="Garamond" w:eastAsiaTheme="minorHAnsi" w:hAnsi="Garamond" w:cs="Times New Roman"/>
          <w:bCs/>
          <w:sz w:val="24"/>
          <w:szCs w:val="24"/>
        </w:rPr>
        <w:t xml:space="preserve">MINISTËR I </w:t>
      </w:r>
      <w:r w:rsidR="000A00A6" w:rsidRPr="00FA2D18">
        <w:rPr>
          <w:rFonts w:ascii="Garamond" w:eastAsiaTheme="minorHAnsi" w:hAnsi="Garamond" w:cs="Times New Roman"/>
          <w:bCs/>
          <w:sz w:val="24"/>
          <w:szCs w:val="24"/>
        </w:rPr>
        <w:t>BUJQËSISË</w:t>
      </w:r>
      <w:r w:rsidRPr="00FA2D18">
        <w:rPr>
          <w:rFonts w:ascii="Garamond" w:eastAsiaTheme="minorHAnsi" w:hAnsi="Garamond" w:cs="Times New Roman"/>
          <w:bCs/>
          <w:sz w:val="24"/>
          <w:szCs w:val="24"/>
        </w:rPr>
        <w:t xml:space="preserve"> DHE ZHVILLIMIT RURAL</w:t>
      </w:r>
    </w:p>
    <w:p w14:paraId="45971A00" w14:textId="6CA724AB" w:rsidR="006B6C51" w:rsidRPr="00FA2D18" w:rsidRDefault="006B6C51" w:rsidP="006B6C51">
      <w:pPr>
        <w:autoSpaceDE w:val="0"/>
        <w:autoSpaceDN w:val="0"/>
        <w:adjustRightInd w:val="0"/>
        <w:spacing w:after="0" w:line="240" w:lineRule="auto"/>
        <w:ind w:firstLine="284"/>
        <w:jc w:val="right"/>
        <w:rPr>
          <w:rFonts w:ascii="Garamond" w:eastAsiaTheme="minorHAnsi" w:hAnsi="Garamond" w:cs="Times New Roman"/>
          <w:b/>
          <w:bCs/>
          <w:sz w:val="24"/>
          <w:szCs w:val="24"/>
        </w:rPr>
      </w:pPr>
      <w:r w:rsidRPr="00FA2D18">
        <w:rPr>
          <w:rFonts w:ascii="Garamond" w:eastAsiaTheme="minorHAnsi" w:hAnsi="Garamond" w:cs="Times New Roman"/>
          <w:b/>
          <w:bCs/>
          <w:sz w:val="24"/>
          <w:szCs w:val="24"/>
        </w:rPr>
        <w:t>Frida Krifca</w:t>
      </w:r>
    </w:p>
    <w:p w14:paraId="6336B1D9" w14:textId="77777777" w:rsidR="006B6C51" w:rsidRPr="00FA2D18" w:rsidRDefault="006B6C51" w:rsidP="006B6C51">
      <w:pPr>
        <w:autoSpaceDE w:val="0"/>
        <w:autoSpaceDN w:val="0"/>
        <w:adjustRightInd w:val="0"/>
        <w:spacing w:after="0" w:line="240" w:lineRule="auto"/>
        <w:ind w:firstLine="284"/>
        <w:jc w:val="center"/>
        <w:rPr>
          <w:rFonts w:ascii="Garamond" w:eastAsiaTheme="minorHAnsi" w:hAnsi="Garamond" w:cs="Times New Roman"/>
          <w:b/>
          <w:bCs/>
          <w:sz w:val="24"/>
          <w:szCs w:val="24"/>
        </w:rPr>
      </w:pPr>
    </w:p>
    <w:p w14:paraId="50CD447F" w14:textId="77777777" w:rsidR="006B6C51" w:rsidRPr="00FA2D18" w:rsidRDefault="006B6C51" w:rsidP="006B6C51">
      <w:pPr>
        <w:autoSpaceDE w:val="0"/>
        <w:autoSpaceDN w:val="0"/>
        <w:adjustRightInd w:val="0"/>
        <w:spacing w:after="0" w:line="240" w:lineRule="auto"/>
        <w:ind w:firstLine="284"/>
        <w:jc w:val="center"/>
        <w:rPr>
          <w:rFonts w:ascii="Garamond" w:eastAsiaTheme="minorHAnsi" w:hAnsi="Garamond" w:cs="Times New Roman"/>
          <w:b/>
          <w:bCs/>
          <w:sz w:val="24"/>
          <w:szCs w:val="24"/>
        </w:rPr>
      </w:pPr>
      <w:r w:rsidRPr="00FA2D18">
        <w:rPr>
          <w:rFonts w:ascii="Garamond" w:eastAsiaTheme="minorHAnsi" w:hAnsi="Garamond" w:cs="Times New Roman"/>
          <w:b/>
          <w:bCs/>
          <w:sz w:val="24"/>
          <w:szCs w:val="24"/>
        </w:rPr>
        <w:t>RREGULLORE</w:t>
      </w:r>
    </w:p>
    <w:p w14:paraId="495FDC1B" w14:textId="78C87CBE" w:rsidR="006B6C51" w:rsidRPr="00FA2D18" w:rsidRDefault="006B6C51" w:rsidP="006B6C51">
      <w:pPr>
        <w:autoSpaceDE w:val="0"/>
        <w:autoSpaceDN w:val="0"/>
        <w:adjustRightInd w:val="0"/>
        <w:spacing w:after="0" w:line="240" w:lineRule="auto"/>
        <w:ind w:firstLine="284"/>
        <w:jc w:val="center"/>
        <w:rPr>
          <w:rFonts w:ascii="Garamond" w:eastAsiaTheme="minorHAnsi" w:hAnsi="Garamond" w:cs="Times New Roman"/>
          <w:sz w:val="24"/>
          <w:szCs w:val="24"/>
        </w:rPr>
      </w:pPr>
      <w:r w:rsidRPr="00FA2D18">
        <w:rPr>
          <w:rFonts w:ascii="Garamond" w:eastAsiaTheme="minorHAnsi" w:hAnsi="Garamond" w:cs="Times New Roman"/>
          <w:sz w:val="24"/>
          <w:szCs w:val="24"/>
        </w:rPr>
        <w:t>PËR KONTROLLIN ZYRTAR MBI PËRDORIMIN E SUBSTANCAVE FARMAKOLOGJIKISHT AKTIVE TË AUTORIZUARA SI PRODUKTE MJEKËSORE VETERINARE OSE SI ADITIVË PËR USHQIMET PËR KAFSHË DHE MBETJET E TYRE</w:t>
      </w:r>
      <w:r w:rsidR="00774B89"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SI DHE MBI PËRDORIMIN E SUBSTANCAVE FARMAKOLOGJIKISHT AKTIVE TË NDALUARA, QË PËRDOREN NË KAFSHËT QË PRODHOJNË USHQIM DHE MBETJET E TYRE, PËR ZBATIMIN E PLANIT KOMBËTAR TË MONITORIMIT TË MBETJEVE</w:t>
      </w:r>
    </w:p>
    <w:p w14:paraId="7D8BE14E" w14:textId="77777777" w:rsidR="006B6C51" w:rsidRPr="00FA2D18" w:rsidRDefault="006B6C51" w:rsidP="006B6C51">
      <w:pPr>
        <w:autoSpaceDE w:val="0"/>
        <w:autoSpaceDN w:val="0"/>
        <w:adjustRightInd w:val="0"/>
        <w:spacing w:after="0" w:line="240" w:lineRule="auto"/>
        <w:ind w:firstLine="284"/>
        <w:rPr>
          <w:rFonts w:ascii="Garamond" w:eastAsiaTheme="minorHAnsi" w:hAnsi="Garamond" w:cs="Times New Roman"/>
          <w:b/>
          <w:bCs/>
          <w:i/>
          <w:iCs/>
          <w:sz w:val="24"/>
          <w:szCs w:val="24"/>
        </w:rPr>
      </w:pPr>
    </w:p>
    <w:p w14:paraId="7A4F63F2" w14:textId="77777777" w:rsidR="006B6C51" w:rsidRPr="00FA2D18" w:rsidRDefault="006B6C51" w:rsidP="006B6C51">
      <w:pPr>
        <w:autoSpaceDE w:val="0"/>
        <w:autoSpaceDN w:val="0"/>
        <w:adjustRightInd w:val="0"/>
        <w:spacing w:after="0" w:line="240" w:lineRule="auto"/>
        <w:ind w:firstLine="284"/>
        <w:jc w:val="center"/>
        <w:rPr>
          <w:rFonts w:ascii="Garamond" w:eastAsiaTheme="minorHAnsi" w:hAnsi="Garamond" w:cs="Times New Roman"/>
          <w:bCs/>
          <w:iCs/>
          <w:sz w:val="24"/>
          <w:szCs w:val="24"/>
        </w:rPr>
      </w:pPr>
      <w:r w:rsidRPr="00FA2D18">
        <w:rPr>
          <w:rFonts w:ascii="Garamond" w:eastAsiaTheme="minorHAnsi" w:hAnsi="Garamond" w:cs="Times New Roman"/>
          <w:bCs/>
          <w:iCs/>
          <w:sz w:val="24"/>
          <w:szCs w:val="24"/>
        </w:rPr>
        <w:t>Neni 1</w:t>
      </w:r>
    </w:p>
    <w:p w14:paraId="52BA296F" w14:textId="77777777" w:rsidR="006B6C51" w:rsidRPr="00FA2D18" w:rsidRDefault="006B6C51" w:rsidP="006B6C51">
      <w:pPr>
        <w:autoSpaceDE w:val="0"/>
        <w:autoSpaceDN w:val="0"/>
        <w:adjustRightInd w:val="0"/>
        <w:spacing w:after="0" w:line="240" w:lineRule="auto"/>
        <w:ind w:firstLine="284"/>
        <w:jc w:val="center"/>
        <w:rPr>
          <w:rFonts w:ascii="Garamond" w:eastAsiaTheme="minorHAnsi" w:hAnsi="Garamond" w:cs="Times New Roman"/>
          <w:b/>
          <w:bCs/>
          <w:i/>
          <w:iCs/>
          <w:sz w:val="24"/>
          <w:szCs w:val="24"/>
        </w:rPr>
      </w:pPr>
    </w:p>
    <w:p w14:paraId="4AD45E2A" w14:textId="6CDC6E8D" w:rsidR="006B6C51" w:rsidRPr="00FA2D18" w:rsidRDefault="006B6C51" w:rsidP="00690CE5">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 xml:space="preserve">Të gjithë termat e përcaktuar në këtë Rregullore kanë të njëjtin kuptim me ata të përcaktuar në </w:t>
      </w:r>
      <w:r w:rsidR="00690CE5" w:rsidRPr="00FA2D18">
        <w:rPr>
          <w:rFonts w:ascii="Garamond" w:eastAsiaTheme="minorHAnsi" w:hAnsi="Garamond" w:cs="Times New Roman"/>
          <w:sz w:val="24"/>
          <w:szCs w:val="24"/>
        </w:rPr>
        <w:t xml:space="preserve">ligjin nr. </w:t>
      </w:r>
      <w:r w:rsidRPr="00FA2D18">
        <w:rPr>
          <w:rFonts w:ascii="Garamond" w:eastAsiaTheme="minorHAnsi" w:hAnsi="Garamond" w:cs="Times New Roman"/>
          <w:sz w:val="24"/>
          <w:szCs w:val="24"/>
        </w:rPr>
        <w:t xml:space="preserve">9863, datë 28.1.2002, “Për ushqimin”, </w:t>
      </w:r>
      <w:r w:rsidR="00690CE5" w:rsidRPr="00FA2D18">
        <w:rPr>
          <w:rFonts w:ascii="Garamond" w:eastAsiaTheme="minorHAnsi" w:hAnsi="Garamond" w:cs="Times New Roman"/>
          <w:sz w:val="24"/>
          <w:szCs w:val="24"/>
        </w:rPr>
        <w:t>të</w:t>
      </w:r>
      <w:r w:rsidRPr="00FA2D18">
        <w:rPr>
          <w:rFonts w:ascii="Garamond" w:eastAsiaTheme="minorHAnsi" w:hAnsi="Garamond" w:cs="Times New Roman"/>
          <w:sz w:val="24"/>
          <w:szCs w:val="24"/>
        </w:rPr>
        <w:t xml:space="preserve"> ndryshuar dhe </w:t>
      </w:r>
      <w:r w:rsidR="00690CE5" w:rsidRPr="00FA2D18">
        <w:rPr>
          <w:rFonts w:ascii="Garamond" w:eastAsiaTheme="minorHAnsi" w:hAnsi="Garamond" w:cs="Times New Roman"/>
          <w:sz w:val="24"/>
          <w:szCs w:val="24"/>
        </w:rPr>
        <w:t>ligjin nr</w:t>
      </w:r>
      <w:r w:rsidRPr="00FA2D18">
        <w:rPr>
          <w:rFonts w:ascii="Garamond" w:eastAsiaTheme="minorHAnsi" w:hAnsi="Garamond" w:cs="Times New Roman"/>
          <w:sz w:val="24"/>
          <w:szCs w:val="24"/>
        </w:rPr>
        <w:t>. 10465, datë 29.9.2011</w:t>
      </w:r>
      <w:r w:rsidR="00690CE5"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“Për shërbimin veterinar në Republikën e Shqipërisë”, </w:t>
      </w:r>
      <w:r w:rsidR="00690CE5" w:rsidRPr="00FA2D18">
        <w:rPr>
          <w:rFonts w:ascii="Garamond" w:eastAsiaTheme="minorHAnsi" w:hAnsi="Garamond" w:cs="Times New Roman"/>
          <w:sz w:val="24"/>
          <w:szCs w:val="24"/>
        </w:rPr>
        <w:t xml:space="preserve">të </w:t>
      </w:r>
      <w:r w:rsidRPr="00FA2D18">
        <w:rPr>
          <w:rFonts w:ascii="Garamond" w:eastAsiaTheme="minorHAnsi" w:hAnsi="Garamond" w:cs="Times New Roman"/>
          <w:sz w:val="24"/>
          <w:szCs w:val="24"/>
        </w:rPr>
        <w:t>ndryshuar. Për efekt të kësaj Rregulloreje, termat e mëposhtëm kanë këtë kuptim:</w:t>
      </w:r>
    </w:p>
    <w:p w14:paraId="77A64D39" w14:textId="079796F0"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1.</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“Kampion zyrtar”</w:t>
      </w:r>
      <w:r w:rsidR="00690CE5"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kampion i marrë nga autoriteti kompetent</w:t>
      </w:r>
      <w:r w:rsidR="00690CE5"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me qëllim analizimin e mbetjeve ose </w:t>
      </w:r>
      <w:r w:rsidR="00690CE5" w:rsidRPr="00FA2D18">
        <w:rPr>
          <w:rFonts w:ascii="Garamond" w:eastAsiaTheme="minorHAnsi" w:hAnsi="Garamond" w:cs="Times New Roman"/>
          <w:sz w:val="24"/>
          <w:szCs w:val="24"/>
        </w:rPr>
        <w:t xml:space="preserve">të </w:t>
      </w:r>
      <w:r w:rsidRPr="00FA2D18">
        <w:rPr>
          <w:rFonts w:ascii="Garamond" w:eastAsiaTheme="minorHAnsi" w:hAnsi="Garamond" w:cs="Times New Roman"/>
          <w:sz w:val="24"/>
          <w:szCs w:val="24"/>
        </w:rPr>
        <w:t xml:space="preserve">substancave të përshkruara në </w:t>
      </w:r>
      <w:r w:rsidR="00690CE5" w:rsidRPr="00FA2D18">
        <w:rPr>
          <w:rFonts w:ascii="Garamond" w:eastAsiaTheme="minorHAnsi" w:hAnsi="Garamond" w:cs="Times New Roman"/>
          <w:sz w:val="24"/>
          <w:szCs w:val="24"/>
        </w:rPr>
        <w:t xml:space="preserve">aneksin </w:t>
      </w:r>
      <w:r w:rsidRPr="00FA2D18">
        <w:rPr>
          <w:rFonts w:ascii="Garamond" w:eastAsiaTheme="minorHAnsi" w:hAnsi="Garamond" w:cs="Times New Roman"/>
          <w:sz w:val="24"/>
          <w:szCs w:val="24"/>
        </w:rPr>
        <w:t>I dhe që shoqërohet nga përshkrimi i llojit, natyrës, sasisë dhe metodës së marrjes së tij</w:t>
      </w:r>
      <w:r w:rsidR="00690CE5"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si dhe nga përshkrimi i seksit dhe </w:t>
      </w:r>
      <w:r w:rsidR="00690CE5" w:rsidRPr="00FA2D18">
        <w:rPr>
          <w:rFonts w:ascii="Garamond" w:eastAsiaTheme="minorHAnsi" w:hAnsi="Garamond" w:cs="Times New Roman"/>
          <w:sz w:val="24"/>
          <w:szCs w:val="24"/>
        </w:rPr>
        <w:t xml:space="preserve">i </w:t>
      </w:r>
      <w:r w:rsidRPr="00FA2D18">
        <w:rPr>
          <w:rFonts w:ascii="Garamond" w:eastAsiaTheme="minorHAnsi" w:hAnsi="Garamond" w:cs="Times New Roman"/>
          <w:sz w:val="24"/>
          <w:szCs w:val="24"/>
        </w:rPr>
        <w:t>origjinës së kafshëve ose i produkteve me origjinë shtazore sipas rastit.</w:t>
      </w:r>
    </w:p>
    <w:p w14:paraId="41ED694F" w14:textId="44DBF1C2" w:rsidR="006B6C51" w:rsidRPr="00FA2D18" w:rsidRDefault="006B6C51" w:rsidP="00690CE5">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2.</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“Kampionim i synuar”</w:t>
      </w:r>
      <w:r w:rsidR="00690CE5"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marrja e një ose m</w:t>
      </w:r>
      <w:r w:rsidR="00690CE5" w:rsidRPr="00FA2D18">
        <w:rPr>
          <w:rFonts w:ascii="Garamond" w:eastAsiaTheme="minorHAnsi" w:hAnsi="Garamond" w:cs="Times New Roman"/>
          <w:sz w:val="24"/>
          <w:szCs w:val="24"/>
        </w:rPr>
        <w:t>ë</w:t>
      </w:r>
      <w:r w:rsidRPr="00FA2D18">
        <w:rPr>
          <w:rFonts w:ascii="Garamond" w:eastAsiaTheme="minorHAnsi" w:hAnsi="Garamond" w:cs="Times New Roman"/>
          <w:sz w:val="24"/>
          <w:szCs w:val="24"/>
        </w:rPr>
        <w:t xml:space="preserve"> shumë kampion</w:t>
      </w:r>
      <w:r w:rsidR="00690CE5" w:rsidRPr="00FA2D18">
        <w:rPr>
          <w:rFonts w:ascii="Garamond" w:eastAsiaTheme="minorHAnsi" w:hAnsi="Garamond" w:cs="Times New Roman"/>
          <w:sz w:val="24"/>
          <w:szCs w:val="24"/>
        </w:rPr>
        <w:t>e</w:t>
      </w:r>
      <w:r w:rsidRPr="00FA2D18">
        <w:rPr>
          <w:rFonts w:ascii="Garamond" w:eastAsiaTheme="minorHAnsi" w:hAnsi="Garamond" w:cs="Times New Roman"/>
          <w:sz w:val="24"/>
          <w:szCs w:val="24"/>
        </w:rPr>
        <w:t>ve zyrtar</w:t>
      </w:r>
      <w:r w:rsidR="00690CE5" w:rsidRPr="00FA2D18">
        <w:rPr>
          <w:rFonts w:ascii="Garamond" w:eastAsiaTheme="minorHAnsi" w:hAnsi="Garamond" w:cs="Times New Roman"/>
          <w:sz w:val="24"/>
          <w:szCs w:val="24"/>
        </w:rPr>
        <w:t>e,</w:t>
      </w:r>
      <w:r w:rsidRPr="00FA2D18">
        <w:rPr>
          <w:rFonts w:ascii="Garamond" w:eastAsiaTheme="minorHAnsi" w:hAnsi="Garamond" w:cs="Times New Roman"/>
          <w:sz w:val="24"/>
          <w:szCs w:val="24"/>
        </w:rPr>
        <w:t xml:space="preserve"> me qëllim rritjen maksimale të mundësisë së gjetjes së rasteve</w:t>
      </w:r>
      <w:r w:rsidR="00690CE5"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që nuk janë në përputhje me limitet maksimale të mbetjeve ose të niveleve maksimale të përcaktuara nga legjislacioni kombëtar për substancat farmakologjikisht aktive.</w:t>
      </w:r>
    </w:p>
    <w:p w14:paraId="4BEDE13A" w14:textId="6E5676C9" w:rsidR="006B6C51" w:rsidRPr="00FA2D18" w:rsidRDefault="006B6C51" w:rsidP="00690CE5">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3.</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“Kampionim i rastësishëm”</w:t>
      </w:r>
      <w:r w:rsidR="00690CE5"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marrja e një ose më shumë kampion</w:t>
      </w:r>
      <w:r w:rsidR="00690CE5" w:rsidRPr="00FA2D18">
        <w:rPr>
          <w:rFonts w:ascii="Garamond" w:eastAsiaTheme="minorHAnsi" w:hAnsi="Garamond" w:cs="Times New Roman"/>
          <w:sz w:val="24"/>
          <w:szCs w:val="24"/>
        </w:rPr>
        <w:t>e</w:t>
      </w:r>
      <w:r w:rsidRPr="00FA2D18">
        <w:rPr>
          <w:rFonts w:ascii="Garamond" w:eastAsiaTheme="minorHAnsi" w:hAnsi="Garamond" w:cs="Times New Roman"/>
          <w:sz w:val="24"/>
          <w:szCs w:val="24"/>
        </w:rPr>
        <w:t>ve zyrtar</w:t>
      </w:r>
      <w:r w:rsidR="00690CE5" w:rsidRPr="00FA2D18">
        <w:rPr>
          <w:rFonts w:ascii="Garamond" w:eastAsiaTheme="minorHAnsi" w:hAnsi="Garamond" w:cs="Times New Roman"/>
          <w:sz w:val="24"/>
          <w:szCs w:val="24"/>
        </w:rPr>
        <w:t>e,</w:t>
      </w:r>
      <w:r w:rsidRPr="00FA2D18">
        <w:rPr>
          <w:rFonts w:ascii="Garamond" w:eastAsiaTheme="minorHAnsi" w:hAnsi="Garamond" w:cs="Times New Roman"/>
          <w:sz w:val="24"/>
          <w:szCs w:val="24"/>
        </w:rPr>
        <w:t xml:space="preserve"> duke mbajtur parasysh të dhënat statistikore</w:t>
      </w:r>
      <w:r w:rsidR="00690CE5"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me qëllim përfitimin e të dhënave përfaqësuese.</w:t>
      </w:r>
    </w:p>
    <w:p w14:paraId="7FE64CA0" w14:textId="4CF45378" w:rsidR="006B6C51" w:rsidRPr="00FA2D18" w:rsidRDefault="006B6C51" w:rsidP="00690CE5">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4.</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“Kampionim i dyshimtë”</w:t>
      </w:r>
      <w:r w:rsidR="00690CE5"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marrja e kampion</w:t>
      </w:r>
      <w:r w:rsidR="00690CE5" w:rsidRPr="00FA2D18">
        <w:rPr>
          <w:rFonts w:ascii="Garamond" w:eastAsiaTheme="minorHAnsi" w:hAnsi="Garamond" w:cs="Times New Roman"/>
          <w:sz w:val="24"/>
          <w:szCs w:val="24"/>
        </w:rPr>
        <w:t>e</w:t>
      </w:r>
      <w:r w:rsidRPr="00FA2D18">
        <w:rPr>
          <w:rFonts w:ascii="Garamond" w:eastAsiaTheme="minorHAnsi" w:hAnsi="Garamond" w:cs="Times New Roman"/>
          <w:sz w:val="24"/>
          <w:szCs w:val="24"/>
        </w:rPr>
        <w:t>ve zyrtar</w:t>
      </w:r>
      <w:r w:rsidR="00690CE5" w:rsidRPr="00FA2D18">
        <w:rPr>
          <w:rFonts w:ascii="Garamond" w:eastAsiaTheme="minorHAnsi" w:hAnsi="Garamond" w:cs="Times New Roman"/>
          <w:sz w:val="24"/>
          <w:szCs w:val="24"/>
        </w:rPr>
        <w:t>e,</w:t>
      </w:r>
      <w:r w:rsidRPr="00FA2D18">
        <w:rPr>
          <w:rFonts w:ascii="Garamond" w:eastAsiaTheme="minorHAnsi" w:hAnsi="Garamond" w:cs="Times New Roman"/>
          <w:sz w:val="24"/>
          <w:szCs w:val="24"/>
        </w:rPr>
        <w:t xml:space="preserve"> si pasojë </w:t>
      </w:r>
      <w:r w:rsidR="00690CE5" w:rsidRPr="00FA2D18">
        <w:rPr>
          <w:rFonts w:ascii="Garamond" w:eastAsiaTheme="minorHAnsi" w:hAnsi="Garamond" w:cs="Times New Roman"/>
          <w:sz w:val="24"/>
          <w:szCs w:val="24"/>
        </w:rPr>
        <w:t>e rezultateve të kontrolleve jo</w:t>
      </w:r>
      <w:r w:rsidRPr="00FA2D18">
        <w:rPr>
          <w:rFonts w:ascii="Garamond" w:eastAsiaTheme="minorHAnsi" w:hAnsi="Garamond" w:cs="Times New Roman"/>
          <w:sz w:val="24"/>
          <w:szCs w:val="24"/>
        </w:rPr>
        <w:t>konforme ose si pasojë e rasteve të d</w:t>
      </w:r>
      <w:r w:rsidR="00690CE5" w:rsidRPr="00FA2D18">
        <w:rPr>
          <w:rFonts w:ascii="Garamond" w:eastAsiaTheme="minorHAnsi" w:hAnsi="Garamond" w:cs="Times New Roman"/>
          <w:sz w:val="24"/>
          <w:szCs w:val="24"/>
        </w:rPr>
        <w:t>yshuara ose të vërtetuara si jo</w:t>
      </w:r>
      <w:r w:rsidRPr="00FA2D18">
        <w:rPr>
          <w:rFonts w:ascii="Garamond" w:eastAsiaTheme="minorHAnsi" w:hAnsi="Garamond" w:cs="Times New Roman"/>
          <w:sz w:val="24"/>
          <w:szCs w:val="24"/>
        </w:rPr>
        <w:t>konforme me normat e legjislacionit kombëtar për substancat farmakologjikisht aktive.</w:t>
      </w:r>
    </w:p>
    <w:p w14:paraId="41169F2B" w14:textId="5432F949"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5.</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“Matrica”</w:t>
      </w:r>
      <w:r w:rsidR="00690CE5"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materiali nga i cili merret një kampion, në mes të të cilave pjesë të trupit, lëngjet e trupit, ekskretimet dhe indet shtazore, produktet me origjinë shtazore, nënproduktet me origjinë shtazore, uji dhe ushqimet për kafshë. </w:t>
      </w:r>
    </w:p>
    <w:p w14:paraId="1BE51701" w14:textId="070BA1BD"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6.</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“Kafshë që prodhojnë ushqim”</w:t>
      </w:r>
      <w:r w:rsidR="00E14AAD"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kafshë të zgjedhura, mbarështuara, mbajtura, therura ose të mbledhura me qëllim prodhimin e ushqimit.</w:t>
      </w:r>
    </w:p>
    <w:p w14:paraId="3EB047CC" w14:textId="18B03E89"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7.</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“Mbetje” është një mbetje e substancave që kanë një veprim farmakologjik, e metabolitëve të substancave farmakologjike, produkteve të degradimit të substancave farmakologjike dhe e substancave të tjera të ngjashme të pranishme në kafshë ose produkte me origjinë shtazore.</w:t>
      </w:r>
    </w:p>
    <w:p w14:paraId="26A7A11F" w14:textId="77777777" w:rsidR="00E24430" w:rsidRPr="00FA2D18" w:rsidRDefault="00E24430" w:rsidP="006B6C51">
      <w:pPr>
        <w:autoSpaceDE w:val="0"/>
        <w:autoSpaceDN w:val="0"/>
        <w:adjustRightInd w:val="0"/>
        <w:spacing w:after="0" w:line="240" w:lineRule="auto"/>
        <w:ind w:firstLine="284"/>
        <w:jc w:val="both"/>
        <w:rPr>
          <w:rFonts w:ascii="Garamond" w:eastAsiaTheme="minorHAnsi" w:hAnsi="Garamond" w:cs="Times New Roman"/>
          <w:b/>
          <w:bCs/>
          <w:i/>
          <w:iCs/>
          <w:sz w:val="24"/>
          <w:szCs w:val="24"/>
        </w:rPr>
      </w:pPr>
    </w:p>
    <w:p w14:paraId="5B7CE360" w14:textId="77777777" w:rsidR="006B6C51" w:rsidRPr="00FA2D18" w:rsidRDefault="006B6C51" w:rsidP="00E24430">
      <w:pPr>
        <w:autoSpaceDE w:val="0"/>
        <w:autoSpaceDN w:val="0"/>
        <w:adjustRightInd w:val="0"/>
        <w:spacing w:after="0" w:line="240" w:lineRule="auto"/>
        <w:ind w:firstLine="284"/>
        <w:jc w:val="center"/>
        <w:rPr>
          <w:rFonts w:ascii="Garamond" w:eastAsiaTheme="minorHAnsi" w:hAnsi="Garamond" w:cs="Times New Roman"/>
          <w:bCs/>
          <w:iCs/>
          <w:sz w:val="24"/>
          <w:szCs w:val="24"/>
        </w:rPr>
      </w:pPr>
      <w:r w:rsidRPr="00FA2D18">
        <w:rPr>
          <w:rFonts w:ascii="Garamond" w:eastAsiaTheme="minorHAnsi" w:hAnsi="Garamond" w:cs="Times New Roman"/>
          <w:bCs/>
          <w:iCs/>
          <w:sz w:val="24"/>
          <w:szCs w:val="24"/>
        </w:rPr>
        <w:t>Neni 2</w:t>
      </w:r>
    </w:p>
    <w:p w14:paraId="612BC864" w14:textId="77777777"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b/>
          <w:bCs/>
          <w:i/>
          <w:iCs/>
          <w:sz w:val="24"/>
          <w:szCs w:val="24"/>
        </w:rPr>
      </w:pPr>
    </w:p>
    <w:p w14:paraId="67B3A175" w14:textId="39D2AC52"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1.</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Autoriteti Kombëtar i Veterinarisë dhe Mbrojtjes së Bimëve kontrollon përdorimin e substancave farmakologjikisht aktive të autorizuara</w:t>
      </w:r>
      <w:r w:rsidR="00E14AAD"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si produkte mjekësore veterinare ose si aditivë për ushqimet e kafshëve dhe prezencën e substancave farmakologjikis</w:t>
      </w:r>
      <w:r w:rsidR="00E14AAD" w:rsidRPr="00FA2D18">
        <w:rPr>
          <w:rFonts w:ascii="Garamond" w:eastAsiaTheme="minorHAnsi" w:hAnsi="Garamond" w:cs="Times New Roman"/>
          <w:sz w:val="24"/>
          <w:szCs w:val="24"/>
        </w:rPr>
        <w:t>ht aktive të ndaluara ose të pa</w:t>
      </w:r>
      <w:r w:rsidRPr="00FA2D18">
        <w:rPr>
          <w:rFonts w:ascii="Garamond" w:eastAsiaTheme="minorHAnsi" w:hAnsi="Garamond" w:cs="Times New Roman"/>
          <w:sz w:val="24"/>
          <w:szCs w:val="24"/>
        </w:rPr>
        <w:t>autorizuara dhe të mbetjeve të tyre</w:t>
      </w:r>
      <w:r w:rsidR="00E14AAD"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sipas përshkrimeve të </w:t>
      </w:r>
      <w:r w:rsidR="00E14AAD" w:rsidRPr="00FA2D18">
        <w:rPr>
          <w:rFonts w:ascii="Garamond" w:eastAsiaTheme="minorHAnsi" w:hAnsi="Garamond" w:cs="Times New Roman"/>
          <w:sz w:val="24"/>
          <w:szCs w:val="24"/>
        </w:rPr>
        <w:t xml:space="preserve">aneksit </w:t>
      </w:r>
      <w:r w:rsidRPr="00FA2D18">
        <w:rPr>
          <w:rFonts w:ascii="Garamond" w:eastAsiaTheme="minorHAnsi" w:hAnsi="Garamond" w:cs="Times New Roman"/>
          <w:sz w:val="24"/>
          <w:szCs w:val="24"/>
        </w:rPr>
        <w:t>I të kësaj Rregulloreje.</w:t>
      </w:r>
    </w:p>
    <w:p w14:paraId="7145EC61" w14:textId="662405DD"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2.</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 xml:space="preserve">Për qëllimet e planeve kombëtare të monitorimit të mbetjeve bazuar në risk për substancat në grupet A dhe B, sipas </w:t>
      </w:r>
      <w:r w:rsidR="007A5F78" w:rsidRPr="00FA2D18">
        <w:rPr>
          <w:rFonts w:ascii="Garamond" w:eastAsiaTheme="minorHAnsi" w:hAnsi="Garamond" w:cs="Times New Roman"/>
          <w:sz w:val="24"/>
          <w:szCs w:val="24"/>
        </w:rPr>
        <w:t xml:space="preserve">aneksit </w:t>
      </w:r>
      <w:r w:rsidRPr="00FA2D18">
        <w:rPr>
          <w:rFonts w:ascii="Garamond" w:eastAsiaTheme="minorHAnsi" w:hAnsi="Garamond" w:cs="Times New Roman"/>
          <w:sz w:val="24"/>
          <w:szCs w:val="24"/>
        </w:rPr>
        <w:t xml:space="preserve">I të kësaj Rregulloreje, </w:t>
      </w:r>
      <w:r w:rsidR="007A5F78" w:rsidRPr="00FA2D18">
        <w:rPr>
          <w:rFonts w:ascii="Garamond" w:eastAsiaTheme="minorHAnsi" w:hAnsi="Garamond" w:cs="Times New Roman"/>
          <w:sz w:val="24"/>
          <w:szCs w:val="24"/>
        </w:rPr>
        <w:t xml:space="preserve">struktura përgjegjëse për veterinarinë </w:t>
      </w:r>
      <w:r w:rsidRPr="00FA2D18">
        <w:rPr>
          <w:rFonts w:ascii="Garamond" w:eastAsiaTheme="minorHAnsi" w:hAnsi="Garamond" w:cs="Times New Roman"/>
          <w:sz w:val="24"/>
          <w:szCs w:val="24"/>
        </w:rPr>
        <w:t>(SPV) harton kombinimet e grupeve të substancave dhe grupeve të produkteve</w:t>
      </w:r>
      <w:r w:rsidR="00833CDF"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sipas përshkrimeve të </w:t>
      </w:r>
      <w:r w:rsidR="00833CDF" w:rsidRPr="00FA2D18">
        <w:rPr>
          <w:rFonts w:ascii="Garamond" w:eastAsiaTheme="minorHAnsi" w:hAnsi="Garamond" w:cs="Times New Roman"/>
          <w:sz w:val="24"/>
          <w:szCs w:val="24"/>
        </w:rPr>
        <w:t xml:space="preserve">aneksit </w:t>
      </w:r>
      <w:r w:rsidRPr="00FA2D18">
        <w:rPr>
          <w:rFonts w:ascii="Garamond" w:eastAsiaTheme="minorHAnsi" w:hAnsi="Garamond" w:cs="Times New Roman"/>
          <w:sz w:val="24"/>
          <w:szCs w:val="24"/>
        </w:rPr>
        <w:t>II të kësaj Rregulloreje dhe Autoriteti Kombëtar i Veterinarisë dhe Mbrojtjes së Bimëve harton një strategji kampionimi</w:t>
      </w:r>
      <w:r w:rsidR="003C3182"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në përputhje me kriteret e përcaktuara në </w:t>
      </w:r>
      <w:r w:rsidR="003C3182" w:rsidRPr="00FA2D18">
        <w:rPr>
          <w:rFonts w:ascii="Garamond" w:eastAsiaTheme="minorHAnsi" w:hAnsi="Garamond" w:cs="Times New Roman"/>
          <w:sz w:val="24"/>
          <w:szCs w:val="24"/>
        </w:rPr>
        <w:t xml:space="preserve">aneksin </w:t>
      </w:r>
      <w:r w:rsidRPr="00FA2D18">
        <w:rPr>
          <w:rFonts w:ascii="Garamond" w:eastAsiaTheme="minorHAnsi" w:hAnsi="Garamond" w:cs="Times New Roman"/>
          <w:sz w:val="24"/>
          <w:szCs w:val="24"/>
        </w:rPr>
        <w:t>III të kësaj Rregulloreje.</w:t>
      </w:r>
    </w:p>
    <w:p w14:paraId="228A2E24" w14:textId="482F95EA"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3.</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 xml:space="preserve">Për qëllimet e planeve kombëtare të mbikëqyrjes së rastësishme për prodhimin, të shpërndarë në vend, </w:t>
      </w:r>
      <w:r w:rsidR="00E9169B" w:rsidRPr="00FA2D18">
        <w:rPr>
          <w:rFonts w:ascii="Garamond" w:eastAsiaTheme="minorHAnsi" w:hAnsi="Garamond" w:cs="Times New Roman"/>
          <w:sz w:val="24"/>
          <w:szCs w:val="24"/>
        </w:rPr>
        <w:t>struktura përgjegjëse për veterinarin</w:t>
      </w:r>
      <w:r w:rsidRPr="00FA2D18">
        <w:rPr>
          <w:rFonts w:ascii="Garamond" w:eastAsiaTheme="minorHAnsi" w:hAnsi="Garamond" w:cs="Times New Roman"/>
          <w:sz w:val="24"/>
          <w:szCs w:val="24"/>
        </w:rPr>
        <w:t>ë (SPV) harton kombinimet e grup-substancave të grupeve të produkteve</w:t>
      </w:r>
      <w:r w:rsidR="00B351B9"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sipas përshkrimeve të </w:t>
      </w:r>
      <w:r w:rsidR="00B351B9" w:rsidRPr="00FA2D18">
        <w:rPr>
          <w:rFonts w:ascii="Garamond" w:eastAsiaTheme="minorHAnsi" w:hAnsi="Garamond" w:cs="Times New Roman"/>
          <w:sz w:val="24"/>
          <w:szCs w:val="24"/>
        </w:rPr>
        <w:t xml:space="preserve">aneksit </w:t>
      </w:r>
      <w:r w:rsidRPr="00FA2D18">
        <w:rPr>
          <w:rFonts w:ascii="Garamond" w:eastAsiaTheme="minorHAnsi" w:hAnsi="Garamond" w:cs="Times New Roman"/>
          <w:sz w:val="24"/>
          <w:szCs w:val="24"/>
        </w:rPr>
        <w:t>IV të kësaj Rregulloreje dhe Autoriteti Kombëtar i Veterinarisë dhe Mbrojtjes së Bimëve harton një strategji kampionimi</w:t>
      </w:r>
      <w:r w:rsidR="00B351B9"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në përputhje me kriteret e përcaktuara në </w:t>
      </w:r>
      <w:r w:rsidR="00B351B9" w:rsidRPr="00FA2D18">
        <w:rPr>
          <w:rFonts w:ascii="Garamond" w:eastAsiaTheme="minorHAnsi" w:hAnsi="Garamond" w:cs="Times New Roman"/>
          <w:sz w:val="24"/>
          <w:szCs w:val="24"/>
        </w:rPr>
        <w:t xml:space="preserve">aneksin </w:t>
      </w:r>
      <w:r w:rsidRPr="00FA2D18">
        <w:rPr>
          <w:rFonts w:ascii="Garamond" w:eastAsiaTheme="minorHAnsi" w:hAnsi="Garamond" w:cs="Times New Roman"/>
          <w:sz w:val="24"/>
          <w:szCs w:val="24"/>
        </w:rPr>
        <w:t xml:space="preserve">V të kësaj Rregulloreje. </w:t>
      </w:r>
    </w:p>
    <w:p w14:paraId="2A18D9F2" w14:textId="24F2CFD1"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4.</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Për qëllimet e planeve kombëtare të kontro</w:t>
      </w:r>
      <w:r w:rsidR="00E1338C" w:rsidRPr="00FA2D18">
        <w:rPr>
          <w:rFonts w:ascii="Garamond" w:eastAsiaTheme="minorHAnsi" w:hAnsi="Garamond" w:cs="Times New Roman"/>
          <w:sz w:val="24"/>
          <w:szCs w:val="24"/>
        </w:rPr>
        <w:t>lleve të importit nga vendet jo</w:t>
      </w:r>
      <w:r w:rsidRPr="00FA2D18">
        <w:rPr>
          <w:rFonts w:ascii="Garamond" w:eastAsiaTheme="minorHAnsi" w:hAnsi="Garamond" w:cs="Times New Roman"/>
          <w:sz w:val="24"/>
          <w:szCs w:val="24"/>
        </w:rPr>
        <w:t xml:space="preserve">anëtare të BE-së të bazuara mbi riskun, Struktura Përgjegjëse për Veterinarinë (SPV) harton kombinimet e grupeve të substancave dhe </w:t>
      </w:r>
      <w:r w:rsidR="00E1338C" w:rsidRPr="00FA2D18">
        <w:rPr>
          <w:rFonts w:ascii="Garamond" w:eastAsiaTheme="minorHAnsi" w:hAnsi="Garamond" w:cs="Times New Roman"/>
          <w:sz w:val="24"/>
          <w:szCs w:val="24"/>
        </w:rPr>
        <w:t xml:space="preserve">të </w:t>
      </w:r>
      <w:r w:rsidRPr="00FA2D18">
        <w:rPr>
          <w:rFonts w:ascii="Garamond" w:eastAsiaTheme="minorHAnsi" w:hAnsi="Garamond" w:cs="Times New Roman"/>
          <w:sz w:val="24"/>
          <w:szCs w:val="24"/>
        </w:rPr>
        <w:t>grupeve të produkteve</w:t>
      </w:r>
      <w:r w:rsidR="00062A4C"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sipas përshkrimeve të </w:t>
      </w:r>
      <w:r w:rsidR="00062A4C" w:rsidRPr="00FA2D18">
        <w:rPr>
          <w:rFonts w:ascii="Garamond" w:eastAsiaTheme="minorHAnsi" w:hAnsi="Garamond" w:cs="Times New Roman"/>
          <w:sz w:val="24"/>
          <w:szCs w:val="24"/>
        </w:rPr>
        <w:t xml:space="preserve">aneksit </w:t>
      </w:r>
      <w:r w:rsidRPr="00FA2D18">
        <w:rPr>
          <w:rFonts w:ascii="Garamond" w:eastAsiaTheme="minorHAnsi" w:hAnsi="Garamond" w:cs="Times New Roman"/>
          <w:sz w:val="24"/>
          <w:szCs w:val="24"/>
        </w:rPr>
        <w:t>VI të kësaj Rregulloreje dhe Autoriteti Kombëtar i Veterinarisë dhe Mbrojtjes së Bimëve harton një kampionim</w:t>
      </w:r>
      <w:r w:rsidR="00062A4C"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në përputhje me kriteret e përcaktuara në </w:t>
      </w:r>
      <w:r w:rsidR="00062A4C" w:rsidRPr="00FA2D18">
        <w:rPr>
          <w:rFonts w:ascii="Garamond" w:eastAsiaTheme="minorHAnsi" w:hAnsi="Garamond" w:cs="Times New Roman"/>
          <w:sz w:val="24"/>
          <w:szCs w:val="24"/>
        </w:rPr>
        <w:t xml:space="preserve">aneksin </w:t>
      </w:r>
      <w:r w:rsidRPr="00FA2D18">
        <w:rPr>
          <w:rFonts w:ascii="Garamond" w:eastAsiaTheme="minorHAnsi" w:hAnsi="Garamond" w:cs="Times New Roman"/>
          <w:sz w:val="24"/>
          <w:szCs w:val="24"/>
        </w:rPr>
        <w:t>VII të kësaj Rregulloreje.</w:t>
      </w:r>
    </w:p>
    <w:p w14:paraId="166DDB9A" w14:textId="77777777"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 xml:space="preserve"> </w:t>
      </w:r>
    </w:p>
    <w:p w14:paraId="0F8E6FC0" w14:textId="77777777" w:rsidR="006B6C51" w:rsidRPr="00FA2D18" w:rsidRDefault="006B6C51" w:rsidP="006B6C51">
      <w:pPr>
        <w:autoSpaceDE w:val="0"/>
        <w:autoSpaceDN w:val="0"/>
        <w:adjustRightInd w:val="0"/>
        <w:spacing w:after="0" w:line="240" w:lineRule="auto"/>
        <w:ind w:firstLine="284"/>
        <w:jc w:val="center"/>
        <w:rPr>
          <w:rFonts w:ascii="Garamond" w:eastAsiaTheme="minorHAnsi" w:hAnsi="Garamond" w:cs="Times New Roman"/>
          <w:bCs/>
          <w:iCs/>
          <w:sz w:val="24"/>
          <w:szCs w:val="24"/>
        </w:rPr>
      </w:pPr>
      <w:r w:rsidRPr="00FA2D18">
        <w:rPr>
          <w:rFonts w:ascii="Garamond" w:eastAsiaTheme="minorHAnsi" w:hAnsi="Garamond" w:cs="Times New Roman"/>
          <w:bCs/>
          <w:iCs/>
          <w:sz w:val="24"/>
          <w:szCs w:val="24"/>
        </w:rPr>
        <w:lastRenderedPageBreak/>
        <w:t>Neni 3</w:t>
      </w:r>
    </w:p>
    <w:p w14:paraId="07DCED6B" w14:textId="77777777" w:rsidR="00E24430" w:rsidRPr="00FA2D18" w:rsidRDefault="00E24430" w:rsidP="006B6C51">
      <w:pPr>
        <w:autoSpaceDE w:val="0"/>
        <w:autoSpaceDN w:val="0"/>
        <w:adjustRightInd w:val="0"/>
        <w:spacing w:after="0" w:line="240" w:lineRule="auto"/>
        <w:ind w:firstLine="284"/>
        <w:jc w:val="center"/>
        <w:rPr>
          <w:rFonts w:ascii="Garamond" w:eastAsiaTheme="minorHAnsi" w:hAnsi="Garamond" w:cs="Times New Roman"/>
          <w:b/>
          <w:bCs/>
          <w:i/>
          <w:iCs/>
          <w:sz w:val="24"/>
          <w:szCs w:val="24"/>
        </w:rPr>
      </w:pPr>
    </w:p>
    <w:p w14:paraId="6661D331" w14:textId="77777777"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Për hartimin e Planeve Kombëtare të Monitorimit të Mbetjeve përdoren referencat sipas kërkesave të kësaj Rregulloreje.</w:t>
      </w:r>
    </w:p>
    <w:p w14:paraId="121B527B" w14:textId="77777777" w:rsidR="00062A4C" w:rsidRPr="00FA2D18" w:rsidRDefault="00062A4C" w:rsidP="006B6C51">
      <w:pPr>
        <w:autoSpaceDE w:val="0"/>
        <w:autoSpaceDN w:val="0"/>
        <w:adjustRightInd w:val="0"/>
        <w:spacing w:after="0" w:line="240" w:lineRule="auto"/>
        <w:ind w:firstLine="284"/>
        <w:jc w:val="center"/>
        <w:rPr>
          <w:rFonts w:ascii="Garamond" w:eastAsiaTheme="minorHAnsi" w:hAnsi="Garamond" w:cs="Times New Roman"/>
          <w:bCs/>
          <w:iCs/>
          <w:sz w:val="24"/>
          <w:szCs w:val="24"/>
        </w:rPr>
      </w:pPr>
    </w:p>
    <w:p w14:paraId="51EFF2B7" w14:textId="77777777" w:rsidR="006B6C51" w:rsidRPr="00FA2D18" w:rsidRDefault="006B6C51" w:rsidP="006B6C51">
      <w:pPr>
        <w:autoSpaceDE w:val="0"/>
        <w:autoSpaceDN w:val="0"/>
        <w:adjustRightInd w:val="0"/>
        <w:spacing w:after="0" w:line="240" w:lineRule="auto"/>
        <w:ind w:firstLine="284"/>
        <w:jc w:val="center"/>
        <w:rPr>
          <w:rFonts w:ascii="Garamond" w:eastAsiaTheme="minorHAnsi" w:hAnsi="Garamond" w:cs="Times New Roman"/>
          <w:bCs/>
          <w:iCs/>
          <w:sz w:val="24"/>
          <w:szCs w:val="24"/>
        </w:rPr>
      </w:pPr>
      <w:r w:rsidRPr="00FA2D18">
        <w:rPr>
          <w:rFonts w:ascii="Garamond" w:eastAsiaTheme="minorHAnsi" w:hAnsi="Garamond" w:cs="Times New Roman"/>
          <w:bCs/>
          <w:iCs/>
          <w:sz w:val="24"/>
          <w:szCs w:val="24"/>
        </w:rPr>
        <w:t>Neni 4</w:t>
      </w:r>
    </w:p>
    <w:p w14:paraId="418CDC77" w14:textId="77777777" w:rsidR="00E24430" w:rsidRPr="00FA2D18" w:rsidRDefault="00E24430" w:rsidP="006B6C51">
      <w:pPr>
        <w:autoSpaceDE w:val="0"/>
        <w:autoSpaceDN w:val="0"/>
        <w:adjustRightInd w:val="0"/>
        <w:spacing w:after="0" w:line="240" w:lineRule="auto"/>
        <w:ind w:firstLine="284"/>
        <w:jc w:val="center"/>
        <w:rPr>
          <w:rFonts w:ascii="Garamond" w:eastAsiaTheme="minorHAnsi" w:hAnsi="Garamond" w:cs="Times New Roman"/>
          <w:b/>
          <w:bCs/>
          <w:i/>
          <w:iCs/>
          <w:sz w:val="24"/>
          <w:szCs w:val="24"/>
        </w:rPr>
      </w:pPr>
    </w:p>
    <w:p w14:paraId="7D3F303E" w14:textId="05FFC3CE"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 xml:space="preserve">Rregullorja </w:t>
      </w:r>
      <w:r w:rsidR="00062A4C" w:rsidRPr="00FA2D18">
        <w:rPr>
          <w:rFonts w:ascii="Garamond" w:eastAsiaTheme="minorHAnsi" w:hAnsi="Garamond" w:cs="Times New Roman"/>
          <w:sz w:val="24"/>
          <w:szCs w:val="24"/>
        </w:rPr>
        <w:t>nr</w:t>
      </w:r>
      <w:r w:rsidRPr="00FA2D18">
        <w:rPr>
          <w:rFonts w:ascii="Garamond" w:eastAsiaTheme="minorHAnsi" w:hAnsi="Garamond" w:cs="Times New Roman"/>
          <w:sz w:val="24"/>
          <w:szCs w:val="24"/>
        </w:rPr>
        <w:t>. 1, datë 17.3.2000</w:t>
      </w:r>
      <w:r w:rsidR="00062A4C"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“Mbi masat për monitorimin e disa substancave dhe mbetjeve në kafshët e gjalla dhe produktet shtazore”, shfuqizohet.</w:t>
      </w:r>
    </w:p>
    <w:p w14:paraId="6FDC7CAF" w14:textId="77777777" w:rsidR="00E24430" w:rsidRPr="00FA2D18" w:rsidRDefault="00E24430" w:rsidP="00E24430">
      <w:pPr>
        <w:autoSpaceDE w:val="0"/>
        <w:autoSpaceDN w:val="0"/>
        <w:adjustRightInd w:val="0"/>
        <w:spacing w:after="0" w:line="240" w:lineRule="auto"/>
        <w:ind w:firstLine="284"/>
        <w:jc w:val="right"/>
        <w:rPr>
          <w:rFonts w:ascii="Garamond" w:eastAsiaTheme="minorHAnsi" w:hAnsi="Garamond" w:cs="Times New Roman"/>
          <w:bCs/>
          <w:sz w:val="24"/>
          <w:szCs w:val="24"/>
        </w:rPr>
      </w:pPr>
    </w:p>
    <w:p w14:paraId="6EFFDF7B" w14:textId="77777777" w:rsidR="006B6C51" w:rsidRPr="00FA2D18" w:rsidRDefault="006B6C51" w:rsidP="006B6C51">
      <w:pPr>
        <w:autoSpaceDE w:val="0"/>
        <w:autoSpaceDN w:val="0"/>
        <w:adjustRightInd w:val="0"/>
        <w:spacing w:after="0" w:line="240" w:lineRule="auto"/>
        <w:ind w:firstLine="284"/>
        <w:jc w:val="center"/>
        <w:rPr>
          <w:rFonts w:ascii="Garamond" w:eastAsiaTheme="minorHAnsi" w:hAnsi="Garamond" w:cs="Times New Roman"/>
          <w:b/>
          <w:bCs/>
          <w:sz w:val="24"/>
          <w:szCs w:val="24"/>
        </w:rPr>
      </w:pPr>
    </w:p>
    <w:p w14:paraId="7B8CE628" w14:textId="77777777" w:rsidR="006B6C51" w:rsidRPr="00FA2D18" w:rsidRDefault="006B6C51" w:rsidP="006B6C51">
      <w:pPr>
        <w:autoSpaceDE w:val="0"/>
        <w:autoSpaceDN w:val="0"/>
        <w:adjustRightInd w:val="0"/>
        <w:spacing w:after="0" w:line="240" w:lineRule="auto"/>
        <w:ind w:firstLine="284"/>
        <w:jc w:val="center"/>
        <w:rPr>
          <w:rFonts w:ascii="Garamond" w:eastAsiaTheme="minorHAnsi" w:hAnsi="Garamond" w:cs="Times New Roman"/>
          <w:bCs/>
          <w:iCs/>
          <w:sz w:val="24"/>
          <w:szCs w:val="24"/>
        </w:rPr>
      </w:pPr>
      <w:r w:rsidRPr="00FA2D18">
        <w:rPr>
          <w:rFonts w:ascii="Garamond" w:eastAsiaTheme="minorHAnsi" w:hAnsi="Garamond" w:cs="Times New Roman"/>
          <w:bCs/>
          <w:iCs/>
          <w:sz w:val="24"/>
          <w:szCs w:val="24"/>
        </w:rPr>
        <w:t>ANEKSI I</w:t>
      </w:r>
    </w:p>
    <w:p w14:paraId="78A83058" w14:textId="77777777" w:rsidR="00E24430" w:rsidRPr="00FA2D18" w:rsidRDefault="00E24430" w:rsidP="006B6C51">
      <w:pPr>
        <w:autoSpaceDE w:val="0"/>
        <w:autoSpaceDN w:val="0"/>
        <w:adjustRightInd w:val="0"/>
        <w:spacing w:after="0" w:line="240" w:lineRule="auto"/>
        <w:ind w:firstLine="284"/>
        <w:jc w:val="center"/>
        <w:rPr>
          <w:rFonts w:ascii="Garamond" w:eastAsiaTheme="minorHAnsi" w:hAnsi="Garamond" w:cs="Times New Roman"/>
          <w:b/>
          <w:bCs/>
          <w:i/>
          <w:iCs/>
          <w:sz w:val="24"/>
          <w:szCs w:val="24"/>
        </w:rPr>
      </w:pPr>
    </w:p>
    <w:p w14:paraId="676679A0" w14:textId="24D774C1" w:rsidR="006B6C51" w:rsidRPr="00FA2D18" w:rsidRDefault="006B6C51" w:rsidP="00F154C2">
      <w:pPr>
        <w:autoSpaceDE w:val="0"/>
        <w:autoSpaceDN w:val="0"/>
        <w:adjustRightInd w:val="0"/>
        <w:spacing w:after="0" w:line="240" w:lineRule="auto"/>
        <w:ind w:firstLine="284"/>
        <w:jc w:val="both"/>
        <w:rPr>
          <w:rFonts w:ascii="Garamond" w:eastAsiaTheme="minorHAnsi" w:hAnsi="Garamond" w:cs="Times New Roman"/>
          <w:b/>
          <w:bCs/>
          <w:i/>
          <w:iCs/>
          <w:sz w:val="24"/>
          <w:szCs w:val="24"/>
        </w:rPr>
      </w:pPr>
      <w:r w:rsidRPr="00FA2D18">
        <w:rPr>
          <w:rFonts w:ascii="Garamond" w:eastAsiaTheme="minorHAnsi" w:hAnsi="Garamond" w:cs="Times New Roman"/>
          <w:b/>
          <w:bCs/>
          <w:i/>
          <w:iCs/>
          <w:sz w:val="24"/>
          <w:szCs w:val="24"/>
        </w:rPr>
        <w:t>Grupi A – Substancat farmakologjikis</w:t>
      </w:r>
      <w:r w:rsidR="004E5C2B" w:rsidRPr="00FA2D18">
        <w:rPr>
          <w:rFonts w:ascii="Garamond" w:eastAsiaTheme="minorHAnsi" w:hAnsi="Garamond" w:cs="Times New Roman"/>
          <w:b/>
          <w:bCs/>
          <w:i/>
          <w:iCs/>
          <w:sz w:val="24"/>
          <w:szCs w:val="24"/>
        </w:rPr>
        <w:t>ht aktive të ndaluara ose të pa</w:t>
      </w:r>
      <w:r w:rsidRPr="00FA2D18">
        <w:rPr>
          <w:rFonts w:ascii="Garamond" w:eastAsiaTheme="minorHAnsi" w:hAnsi="Garamond" w:cs="Times New Roman"/>
          <w:b/>
          <w:bCs/>
          <w:i/>
          <w:iCs/>
          <w:sz w:val="24"/>
          <w:szCs w:val="24"/>
        </w:rPr>
        <w:t>autorizuara në kafshë</w:t>
      </w:r>
      <w:r w:rsidR="00941784" w:rsidRPr="00FA2D18">
        <w:rPr>
          <w:rFonts w:ascii="Garamond" w:eastAsiaTheme="minorHAnsi" w:hAnsi="Garamond" w:cs="Times New Roman"/>
          <w:b/>
          <w:bCs/>
          <w:i/>
          <w:iCs/>
          <w:sz w:val="24"/>
          <w:szCs w:val="24"/>
        </w:rPr>
        <w:t>t që prodhojnë ushqim</w:t>
      </w:r>
    </w:p>
    <w:p w14:paraId="0F605E5E" w14:textId="6B75DBF4" w:rsidR="006B6C51" w:rsidRPr="00FA2D18" w:rsidRDefault="000E0E9D"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b/>
          <w:bCs/>
          <w:sz w:val="24"/>
          <w:szCs w:val="24"/>
        </w:rPr>
        <w:t xml:space="preserve"> </w:t>
      </w:r>
      <w:r w:rsidR="006B6C51" w:rsidRPr="00FA2D18">
        <w:rPr>
          <w:rFonts w:ascii="Garamond" w:eastAsiaTheme="minorHAnsi" w:hAnsi="Garamond" w:cs="Times New Roman"/>
          <w:sz w:val="24"/>
          <w:szCs w:val="24"/>
        </w:rPr>
        <w:t>1.</w:t>
      </w:r>
      <w:r w:rsidRPr="00FA2D18">
        <w:rPr>
          <w:rFonts w:ascii="Garamond" w:eastAsiaTheme="minorHAnsi" w:hAnsi="Garamond" w:cs="Times New Roman"/>
          <w:sz w:val="24"/>
          <w:szCs w:val="24"/>
        </w:rPr>
        <w:t xml:space="preserve"> </w:t>
      </w:r>
      <w:r w:rsidR="006B6C51" w:rsidRPr="00FA2D18">
        <w:rPr>
          <w:rFonts w:ascii="Garamond" w:eastAsiaTheme="minorHAnsi" w:hAnsi="Garamond" w:cs="Times New Roman"/>
          <w:sz w:val="24"/>
          <w:szCs w:val="24"/>
        </w:rPr>
        <w:t>Substanca me veprim hormonal, tireostatik dhe substanca ß-agoniste përdorimi i të cilave është i ndaluar në kafshët që prodhojnë ushqim:</w:t>
      </w:r>
    </w:p>
    <w:p w14:paraId="7F10F790" w14:textId="67B65E1C"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a)</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stilbenet;</w:t>
      </w:r>
    </w:p>
    <w:p w14:paraId="48F65117" w14:textId="2E512F98"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b)</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agjentët antitiroidalë;</w:t>
      </w:r>
    </w:p>
    <w:p w14:paraId="2C91A9E9" w14:textId="1FEA0E87"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c)</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steroidet;</w:t>
      </w:r>
    </w:p>
    <w:p w14:paraId="6B301F37" w14:textId="2977521B"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d)</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laktonet e acidit rezorcilik (përfshirë zeranolin);</w:t>
      </w:r>
    </w:p>
    <w:p w14:paraId="302A7D70" w14:textId="459A4F53"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e)</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β-agonistët.</w:t>
      </w:r>
    </w:p>
    <w:p w14:paraId="691B0049" w14:textId="23CC2CE6" w:rsidR="006B6C51" w:rsidRPr="00FA2D18" w:rsidRDefault="006B6C51" w:rsidP="004E5C2B">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2.</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 xml:space="preserve">Substanca të ndaluara, të listuara </w:t>
      </w:r>
      <w:r w:rsidR="00B04492" w:rsidRPr="00FA2D18">
        <w:rPr>
          <w:rFonts w:ascii="Garamond" w:eastAsiaTheme="minorHAnsi" w:hAnsi="Garamond" w:cs="Times New Roman"/>
          <w:i/>
          <w:iCs/>
          <w:sz w:val="24"/>
          <w:szCs w:val="24"/>
        </w:rPr>
        <w:t>në tabelën 2, të shtojcës 1, të urdhrit nr. 991, datë 13.10.2025, “Mbi substancat farmakologjikisht aktive dhe klasifikimin e tyre në lidhje me kufijtë maksimalë të mbetjeve në produktet ushqimore me origjinë shtazore”</w:t>
      </w:r>
      <w:r w:rsidRPr="00FA2D18">
        <w:rPr>
          <w:rFonts w:ascii="Garamond" w:eastAsiaTheme="minorHAnsi" w:hAnsi="Garamond" w:cs="Times New Roman"/>
          <w:sz w:val="24"/>
          <w:szCs w:val="24"/>
        </w:rPr>
        <w:t>:</w:t>
      </w:r>
    </w:p>
    <w:p w14:paraId="4BE6DF1D" w14:textId="0ACC912C"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a)</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kloramfenikoli;</w:t>
      </w:r>
    </w:p>
    <w:p w14:paraId="730A3945" w14:textId="0085C62E"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b)</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nitrofuranët;</w:t>
      </w:r>
    </w:p>
    <w:p w14:paraId="6A43EED2" w14:textId="3E71C2B3"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c)</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dimetridazoli, metronidazoli, ronidazoli dhe nitroimidazole të tjerë;</w:t>
      </w:r>
    </w:p>
    <w:p w14:paraId="4B2DD7B6" w14:textId="1D13FB26"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d)</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substanca të tjera.</w:t>
      </w:r>
    </w:p>
    <w:p w14:paraId="38B950C3" w14:textId="253DEE27" w:rsidR="006B6C51" w:rsidRPr="00FA2D18" w:rsidRDefault="006B6C51" w:rsidP="001C2210">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3.</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 xml:space="preserve">Substanca farmakologjikisht aktive që nuk janë të listuara </w:t>
      </w:r>
      <w:r w:rsidR="00B04492" w:rsidRPr="00FA2D18">
        <w:rPr>
          <w:rFonts w:ascii="Garamond" w:eastAsiaTheme="minorHAnsi" w:hAnsi="Garamond" w:cs="Times New Roman"/>
          <w:i/>
          <w:iCs/>
          <w:sz w:val="24"/>
          <w:szCs w:val="24"/>
        </w:rPr>
        <w:t xml:space="preserve">në tabelën I, të shtojcës I, të urdhrit nr. 991, datë 13.10.2025, “Mbi substancat farmakologjikisht aktive dhe klasifikimin e tyre në lidhje me kufijtë maksimalë të mbetjeve në produktet ushqimore me origjinë shtazore </w:t>
      </w:r>
      <w:r w:rsidR="001C2210" w:rsidRPr="00FA2D18">
        <w:rPr>
          <w:rFonts w:ascii="Garamond" w:eastAsiaTheme="minorHAnsi" w:hAnsi="Garamond" w:cs="Times New Roman"/>
          <w:sz w:val="24"/>
          <w:szCs w:val="24"/>
        </w:rPr>
        <w:t>ose substanca të pa</w:t>
      </w:r>
      <w:r w:rsidRPr="00FA2D18">
        <w:rPr>
          <w:rFonts w:ascii="Garamond" w:eastAsiaTheme="minorHAnsi" w:hAnsi="Garamond" w:cs="Times New Roman"/>
          <w:sz w:val="24"/>
          <w:szCs w:val="24"/>
        </w:rPr>
        <w:t>autorizuara për përdorimin në ushqimet për kafshë të destinuara për prodhimin e ushqimeve</w:t>
      </w:r>
      <w:r w:rsidR="001C2210"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në përputhje me </w:t>
      </w:r>
      <w:r w:rsidR="001C2210" w:rsidRPr="00FA2D18">
        <w:rPr>
          <w:rFonts w:ascii="Garamond" w:eastAsiaTheme="minorHAnsi" w:hAnsi="Garamond" w:cs="Times New Roman"/>
          <w:sz w:val="24"/>
          <w:szCs w:val="24"/>
        </w:rPr>
        <w:t xml:space="preserve">nenin </w:t>
      </w:r>
      <w:r w:rsidRPr="00FA2D18">
        <w:rPr>
          <w:rFonts w:ascii="Garamond" w:eastAsiaTheme="minorHAnsi" w:hAnsi="Garamond" w:cs="Times New Roman"/>
          <w:sz w:val="24"/>
          <w:szCs w:val="24"/>
        </w:rPr>
        <w:t xml:space="preserve">83 të </w:t>
      </w:r>
      <w:r w:rsidR="001C2210" w:rsidRPr="00FA2D18">
        <w:rPr>
          <w:rFonts w:ascii="Garamond" w:eastAsiaTheme="minorHAnsi" w:hAnsi="Garamond" w:cs="Times New Roman"/>
          <w:sz w:val="24"/>
          <w:szCs w:val="24"/>
        </w:rPr>
        <w:t xml:space="preserve">ligjit nr. </w:t>
      </w:r>
      <w:r w:rsidRPr="00FA2D18">
        <w:rPr>
          <w:rFonts w:ascii="Garamond" w:eastAsiaTheme="minorHAnsi" w:hAnsi="Garamond" w:cs="Times New Roman"/>
          <w:sz w:val="24"/>
          <w:szCs w:val="24"/>
        </w:rPr>
        <w:t>10 465, datë 29.9.2011</w:t>
      </w:r>
      <w:r w:rsidR="001C2210"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“Për shërbimin veterinar në Republikën e Shqipërisë”, </w:t>
      </w:r>
      <w:r w:rsidR="001C2210" w:rsidRPr="00FA2D18">
        <w:rPr>
          <w:rFonts w:ascii="Garamond" w:eastAsiaTheme="minorHAnsi" w:hAnsi="Garamond" w:cs="Times New Roman"/>
          <w:sz w:val="24"/>
          <w:szCs w:val="24"/>
        </w:rPr>
        <w:t xml:space="preserve">të </w:t>
      </w:r>
      <w:r w:rsidRPr="00FA2D18">
        <w:rPr>
          <w:rFonts w:ascii="Garamond" w:eastAsiaTheme="minorHAnsi" w:hAnsi="Garamond" w:cs="Times New Roman"/>
          <w:sz w:val="24"/>
          <w:szCs w:val="24"/>
        </w:rPr>
        <w:t>ndryshuar</w:t>
      </w:r>
      <w:r w:rsidR="001C2210" w:rsidRPr="00FA2D18">
        <w:rPr>
          <w:rFonts w:ascii="Garamond" w:eastAsiaTheme="minorHAnsi" w:hAnsi="Garamond" w:cs="Times New Roman"/>
          <w:sz w:val="24"/>
          <w:szCs w:val="24"/>
        </w:rPr>
        <w:t>:</w:t>
      </w:r>
    </w:p>
    <w:p w14:paraId="385C150B" w14:textId="7C01AB9F"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a)</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ngjyruesit;</w:t>
      </w:r>
    </w:p>
    <w:p w14:paraId="3FA0166C" w14:textId="39D2BCB1"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b)</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 xml:space="preserve">produktet fitosanitare sipas përshkrimeve të </w:t>
      </w:r>
      <w:r w:rsidR="001C2210" w:rsidRPr="00FA2D18">
        <w:rPr>
          <w:rFonts w:ascii="Garamond" w:eastAsiaTheme="minorHAnsi" w:hAnsi="Garamond" w:cs="Times New Roman"/>
          <w:sz w:val="24"/>
          <w:szCs w:val="24"/>
        </w:rPr>
        <w:t xml:space="preserve">vendimit </w:t>
      </w:r>
      <w:r w:rsidRPr="00FA2D18">
        <w:rPr>
          <w:rFonts w:ascii="Garamond" w:eastAsiaTheme="minorHAnsi" w:hAnsi="Garamond" w:cs="Times New Roman"/>
          <w:sz w:val="24"/>
          <w:szCs w:val="24"/>
        </w:rPr>
        <w:t>nr. 335, datë 6.6.2018</w:t>
      </w:r>
      <w:r w:rsidR="001C2210"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“Për miratimin e rregullave për regjistrimin, të procedurës dhe kritereve të vlerësimit të produkteve për mbrojtjen e bimëve dhe biocidet</w:t>
      </w:r>
      <w:r w:rsidR="001C2210"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sipas përshkrimeve të legjislacionit në fuqi;</w:t>
      </w:r>
    </w:p>
    <w:p w14:paraId="7B88F563" w14:textId="2C021859"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c)</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substanc</w:t>
      </w:r>
      <w:r w:rsidR="001C2210" w:rsidRPr="00FA2D18">
        <w:rPr>
          <w:rFonts w:ascii="Garamond" w:eastAsiaTheme="minorHAnsi" w:hAnsi="Garamond" w:cs="Times New Roman"/>
          <w:sz w:val="24"/>
          <w:szCs w:val="24"/>
        </w:rPr>
        <w:t>ë</w:t>
      </w:r>
      <w:r w:rsidRPr="00FA2D18">
        <w:rPr>
          <w:rFonts w:ascii="Garamond" w:eastAsiaTheme="minorHAnsi" w:hAnsi="Garamond" w:cs="Times New Roman"/>
          <w:sz w:val="24"/>
          <w:szCs w:val="24"/>
        </w:rPr>
        <w:t xml:space="preserve"> antimikrobike;</w:t>
      </w:r>
    </w:p>
    <w:p w14:paraId="503AD418" w14:textId="295E4227"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d)</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koksidiostatikët, histomonostatikët dhe agjentët antiparazitarë të tjerë;</w:t>
      </w:r>
    </w:p>
    <w:p w14:paraId="7BE783BE" w14:textId="06A0BEAC"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e)</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hormonet proteinikë dhe peptididikë;</w:t>
      </w:r>
    </w:p>
    <w:p w14:paraId="7BB606DB" w14:textId="4DEDD0F3"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f)</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antinflamatorët, sedativët dhe çdo substancë tjetër farmakologjikisht aktive;</w:t>
      </w:r>
    </w:p>
    <w:p w14:paraId="11320310" w14:textId="3C660AF2"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g)</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substanca antivirale.</w:t>
      </w:r>
    </w:p>
    <w:p w14:paraId="10E17F22" w14:textId="77777777"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b/>
          <w:bCs/>
          <w:i/>
          <w:iCs/>
          <w:sz w:val="24"/>
          <w:szCs w:val="24"/>
        </w:rPr>
      </w:pPr>
      <w:r w:rsidRPr="00FA2D18">
        <w:rPr>
          <w:rFonts w:ascii="Garamond" w:eastAsiaTheme="minorHAnsi" w:hAnsi="Garamond" w:cs="Times New Roman"/>
          <w:b/>
          <w:bCs/>
          <w:i/>
          <w:iCs/>
          <w:sz w:val="24"/>
          <w:szCs w:val="24"/>
        </w:rPr>
        <w:t>Grupi B – Substancat farmakologjikisht aktive të autorizuara për përdorim në kafshët që prodhojnë ushqim.</w:t>
      </w:r>
    </w:p>
    <w:p w14:paraId="1518C436" w14:textId="62E9B23B" w:rsidR="006B6C51" w:rsidRPr="00FA2D18" w:rsidRDefault="006B6C51" w:rsidP="003262B4">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1.</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 xml:space="preserve">Substanca farmakologjikisht aktive të listuara </w:t>
      </w:r>
      <w:r w:rsidR="00B04492" w:rsidRPr="00FA2D18">
        <w:rPr>
          <w:rFonts w:ascii="Garamond" w:eastAsiaTheme="minorHAnsi" w:hAnsi="Garamond" w:cs="Times New Roman"/>
          <w:i/>
          <w:iCs/>
          <w:sz w:val="24"/>
          <w:szCs w:val="24"/>
        </w:rPr>
        <w:t>në tabelën I, të shtojcës I, të urdhrit nr. 991, datë 13.10.2025, “Mbi substancat farmakologjikisht aktive dhe klasifikimin e tyre në lidhje me kufijtë maksimalë të mbetjeve në produktet ushqimore me origjinë shtazore”</w:t>
      </w:r>
      <w:r w:rsidRPr="00FA2D18">
        <w:rPr>
          <w:rFonts w:ascii="Garamond" w:eastAsiaTheme="minorHAnsi" w:hAnsi="Garamond" w:cs="Times New Roman"/>
          <w:i/>
          <w:sz w:val="24"/>
          <w:szCs w:val="24"/>
        </w:rPr>
        <w:t>:</w:t>
      </w:r>
    </w:p>
    <w:p w14:paraId="722C0D1A" w14:textId="1A80261E"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a)</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substanca antimikrobike;</w:t>
      </w:r>
    </w:p>
    <w:p w14:paraId="1EFF9536" w14:textId="4304CDF4"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lastRenderedPageBreak/>
        <w:t>b)</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insekticide, fungicide, antihelmintikë dhe agjentë antiparazitarë të tjerë;</w:t>
      </w:r>
    </w:p>
    <w:p w14:paraId="4E0BE859" w14:textId="6C1B37D0"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c)</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trankuilizantët;</w:t>
      </w:r>
    </w:p>
    <w:p w14:paraId="39DD6CDC" w14:textId="35EC20B8"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d)</w:t>
      </w:r>
      <w:r w:rsidR="000E0E9D" w:rsidRPr="00FA2D18">
        <w:rPr>
          <w:rFonts w:ascii="Garamond" w:eastAsiaTheme="minorHAnsi" w:hAnsi="Garamond" w:cs="Times New Roman"/>
          <w:sz w:val="24"/>
          <w:szCs w:val="24"/>
        </w:rPr>
        <w:t xml:space="preserve"> </w:t>
      </w:r>
      <w:r w:rsidR="00BC3126" w:rsidRPr="00FA2D18">
        <w:rPr>
          <w:rFonts w:ascii="Garamond" w:eastAsiaTheme="minorHAnsi" w:hAnsi="Garamond" w:cs="Times New Roman"/>
          <w:sz w:val="24"/>
          <w:szCs w:val="24"/>
        </w:rPr>
        <w:t>antinflamatorët jo</w:t>
      </w:r>
      <w:r w:rsidRPr="00FA2D18">
        <w:rPr>
          <w:rFonts w:ascii="Garamond" w:eastAsiaTheme="minorHAnsi" w:hAnsi="Garamond" w:cs="Times New Roman"/>
          <w:sz w:val="24"/>
          <w:szCs w:val="24"/>
        </w:rPr>
        <w:t>steroidale (NSAIDs), kortikosteroidët dhe glukokortikoidët;</w:t>
      </w:r>
    </w:p>
    <w:p w14:paraId="7EA5F52E" w14:textId="423BFC03"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e)</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substanca të tjera farmakologjikisht aktive.</w:t>
      </w:r>
    </w:p>
    <w:p w14:paraId="3FBBEDEE" w14:textId="6DA7809D" w:rsidR="006B6C51" w:rsidRPr="00FA2D18" w:rsidRDefault="006B6C51" w:rsidP="00252052">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2.</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 xml:space="preserve">Koksidiostatikët dhe histomonostatikët e autorizuar sipas kërkesave të përcaktuara në </w:t>
      </w:r>
      <w:r w:rsidR="00252052" w:rsidRPr="00FA2D18">
        <w:rPr>
          <w:rFonts w:ascii="Garamond" w:eastAsiaTheme="minorHAnsi" w:hAnsi="Garamond" w:cs="Times New Roman"/>
          <w:sz w:val="24"/>
          <w:szCs w:val="24"/>
        </w:rPr>
        <w:t>udhëzimin nr</w:t>
      </w:r>
      <w:r w:rsidRPr="00FA2D18">
        <w:rPr>
          <w:rFonts w:ascii="Garamond" w:eastAsiaTheme="minorHAnsi" w:hAnsi="Garamond" w:cs="Times New Roman"/>
          <w:sz w:val="24"/>
          <w:szCs w:val="24"/>
        </w:rPr>
        <w:t>.</w:t>
      </w:r>
      <w:r w:rsidR="00252052"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12, dat</w:t>
      </w:r>
      <w:r w:rsidR="00252052" w:rsidRPr="00FA2D18">
        <w:rPr>
          <w:rFonts w:ascii="Garamond" w:eastAsiaTheme="minorHAnsi" w:hAnsi="Garamond" w:cs="Times New Roman"/>
          <w:sz w:val="24"/>
          <w:szCs w:val="24"/>
        </w:rPr>
        <w:t>ë</w:t>
      </w:r>
      <w:r w:rsidRPr="00FA2D18">
        <w:rPr>
          <w:rFonts w:ascii="Garamond" w:eastAsiaTheme="minorHAnsi" w:hAnsi="Garamond" w:cs="Times New Roman"/>
          <w:sz w:val="24"/>
          <w:szCs w:val="24"/>
        </w:rPr>
        <w:t xml:space="preserve"> 13.7.2022</w:t>
      </w:r>
      <w:r w:rsidR="00252052"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“Mbi përcaktimin e niveleve maksimale të pranisë së koksidiostatikëve dhe histomonostatikëve në qumësht, mëlçi, veshka</w:t>
      </w:r>
      <w:r w:rsidR="00252052"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si dhe ushqime të tjera”.</w:t>
      </w:r>
    </w:p>
    <w:p w14:paraId="6B94BD11" w14:textId="77777777" w:rsidR="00F154C2" w:rsidRPr="00FA2D18" w:rsidRDefault="00F154C2" w:rsidP="006B6C51">
      <w:pPr>
        <w:pStyle w:val="NoSpacing"/>
        <w:ind w:firstLine="284"/>
        <w:rPr>
          <w:rFonts w:ascii="Garamond" w:hAnsi="Garamond"/>
          <w:b/>
          <w:i/>
          <w:sz w:val="24"/>
          <w:szCs w:val="24"/>
          <w:lang w:val="sq-AL"/>
        </w:rPr>
      </w:pPr>
    </w:p>
    <w:p w14:paraId="3CE9D834" w14:textId="77777777" w:rsidR="008D702A" w:rsidRPr="00FA2D18" w:rsidRDefault="008D702A" w:rsidP="00F154C2">
      <w:pPr>
        <w:pStyle w:val="NoSpacing"/>
        <w:ind w:firstLine="284"/>
        <w:jc w:val="center"/>
        <w:rPr>
          <w:rFonts w:ascii="Garamond" w:hAnsi="Garamond"/>
          <w:sz w:val="24"/>
          <w:szCs w:val="24"/>
          <w:lang w:val="sq-AL"/>
        </w:rPr>
      </w:pPr>
      <w:r w:rsidRPr="00FA2D18">
        <w:rPr>
          <w:rFonts w:ascii="Garamond" w:hAnsi="Garamond"/>
          <w:sz w:val="24"/>
          <w:szCs w:val="24"/>
          <w:lang w:val="sq-AL"/>
        </w:rPr>
        <w:t>ANEKSI II</w:t>
      </w:r>
    </w:p>
    <w:p w14:paraId="72180AAB" w14:textId="77777777" w:rsidR="008D702A" w:rsidRPr="00FA2D18" w:rsidRDefault="008D702A" w:rsidP="006B6C51">
      <w:pPr>
        <w:pStyle w:val="NoSpacing"/>
        <w:ind w:firstLine="284"/>
        <w:rPr>
          <w:rFonts w:ascii="Garamond" w:hAnsi="Garamond"/>
          <w:b/>
          <w:i/>
          <w:sz w:val="24"/>
          <w:szCs w:val="24"/>
          <w:lang w:val="sq-AL"/>
        </w:rPr>
      </w:pPr>
    </w:p>
    <w:p w14:paraId="1F5E42C6" w14:textId="003EBC73" w:rsidR="008D702A" w:rsidRPr="00FA2D18" w:rsidRDefault="008D702A" w:rsidP="00941784">
      <w:pPr>
        <w:spacing w:after="0" w:line="240" w:lineRule="auto"/>
        <w:ind w:firstLine="284"/>
        <w:jc w:val="both"/>
        <w:rPr>
          <w:rFonts w:ascii="Garamond" w:hAnsi="Garamond" w:cs="Times New Roman"/>
          <w:sz w:val="24"/>
          <w:szCs w:val="24"/>
        </w:rPr>
      </w:pPr>
      <w:r w:rsidRPr="00FA2D18">
        <w:rPr>
          <w:rFonts w:ascii="Garamond" w:hAnsi="Garamond" w:cs="Times New Roman"/>
          <w:b/>
          <w:i/>
          <w:sz w:val="24"/>
          <w:szCs w:val="24"/>
        </w:rPr>
        <w:t>Kriteret për përzgjedhjen e kombinimit specifik të grupeve të substancave dhe grupeve të produkteve për planin kombëtar të kontrollit të bazuar në risk, siç përmendet n</w:t>
      </w:r>
      <w:r w:rsidR="00941784" w:rsidRPr="00FA2D18">
        <w:rPr>
          <w:rFonts w:ascii="Garamond" w:hAnsi="Garamond" w:cs="Times New Roman"/>
          <w:b/>
          <w:i/>
          <w:sz w:val="24"/>
          <w:szCs w:val="24"/>
        </w:rPr>
        <w:t>ë</w:t>
      </w:r>
      <w:r w:rsidRPr="00FA2D18">
        <w:rPr>
          <w:rFonts w:ascii="Garamond" w:hAnsi="Garamond" w:cs="Times New Roman"/>
          <w:b/>
          <w:i/>
          <w:sz w:val="24"/>
          <w:szCs w:val="24"/>
        </w:rPr>
        <w:t xml:space="preserve"> pikën 2, neni 2</w:t>
      </w:r>
      <w:r w:rsidR="007A5C3D" w:rsidRPr="00FA2D18">
        <w:rPr>
          <w:rFonts w:ascii="Garamond" w:hAnsi="Garamond" w:cs="Times New Roman"/>
          <w:b/>
          <w:i/>
          <w:sz w:val="24"/>
          <w:szCs w:val="24"/>
        </w:rPr>
        <w:t>,</w:t>
      </w:r>
      <w:r w:rsidRPr="00FA2D18">
        <w:rPr>
          <w:rFonts w:ascii="Garamond" w:hAnsi="Garamond" w:cs="Times New Roman"/>
          <w:b/>
          <w:i/>
          <w:sz w:val="24"/>
          <w:szCs w:val="24"/>
        </w:rPr>
        <w:t xml:space="preserve"> t</w:t>
      </w:r>
      <w:r w:rsidR="00941784" w:rsidRPr="00FA2D18">
        <w:rPr>
          <w:rFonts w:ascii="Garamond" w:hAnsi="Garamond" w:cs="Times New Roman"/>
          <w:b/>
          <w:i/>
          <w:sz w:val="24"/>
          <w:szCs w:val="24"/>
        </w:rPr>
        <w:t>ë kësaj Rregulloreje</w:t>
      </w:r>
    </w:p>
    <w:p w14:paraId="7E347B1F" w14:textId="7B83D16A" w:rsidR="008D702A" w:rsidRPr="00FA2D18" w:rsidRDefault="00F154C2" w:rsidP="006B6C51">
      <w:pPr>
        <w:pStyle w:val="NoSpacing"/>
        <w:ind w:firstLine="284"/>
        <w:jc w:val="both"/>
        <w:rPr>
          <w:rFonts w:ascii="Garamond" w:hAnsi="Garamond"/>
          <w:i/>
          <w:sz w:val="24"/>
          <w:szCs w:val="24"/>
          <w:lang w:val="sq-AL"/>
        </w:rPr>
      </w:pPr>
      <w:r w:rsidRPr="00FA2D18">
        <w:rPr>
          <w:rFonts w:ascii="Garamond" w:hAnsi="Garamond"/>
          <w:b/>
          <w:i/>
          <w:sz w:val="24"/>
          <w:szCs w:val="24"/>
          <w:lang w:val="sq-AL"/>
        </w:rPr>
        <w:t>A.</w:t>
      </w:r>
      <w:r w:rsidRPr="00FA2D18">
        <w:rPr>
          <w:rStyle w:val="oj-bold"/>
          <w:rFonts w:ascii="Garamond" w:hAnsi="Garamond"/>
          <w:b/>
          <w:i/>
          <w:sz w:val="24"/>
          <w:szCs w:val="24"/>
          <w:lang w:val="sq-AL"/>
        </w:rPr>
        <w:t xml:space="preserve"> </w:t>
      </w:r>
      <w:r w:rsidR="008D702A" w:rsidRPr="00FA2D18">
        <w:rPr>
          <w:rStyle w:val="oj-bold"/>
          <w:rFonts w:ascii="Garamond" w:hAnsi="Garamond"/>
          <w:b/>
          <w:i/>
          <w:sz w:val="24"/>
          <w:szCs w:val="24"/>
          <w:lang w:val="sq-AL"/>
        </w:rPr>
        <w:t>Substanca të grupit A</w:t>
      </w:r>
    </w:p>
    <w:p w14:paraId="3E644242" w14:textId="491A29A6" w:rsidR="008D702A" w:rsidRPr="00FA2D18" w:rsidRDefault="006B6C51" w:rsidP="00F154C2">
      <w:pPr>
        <w:pStyle w:val="NoSpacing"/>
        <w:widowControl/>
        <w:autoSpaceDE/>
        <w:autoSpaceDN/>
        <w:ind w:left="284"/>
        <w:jc w:val="both"/>
        <w:rPr>
          <w:rFonts w:ascii="Garamond" w:hAnsi="Garamond"/>
          <w:sz w:val="24"/>
          <w:szCs w:val="24"/>
          <w:lang w:val="sq-AL"/>
        </w:rPr>
      </w:pPr>
      <w:r w:rsidRPr="00FA2D18">
        <w:rPr>
          <w:rFonts w:ascii="Garamond" w:hAnsi="Garamond"/>
          <w:sz w:val="24"/>
          <w:szCs w:val="24"/>
          <w:lang w:val="sq-AL"/>
        </w:rPr>
        <w:t>1.</w:t>
      </w:r>
      <w:r w:rsidR="007A5C3D" w:rsidRPr="00FA2D18">
        <w:rPr>
          <w:rFonts w:ascii="Garamond" w:hAnsi="Garamond"/>
          <w:sz w:val="24"/>
          <w:szCs w:val="24"/>
          <w:lang w:val="sq-AL"/>
        </w:rPr>
        <w:t xml:space="preserve"> </w:t>
      </w:r>
      <w:r w:rsidR="008D702A" w:rsidRPr="00FA2D18">
        <w:rPr>
          <w:rFonts w:ascii="Garamond" w:hAnsi="Garamond"/>
          <w:sz w:val="24"/>
          <w:szCs w:val="24"/>
          <w:lang w:val="sq-AL"/>
        </w:rPr>
        <w:t xml:space="preserve">Kombinimet e grupeve të substancave dhe produkteve: </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94"/>
        <w:gridCol w:w="545"/>
        <w:gridCol w:w="364"/>
        <w:gridCol w:w="364"/>
        <w:gridCol w:w="364"/>
        <w:gridCol w:w="1178"/>
        <w:gridCol w:w="1000"/>
        <w:gridCol w:w="576"/>
        <w:gridCol w:w="967"/>
        <w:gridCol w:w="455"/>
        <w:gridCol w:w="384"/>
      </w:tblGrid>
      <w:tr w:rsidR="00FA2D18" w:rsidRPr="00FA2D18" w14:paraId="60743FCA" w14:textId="77777777" w:rsidTr="00534FF5">
        <w:trPr>
          <w:trHeight w:val="20"/>
          <w:tblCellSpacing w:w="0" w:type="dxa"/>
          <w:jc w:val="center"/>
        </w:trPr>
        <w:tc>
          <w:tcPr>
            <w:tcW w:w="1592" w:type="pct"/>
            <w:tcBorders>
              <w:top w:val="single" w:sz="4" w:space="0" w:color="auto"/>
              <w:left w:val="single" w:sz="4" w:space="0" w:color="auto"/>
              <w:bottom w:val="single" w:sz="4" w:space="0" w:color="auto"/>
              <w:right w:val="single" w:sz="4" w:space="0" w:color="auto"/>
            </w:tcBorders>
            <w:vAlign w:val="center"/>
            <w:hideMark/>
          </w:tcPr>
          <w:p w14:paraId="5B3BA643" w14:textId="77777777" w:rsidR="00B04492" w:rsidRPr="00FA2D18" w:rsidRDefault="00B04492" w:rsidP="00534FF5">
            <w:pPr>
              <w:widowControl w:val="0"/>
              <w:autoSpaceDE w:val="0"/>
              <w:autoSpaceDN w:val="0"/>
              <w:spacing w:after="0" w:line="240" w:lineRule="auto"/>
              <w:jc w:val="both"/>
              <w:rPr>
                <w:rFonts w:ascii="Garamond" w:eastAsia="Times New Roman" w:hAnsi="Garamond" w:cs="Times New Roman"/>
                <w:b/>
                <w:bCs/>
                <w:i/>
                <w:sz w:val="24"/>
                <w:szCs w:val="24"/>
              </w:rPr>
            </w:pPr>
          </w:p>
        </w:tc>
        <w:tc>
          <w:tcPr>
            <w:tcW w:w="3408" w:type="pct"/>
            <w:gridSpan w:val="10"/>
            <w:tcBorders>
              <w:top w:val="single" w:sz="4" w:space="0" w:color="auto"/>
              <w:left w:val="single" w:sz="4" w:space="0" w:color="auto"/>
              <w:bottom w:val="single" w:sz="4" w:space="0" w:color="auto"/>
              <w:right w:val="single" w:sz="4" w:space="0" w:color="auto"/>
            </w:tcBorders>
            <w:vAlign w:val="center"/>
            <w:hideMark/>
          </w:tcPr>
          <w:p w14:paraId="1A664510" w14:textId="77777777" w:rsidR="00B04492" w:rsidRPr="00FA2D18" w:rsidRDefault="00B04492" w:rsidP="00534FF5">
            <w:pPr>
              <w:widowControl w:val="0"/>
              <w:autoSpaceDE w:val="0"/>
              <w:autoSpaceDN w:val="0"/>
              <w:spacing w:after="0" w:line="240" w:lineRule="auto"/>
              <w:jc w:val="both"/>
              <w:rPr>
                <w:rFonts w:ascii="Garamond" w:eastAsia="Times New Roman" w:hAnsi="Garamond" w:cs="Times New Roman"/>
                <w:b/>
                <w:bCs/>
                <w:i/>
                <w:sz w:val="24"/>
                <w:szCs w:val="24"/>
              </w:rPr>
            </w:pPr>
            <w:r w:rsidRPr="00FA2D18">
              <w:rPr>
                <w:rFonts w:ascii="Garamond" w:eastAsia="Times New Roman" w:hAnsi="Garamond" w:cs="Times New Roman"/>
                <w:b/>
                <w:bCs/>
                <w:i/>
                <w:sz w:val="24"/>
                <w:szCs w:val="24"/>
              </w:rPr>
              <w:t>Grupet e produkteve</w:t>
            </w:r>
          </w:p>
        </w:tc>
      </w:tr>
      <w:tr w:rsidR="00FA2D18" w:rsidRPr="00FA2D18" w14:paraId="0A16E7D7" w14:textId="77777777" w:rsidTr="00534FF5">
        <w:trPr>
          <w:cantSplit/>
          <w:trHeight w:val="1304"/>
          <w:tblCellSpacing w:w="0" w:type="dxa"/>
          <w:jc w:val="center"/>
        </w:trPr>
        <w:tc>
          <w:tcPr>
            <w:tcW w:w="1592" w:type="pct"/>
            <w:tcBorders>
              <w:top w:val="single" w:sz="4" w:space="0" w:color="auto"/>
              <w:left w:val="single" w:sz="4" w:space="0" w:color="auto"/>
              <w:bottom w:val="single" w:sz="4" w:space="0" w:color="auto"/>
              <w:right w:val="single" w:sz="4" w:space="0" w:color="auto"/>
            </w:tcBorders>
            <w:vAlign w:val="center"/>
            <w:hideMark/>
          </w:tcPr>
          <w:p w14:paraId="66C02570"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b/>
                <w:bCs/>
                <w:i/>
                <w:sz w:val="24"/>
                <w:szCs w:val="24"/>
              </w:rPr>
            </w:pPr>
            <w:r w:rsidRPr="00FA2D18">
              <w:rPr>
                <w:rFonts w:ascii="Garamond" w:eastAsia="Times New Roman" w:hAnsi="Garamond" w:cs="Times New Roman"/>
                <w:b/>
                <w:bCs/>
                <w:i/>
                <w:sz w:val="24"/>
                <w:szCs w:val="24"/>
              </w:rPr>
              <w:t>Grupet e substancave sipas</w:t>
            </w:r>
          </w:p>
          <w:p w14:paraId="74691998"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b/>
                <w:bCs/>
                <w:i/>
                <w:sz w:val="24"/>
                <w:szCs w:val="24"/>
              </w:rPr>
            </w:pPr>
            <w:r w:rsidRPr="00FA2D18">
              <w:rPr>
                <w:rFonts w:ascii="Garamond" w:eastAsia="Times New Roman" w:hAnsi="Garamond" w:cs="Times New Roman"/>
                <w:b/>
                <w:bCs/>
                <w:i/>
                <w:sz w:val="24"/>
                <w:szCs w:val="24"/>
              </w:rPr>
              <w:t>përshkrimeve të aneksit I</w:t>
            </w:r>
          </w:p>
        </w:tc>
        <w:tc>
          <w:tcPr>
            <w:tcW w:w="300" w:type="pct"/>
            <w:tcBorders>
              <w:top w:val="single" w:sz="4" w:space="0" w:color="auto"/>
              <w:left w:val="single" w:sz="4" w:space="0" w:color="auto"/>
              <w:bottom w:val="single" w:sz="4" w:space="0" w:color="auto"/>
              <w:right w:val="single" w:sz="4" w:space="0" w:color="auto"/>
            </w:tcBorders>
            <w:textDirection w:val="btLr"/>
            <w:vAlign w:val="center"/>
            <w:hideMark/>
          </w:tcPr>
          <w:p w14:paraId="7F07C93C"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b/>
                <w:bCs/>
                <w:i/>
                <w:sz w:val="24"/>
                <w:szCs w:val="24"/>
              </w:rPr>
            </w:pPr>
            <w:r w:rsidRPr="00FA2D18">
              <w:rPr>
                <w:rFonts w:ascii="Garamond" w:eastAsia="Times New Roman" w:hAnsi="Garamond" w:cs="Times New Roman"/>
                <w:b/>
                <w:bCs/>
                <w:i/>
                <w:sz w:val="24"/>
                <w:szCs w:val="24"/>
              </w:rPr>
              <w:t>Gjedhët, dhentë, dhitë</w:t>
            </w:r>
          </w:p>
        </w:tc>
        <w:tc>
          <w:tcPr>
            <w:tcW w:w="200" w:type="pct"/>
            <w:tcBorders>
              <w:top w:val="single" w:sz="4" w:space="0" w:color="auto"/>
              <w:left w:val="single" w:sz="4" w:space="0" w:color="auto"/>
              <w:bottom w:val="single" w:sz="4" w:space="0" w:color="auto"/>
              <w:right w:val="single" w:sz="4" w:space="0" w:color="auto"/>
            </w:tcBorders>
            <w:textDirection w:val="btLr"/>
            <w:vAlign w:val="center"/>
            <w:hideMark/>
          </w:tcPr>
          <w:p w14:paraId="68C00E16"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b/>
                <w:bCs/>
                <w:i/>
                <w:sz w:val="24"/>
                <w:szCs w:val="24"/>
              </w:rPr>
            </w:pPr>
            <w:r w:rsidRPr="00FA2D18">
              <w:rPr>
                <w:rFonts w:ascii="Garamond" w:eastAsia="Times New Roman" w:hAnsi="Garamond" w:cs="Times New Roman"/>
                <w:b/>
                <w:bCs/>
                <w:i/>
                <w:sz w:val="24"/>
                <w:szCs w:val="24"/>
              </w:rPr>
              <w:t>Derra</w:t>
            </w:r>
          </w:p>
        </w:tc>
        <w:tc>
          <w:tcPr>
            <w:tcW w:w="200" w:type="pct"/>
            <w:tcBorders>
              <w:top w:val="single" w:sz="4" w:space="0" w:color="auto"/>
              <w:left w:val="single" w:sz="4" w:space="0" w:color="auto"/>
              <w:bottom w:val="single" w:sz="4" w:space="0" w:color="auto"/>
              <w:right w:val="single" w:sz="4" w:space="0" w:color="auto"/>
            </w:tcBorders>
            <w:textDirection w:val="btLr"/>
            <w:vAlign w:val="center"/>
            <w:hideMark/>
          </w:tcPr>
          <w:p w14:paraId="2AE9559C"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b/>
                <w:bCs/>
                <w:i/>
                <w:sz w:val="24"/>
                <w:szCs w:val="24"/>
              </w:rPr>
            </w:pPr>
            <w:r w:rsidRPr="00FA2D18">
              <w:rPr>
                <w:rFonts w:ascii="Garamond" w:eastAsia="Times New Roman" w:hAnsi="Garamond" w:cs="Times New Roman"/>
                <w:b/>
                <w:bCs/>
                <w:i/>
                <w:sz w:val="24"/>
                <w:szCs w:val="24"/>
              </w:rPr>
              <w:t>Njëthundrakë</w:t>
            </w:r>
          </w:p>
        </w:tc>
        <w:tc>
          <w:tcPr>
            <w:tcW w:w="200" w:type="pct"/>
            <w:tcBorders>
              <w:top w:val="single" w:sz="4" w:space="0" w:color="auto"/>
              <w:left w:val="single" w:sz="4" w:space="0" w:color="auto"/>
              <w:bottom w:val="single" w:sz="4" w:space="0" w:color="auto"/>
              <w:right w:val="single" w:sz="4" w:space="0" w:color="auto"/>
            </w:tcBorders>
            <w:textDirection w:val="btLr"/>
            <w:vAlign w:val="center"/>
            <w:hideMark/>
          </w:tcPr>
          <w:p w14:paraId="5485FF90"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b/>
                <w:bCs/>
                <w:i/>
                <w:sz w:val="24"/>
                <w:szCs w:val="24"/>
              </w:rPr>
            </w:pPr>
            <w:r w:rsidRPr="00FA2D18">
              <w:rPr>
                <w:rFonts w:ascii="Garamond" w:eastAsia="Times New Roman" w:hAnsi="Garamond" w:cs="Times New Roman"/>
                <w:b/>
                <w:bCs/>
                <w:i/>
                <w:sz w:val="24"/>
                <w:szCs w:val="24"/>
              </w:rPr>
              <w:t>Pula</w:t>
            </w:r>
          </w:p>
        </w:tc>
        <w:tc>
          <w:tcPr>
            <w:tcW w:w="648" w:type="pct"/>
            <w:tcBorders>
              <w:top w:val="single" w:sz="4" w:space="0" w:color="auto"/>
              <w:left w:val="single" w:sz="4" w:space="0" w:color="auto"/>
              <w:bottom w:val="single" w:sz="4" w:space="0" w:color="auto"/>
              <w:right w:val="single" w:sz="4" w:space="0" w:color="auto"/>
            </w:tcBorders>
            <w:textDirection w:val="btLr"/>
            <w:vAlign w:val="center"/>
            <w:hideMark/>
          </w:tcPr>
          <w:p w14:paraId="33AA1280"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b/>
                <w:bCs/>
                <w:i/>
                <w:sz w:val="24"/>
                <w:szCs w:val="24"/>
              </w:rPr>
            </w:pPr>
            <w:r w:rsidRPr="00FA2D18">
              <w:rPr>
                <w:rFonts w:ascii="Garamond" w:eastAsia="Times New Roman" w:hAnsi="Garamond" w:cs="Times New Roman"/>
                <w:b/>
                <w:bCs/>
                <w:i/>
                <w:sz w:val="24"/>
                <w:szCs w:val="24"/>
              </w:rPr>
              <w:t>Akuakultura (peshku, fin fish) krostace dhe produkte të tjera të akuakulturës)</w:t>
            </w:r>
          </w:p>
        </w:tc>
        <w:tc>
          <w:tcPr>
            <w:tcW w:w="550" w:type="pct"/>
            <w:tcBorders>
              <w:top w:val="single" w:sz="4" w:space="0" w:color="auto"/>
              <w:left w:val="single" w:sz="4" w:space="0" w:color="auto"/>
              <w:bottom w:val="single" w:sz="4" w:space="0" w:color="auto"/>
              <w:right w:val="single" w:sz="4" w:space="0" w:color="auto"/>
            </w:tcBorders>
            <w:textDirection w:val="btLr"/>
            <w:vAlign w:val="center"/>
            <w:hideMark/>
          </w:tcPr>
          <w:p w14:paraId="1E949484"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b/>
                <w:bCs/>
                <w:i/>
                <w:sz w:val="24"/>
                <w:szCs w:val="24"/>
              </w:rPr>
            </w:pPr>
            <w:r w:rsidRPr="00FA2D18">
              <w:rPr>
                <w:rFonts w:ascii="Garamond" w:eastAsia="Times New Roman" w:hAnsi="Garamond" w:cs="Times New Roman"/>
                <w:b/>
                <w:bCs/>
                <w:i/>
                <w:sz w:val="24"/>
                <w:szCs w:val="24"/>
              </w:rPr>
              <w:t>Qumësht i freskët i gjedhit dhenve dhe dhive</w:t>
            </w:r>
          </w:p>
        </w:tc>
        <w:tc>
          <w:tcPr>
            <w:tcW w:w="317" w:type="pct"/>
            <w:tcBorders>
              <w:top w:val="single" w:sz="4" w:space="0" w:color="auto"/>
              <w:left w:val="single" w:sz="4" w:space="0" w:color="auto"/>
              <w:bottom w:val="single" w:sz="4" w:space="0" w:color="auto"/>
              <w:right w:val="single" w:sz="4" w:space="0" w:color="auto"/>
            </w:tcBorders>
            <w:textDirection w:val="btLr"/>
            <w:vAlign w:val="center"/>
            <w:hideMark/>
          </w:tcPr>
          <w:p w14:paraId="45124187"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b/>
                <w:bCs/>
                <w:i/>
                <w:sz w:val="24"/>
                <w:szCs w:val="24"/>
              </w:rPr>
            </w:pPr>
            <w:r w:rsidRPr="00FA2D18">
              <w:rPr>
                <w:rFonts w:ascii="Garamond" w:eastAsia="Times New Roman" w:hAnsi="Garamond" w:cs="Times New Roman"/>
                <w:b/>
                <w:bCs/>
                <w:i/>
                <w:sz w:val="24"/>
                <w:szCs w:val="24"/>
              </w:rPr>
              <w:t>Vezë pule dhe vezë të tjera</w:t>
            </w:r>
          </w:p>
        </w:tc>
        <w:tc>
          <w:tcPr>
            <w:tcW w:w="532" w:type="pct"/>
            <w:tcBorders>
              <w:top w:val="single" w:sz="4" w:space="0" w:color="auto"/>
              <w:left w:val="single" w:sz="4" w:space="0" w:color="auto"/>
              <w:bottom w:val="single" w:sz="4" w:space="0" w:color="auto"/>
              <w:right w:val="single" w:sz="4" w:space="0" w:color="auto"/>
            </w:tcBorders>
            <w:textDirection w:val="btLr"/>
            <w:vAlign w:val="center"/>
            <w:hideMark/>
          </w:tcPr>
          <w:p w14:paraId="6868AD02"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b/>
                <w:bCs/>
                <w:i/>
                <w:sz w:val="24"/>
                <w:szCs w:val="24"/>
              </w:rPr>
            </w:pPr>
            <w:r w:rsidRPr="00FA2D18">
              <w:rPr>
                <w:rFonts w:ascii="Garamond" w:eastAsia="Times New Roman" w:hAnsi="Garamond" w:cs="Times New Roman"/>
                <w:b/>
                <w:bCs/>
                <w:i/>
                <w:sz w:val="24"/>
                <w:szCs w:val="24"/>
              </w:rPr>
              <w:t>Lepuj, kafshë të egra të mbarështuara, reptilë dhe insekte</w:t>
            </w:r>
          </w:p>
        </w:tc>
        <w:tc>
          <w:tcPr>
            <w:tcW w:w="250" w:type="pct"/>
            <w:tcBorders>
              <w:top w:val="single" w:sz="4" w:space="0" w:color="auto"/>
              <w:left w:val="single" w:sz="4" w:space="0" w:color="auto"/>
              <w:bottom w:val="single" w:sz="4" w:space="0" w:color="auto"/>
              <w:right w:val="single" w:sz="4" w:space="0" w:color="auto"/>
            </w:tcBorders>
            <w:textDirection w:val="btLr"/>
            <w:vAlign w:val="center"/>
            <w:hideMark/>
          </w:tcPr>
          <w:p w14:paraId="12C2252F"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b/>
                <w:bCs/>
                <w:i/>
                <w:sz w:val="24"/>
                <w:szCs w:val="24"/>
              </w:rPr>
            </w:pPr>
            <w:r w:rsidRPr="00FA2D18">
              <w:rPr>
                <w:rFonts w:ascii="Garamond" w:eastAsia="Times New Roman" w:hAnsi="Garamond" w:cs="Times New Roman"/>
                <w:b/>
                <w:bCs/>
                <w:i/>
                <w:sz w:val="24"/>
                <w:szCs w:val="24"/>
              </w:rPr>
              <w:t>Mjalti</w:t>
            </w:r>
          </w:p>
        </w:tc>
        <w:tc>
          <w:tcPr>
            <w:tcW w:w="211" w:type="pct"/>
            <w:tcBorders>
              <w:top w:val="single" w:sz="4" w:space="0" w:color="auto"/>
              <w:left w:val="single" w:sz="4" w:space="0" w:color="auto"/>
              <w:bottom w:val="single" w:sz="4" w:space="0" w:color="auto"/>
              <w:right w:val="single" w:sz="4" w:space="0" w:color="auto"/>
            </w:tcBorders>
            <w:textDirection w:val="btLr"/>
            <w:vAlign w:val="center"/>
            <w:hideMark/>
          </w:tcPr>
          <w:p w14:paraId="3D192E6D"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b/>
                <w:bCs/>
                <w:i/>
                <w:sz w:val="24"/>
                <w:szCs w:val="24"/>
              </w:rPr>
            </w:pPr>
            <w:r w:rsidRPr="00FA2D18">
              <w:rPr>
                <w:rFonts w:ascii="Garamond" w:eastAsia="Times New Roman" w:hAnsi="Garamond" w:cs="Times New Roman"/>
                <w:b/>
                <w:bCs/>
                <w:i/>
                <w:sz w:val="24"/>
                <w:szCs w:val="24"/>
              </w:rPr>
              <w:t>Zorrë</w:t>
            </w:r>
          </w:p>
        </w:tc>
      </w:tr>
      <w:tr w:rsidR="00FA2D18" w:rsidRPr="00FA2D18" w14:paraId="18E1C497" w14:textId="77777777" w:rsidTr="00534FF5">
        <w:trPr>
          <w:trHeight w:val="20"/>
          <w:tblCellSpacing w:w="0" w:type="dxa"/>
          <w:jc w:val="center"/>
        </w:trPr>
        <w:tc>
          <w:tcPr>
            <w:tcW w:w="1592" w:type="pct"/>
            <w:tcBorders>
              <w:top w:val="single" w:sz="4" w:space="0" w:color="auto"/>
              <w:left w:val="single" w:sz="4" w:space="0" w:color="auto"/>
              <w:bottom w:val="single" w:sz="4" w:space="0" w:color="auto"/>
              <w:right w:val="single" w:sz="4" w:space="0" w:color="auto"/>
            </w:tcBorders>
            <w:hideMark/>
          </w:tcPr>
          <w:p w14:paraId="2BC8C739" w14:textId="77777777" w:rsidR="00B04492" w:rsidRPr="00FA2D18" w:rsidRDefault="00B04492" w:rsidP="00534FF5">
            <w:pPr>
              <w:widowControl w:val="0"/>
              <w:autoSpaceDE w:val="0"/>
              <w:autoSpaceDN w:val="0"/>
              <w:spacing w:after="0" w:line="240" w:lineRule="auto"/>
              <w:jc w:val="both"/>
              <w:rPr>
                <w:rFonts w:ascii="Garamond" w:eastAsia="Times New Roman" w:hAnsi="Garamond" w:cs="Times New Roman"/>
                <w:i/>
                <w:sz w:val="24"/>
                <w:szCs w:val="24"/>
              </w:rPr>
            </w:pPr>
            <w:r w:rsidRPr="00FA2D18">
              <w:rPr>
                <w:rFonts w:ascii="Garamond" w:eastAsia="Times New Roman" w:hAnsi="Garamond" w:cs="Times New Roman"/>
                <w:i/>
                <w:sz w:val="24"/>
                <w:szCs w:val="24"/>
              </w:rPr>
              <w:t>Grupi A</w:t>
            </w:r>
            <w:r w:rsidRPr="00FA2D18" w:rsidDel="00BF41FD">
              <w:rPr>
                <w:rFonts w:ascii="Garamond" w:eastAsia="Times New Roman" w:hAnsi="Garamond" w:cs="Times New Roman"/>
                <w:i/>
                <w:sz w:val="24"/>
                <w:szCs w:val="24"/>
              </w:rPr>
              <w:t xml:space="preserve"> </w:t>
            </w:r>
            <w:r w:rsidRPr="00FA2D18">
              <w:rPr>
                <w:rFonts w:ascii="Garamond" w:eastAsia="Times New Roman" w:hAnsi="Garamond" w:cs="Times New Roman"/>
                <w:i/>
                <w:sz w:val="24"/>
                <w:szCs w:val="24"/>
              </w:rPr>
              <w:t>1, germa “a”</w:t>
            </w:r>
          </w:p>
        </w:tc>
        <w:tc>
          <w:tcPr>
            <w:tcW w:w="300" w:type="pct"/>
            <w:tcBorders>
              <w:top w:val="single" w:sz="4" w:space="0" w:color="auto"/>
              <w:left w:val="single" w:sz="4" w:space="0" w:color="auto"/>
              <w:bottom w:val="single" w:sz="4" w:space="0" w:color="auto"/>
              <w:right w:val="single" w:sz="4" w:space="0" w:color="auto"/>
            </w:tcBorders>
            <w:hideMark/>
          </w:tcPr>
          <w:p w14:paraId="508F9E50"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30B93D47"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4D709AF1" w14:textId="77777777" w:rsidR="00B04492" w:rsidRPr="00FA2D18" w:rsidRDefault="00B04492" w:rsidP="00534FF5">
            <w:pPr>
              <w:spacing w:after="0" w:line="240" w:lineRule="auto"/>
              <w:jc w:val="center"/>
              <w:rPr>
                <w:rFonts w:ascii="Garamond" w:hAnsi="Garamond" w:cs="Times New Roman"/>
                <w:i/>
                <w:sz w:val="24"/>
                <w:szCs w:val="24"/>
              </w:rPr>
            </w:pPr>
          </w:p>
        </w:tc>
        <w:tc>
          <w:tcPr>
            <w:tcW w:w="200" w:type="pct"/>
            <w:tcBorders>
              <w:top w:val="single" w:sz="4" w:space="0" w:color="auto"/>
              <w:left w:val="single" w:sz="4" w:space="0" w:color="auto"/>
              <w:bottom w:val="single" w:sz="4" w:space="0" w:color="auto"/>
              <w:right w:val="single" w:sz="4" w:space="0" w:color="auto"/>
            </w:tcBorders>
            <w:hideMark/>
          </w:tcPr>
          <w:p w14:paraId="73F4FAB2"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648" w:type="pct"/>
            <w:tcBorders>
              <w:top w:val="single" w:sz="4" w:space="0" w:color="auto"/>
              <w:left w:val="single" w:sz="4" w:space="0" w:color="auto"/>
              <w:bottom w:val="single" w:sz="4" w:space="0" w:color="auto"/>
              <w:right w:val="single" w:sz="4" w:space="0" w:color="auto"/>
            </w:tcBorders>
            <w:hideMark/>
          </w:tcPr>
          <w:p w14:paraId="18427521"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550" w:type="pct"/>
            <w:tcBorders>
              <w:top w:val="single" w:sz="4" w:space="0" w:color="auto"/>
              <w:left w:val="single" w:sz="4" w:space="0" w:color="auto"/>
              <w:bottom w:val="single" w:sz="4" w:space="0" w:color="auto"/>
              <w:right w:val="single" w:sz="4" w:space="0" w:color="auto"/>
            </w:tcBorders>
            <w:hideMark/>
          </w:tcPr>
          <w:p w14:paraId="48942D35"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317" w:type="pct"/>
            <w:tcBorders>
              <w:top w:val="single" w:sz="4" w:space="0" w:color="auto"/>
              <w:left w:val="single" w:sz="4" w:space="0" w:color="auto"/>
              <w:bottom w:val="single" w:sz="4" w:space="0" w:color="auto"/>
              <w:right w:val="single" w:sz="4" w:space="0" w:color="auto"/>
            </w:tcBorders>
            <w:hideMark/>
          </w:tcPr>
          <w:p w14:paraId="77972943"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532" w:type="pct"/>
            <w:tcBorders>
              <w:top w:val="single" w:sz="4" w:space="0" w:color="auto"/>
              <w:left w:val="single" w:sz="4" w:space="0" w:color="auto"/>
              <w:bottom w:val="single" w:sz="4" w:space="0" w:color="auto"/>
              <w:right w:val="single" w:sz="4" w:space="0" w:color="auto"/>
            </w:tcBorders>
            <w:hideMark/>
          </w:tcPr>
          <w:p w14:paraId="7D16D577"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50" w:type="pct"/>
            <w:tcBorders>
              <w:top w:val="single" w:sz="4" w:space="0" w:color="auto"/>
              <w:left w:val="single" w:sz="4" w:space="0" w:color="auto"/>
              <w:bottom w:val="single" w:sz="4" w:space="0" w:color="auto"/>
              <w:right w:val="single" w:sz="4" w:space="0" w:color="auto"/>
            </w:tcBorders>
            <w:hideMark/>
          </w:tcPr>
          <w:p w14:paraId="7008263F" w14:textId="77777777" w:rsidR="00B04492" w:rsidRPr="00FA2D18" w:rsidRDefault="00B04492" w:rsidP="00534FF5">
            <w:pPr>
              <w:spacing w:after="0" w:line="240" w:lineRule="auto"/>
              <w:jc w:val="center"/>
              <w:rPr>
                <w:rFonts w:ascii="Garamond" w:hAnsi="Garamond" w:cs="Times New Roman"/>
                <w:i/>
                <w:sz w:val="24"/>
                <w:szCs w:val="24"/>
              </w:rPr>
            </w:pPr>
          </w:p>
        </w:tc>
        <w:tc>
          <w:tcPr>
            <w:tcW w:w="211" w:type="pct"/>
            <w:tcBorders>
              <w:top w:val="single" w:sz="4" w:space="0" w:color="auto"/>
              <w:left w:val="single" w:sz="4" w:space="0" w:color="auto"/>
              <w:bottom w:val="single" w:sz="4" w:space="0" w:color="auto"/>
              <w:right w:val="single" w:sz="4" w:space="0" w:color="auto"/>
            </w:tcBorders>
            <w:hideMark/>
          </w:tcPr>
          <w:p w14:paraId="03B02E02" w14:textId="77777777" w:rsidR="00B04492" w:rsidRPr="00FA2D18" w:rsidRDefault="00B04492" w:rsidP="00534FF5">
            <w:pPr>
              <w:spacing w:after="0" w:line="240" w:lineRule="auto"/>
              <w:jc w:val="center"/>
              <w:rPr>
                <w:rFonts w:ascii="Garamond" w:hAnsi="Garamond" w:cs="Times New Roman"/>
                <w:i/>
                <w:sz w:val="24"/>
                <w:szCs w:val="24"/>
                <w:lang w:eastAsia="sq-AL"/>
              </w:rPr>
            </w:pPr>
          </w:p>
        </w:tc>
      </w:tr>
      <w:tr w:rsidR="00FA2D18" w:rsidRPr="00FA2D18" w14:paraId="208EFC59" w14:textId="77777777" w:rsidTr="00534FF5">
        <w:trPr>
          <w:trHeight w:val="20"/>
          <w:tblCellSpacing w:w="0" w:type="dxa"/>
          <w:jc w:val="center"/>
        </w:trPr>
        <w:tc>
          <w:tcPr>
            <w:tcW w:w="1592" w:type="pct"/>
            <w:tcBorders>
              <w:top w:val="single" w:sz="4" w:space="0" w:color="auto"/>
              <w:left w:val="single" w:sz="4" w:space="0" w:color="auto"/>
              <w:bottom w:val="single" w:sz="4" w:space="0" w:color="auto"/>
              <w:right w:val="single" w:sz="4" w:space="0" w:color="auto"/>
            </w:tcBorders>
            <w:hideMark/>
          </w:tcPr>
          <w:p w14:paraId="283FA1BC" w14:textId="77777777" w:rsidR="00B04492" w:rsidRPr="00FA2D18" w:rsidRDefault="00B04492" w:rsidP="00534FF5">
            <w:pPr>
              <w:widowControl w:val="0"/>
              <w:autoSpaceDE w:val="0"/>
              <w:autoSpaceDN w:val="0"/>
              <w:spacing w:after="0" w:line="240" w:lineRule="auto"/>
              <w:jc w:val="both"/>
              <w:rPr>
                <w:rFonts w:ascii="Garamond" w:eastAsia="Times New Roman" w:hAnsi="Garamond" w:cs="Times New Roman"/>
                <w:i/>
                <w:sz w:val="24"/>
                <w:szCs w:val="24"/>
              </w:rPr>
            </w:pPr>
            <w:r w:rsidRPr="00FA2D18">
              <w:rPr>
                <w:rFonts w:ascii="Garamond" w:eastAsia="Times New Roman" w:hAnsi="Garamond" w:cs="Times New Roman"/>
                <w:i/>
                <w:sz w:val="24"/>
                <w:szCs w:val="24"/>
              </w:rPr>
              <w:t>Grupi A</w:t>
            </w:r>
            <w:r w:rsidRPr="00FA2D18" w:rsidDel="00BF41FD">
              <w:rPr>
                <w:rFonts w:ascii="Garamond" w:eastAsia="Times New Roman" w:hAnsi="Garamond" w:cs="Times New Roman"/>
                <w:i/>
                <w:sz w:val="24"/>
                <w:szCs w:val="24"/>
              </w:rPr>
              <w:t xml:space="preserve"> </w:t>
            </w:r>
            <w:r w:rsidRPr="00FA2D18">
              <w:rPr>
                <w:rFonts w:ascii="Garamond" w:eastAsia="Times New Roman" w:hAnsi="Garamond" w:cs="Times New Roman"/>
                <w:i/>
                <w:sz w:val="24"/>
                <w:szCs w:val="24"/>
              </w:rPr>
              <w:t>1, germa “b”</w:t>
            </w:r>
          </w:p>
        </w:tc>
        <w:tc>
          <w:tcPr>
            <w:tcW w:w="300" w:type="pct"/>
            <w:tcBorders>
              <w:top w:val="single" w:sz="4" w:space="0" w:color="auto"/>
              <w:left w:val="single" w:sz="4" w:space="0" w:color="auto"/>
              <w:bottom w:val="single" w:sz="4" w:space="0" w:color="auto"/>
              <w:right w:val="single" w:sz="4" w:space="0" w:color="auto"/>
            </w:tcBorders>
            <w:hideMark/>
          </w:tcPr>
          <w:p w14:paraId="2C2C6AB6"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3F06918C"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7A0A81FF"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002A0130" w14:textId="77777777" w:rsidR="00B04492" w:rsidRPr="00FA2D18" w:rsidRDefault="00B04492" w:rsidP="00534FF5">
            <w:pPr>
              <w:spacing w:after="0" w:line="240" w:lineRule="auto"/>
              <w:jc w:val="center"/>
              <w:rPr>
                <w:rFonts w:ascii="Garamond" w:hAnsi="Garamond" w:cs="Times New Roman"/>
                <w:i/>
                <w:sz w:val="24"/>
                <w:szCs w:val="24"/>
              </w:rPr>
            </w:pPr>
          </w:p>
        </w:tc>
        <w:tc>
          <w:tcPr>
            <w:tcW w:w="648" w:type="pct"/>
            <w:tcBorders>
              <w:top w:val="single" w:sz="4" w:space="0" w:color="auto"/>
              <w:left w:val="single" w:sz="4" w:space="0" w:color="auto"/>
              <w:bottom w:val="single" w:sz="4" w:space="0" w:color="auto"/>
              <w:right w:val="single" w:sz="4" w:space="0" w:color="auto"/>
            </w:tcBorders>
            <w:hideMark/>
          </w:tcPr>
          <w:p w14:paraId="667C3121"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550" w:type="pct"/>
            <w:tcBorders>
              <w:top w:val="single" w:sz="4" w:space="0" w:color="auto"/>
              <w:left w:val="single" w:sz="4" w:space="0" w:color="auto"/>
              <w:bottom w:val="single" w:sz="4" w:space="0" w:color="auto"/>
              <w:right w:val="single" w:sz="4" w:space="0" w:color="auto"/>
            </w:tcBorders>
            <w:hideMark/>
          </w:tcPr>
          <w:p w14:paraId="45759CA6"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317" w:type="pct"/>
            <w:tcBorders>
              <w:top w:val="single" w:sz="4" w:space="0" w:color="auto"/>
              <w:left w:val="single" w:sz="4" w:space="0" w:color="auto"/>
              <w:bottom w:val="single" w:sz="4" w:space="0" w:color="auto"/>
              <w:right w:val="single" w:sz="4" w:space="0" w:color="auto"/>
            </w:tcBorders>
            <w:hideMark/>
          </w:tcPr>
          <w:p w14:paraId="4C07767A"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532" w:type="pct"/>
            <w:tcBorders>
              <w:top w:val="single" w:sz="4" w:space="0" w:color="auto"/>
              <w:left w:val="single" w:sz="4" w:space="0" w:color="auto"/>
              <w:bottom w:val="single" w:sz="4" w:space="0" w:color="auto"/>
              <w:right w:val="single" w:sz="4" w:space="0" w:color="auto"/>
            </w:tcBorders>
            <w:hideMark/>
          </w:tcPr>
          <w:p w14:paraId="55590EEB"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50" w:type="pct"/>
            <w:tcBorders>
              <w:top w:val="single" w:sz="4" w:space="0" w:color="auto"/>
              <w:left w:val="single" w:sz="4" w:space="0" w:color="auto"/>
              <w:bottom w:val="single" w:sz="4" w:space="0" w:color="auto"/>
              <w:right w:val="single" w:sz="4" w:space="0" w:color="auto"/>
            </w:tcBorders>
            <w:hideMark/>
          </w:tcPr>
          <w:p w14:paraId="549E3D17" w14:textId="77777777" w:rsidR="00B04492" w:rsidRPr="00FA2D18" w:rsidRDefault="00B04492" w:rsidP="00534FF5">
            <w:pPr>
              <w:spacing w:after="0" w:line="240" w:lineRule="auto"/>
              <w:jc w:val="center"/>
              <w:rPr>
                <w:rFonts w:ascii="Garamond" w:hAnsi="Garamond" w:cs="Times New Roman"/>
                <w:i/>
                <w:sz w:val="24"/>
                <w:szCs w:val="24"/>
              </w:rPr>
            </w:pPr>
          </w:p>
        </w:tc>
        <w:tc>
          <w:tcPr>
            <w:tcW w:w="211" w:type="pct"/>
            <w:tcBorders>
              <w:top w:val="single" w:sz="4" w:space="0" w:color="auto"/>
              <w:left w:val="single" w:sz="4" w:space="0" w:color="auto"/>
              <w:bottom w:val="single" w:sz="4" w:space="0" w:color="auto"/>
              <w:right w:val="single" w:sz="4" w:space="0" w:color="auto"/>
            </w:tcBorders>
            <w:hideMark/>
          </w:tcPr>
          <w:p w14:paraId="559A6E86" w14:textId="77777777" w:rsidR="00B04492" w:rsidRPr="00FA2D18" w:rsidRDefault="00B04492" w:rsidP="00534FF5">
            <w:pPr>
              <w:spacing w:after="0" w:line="240" w:lineRule="auto"/>
              <w:jc w:val="center"/>
              <w:rPr>
                <w:rFonts w:ascii="Garamond" w:hAnsi="Garamond" w:cs="Times New Roman"/>
                <w:i/>
                <w:sz w:val="24"/>
                <w:szCs w:val="24"/>
                <w:lang w:eastAsia="sq-AL"/>
              </w:rPr>
            </w:pPr>
          </w:p>
        </w:tc>
      </w:tr>
      <w:tr w:rsidR="00FA2D18" w:rsidRPr="00FA2D18" w14:paraId="3F3377EC" w14:textId="77777777" w:rsidTr="00534FF5">
        <w:trPr>
          <w:trHeight w:val="20"/>
          <w:tblCellSpacing w:w="0" w:type="dxa"/>
          <w:jc w:val="center"/>
        </w:trPr>
        <w:tc>
          <w:tcPr>
            <w:tcW w:w="1592" w:type="pct"/>
            <w:tcBorders>
              <w:top w:val="single" w:sz="4" w:space="0" w:color="auto"/>
              <w:left w:val="single" w:sz="4" w:space="0" w:color="auto"/>
              <w:bottom w:val="single" w:sz="4" w:space="0" w:color="auto"/>
              <w:right w:val="single" w:sz="4" w:space="0" w:color="auto"/>
            </w:tcBorders>
            <w:hideMark/>
          </w:tcPr>
          <w:p w14:paraId="2873AADD" w14:textId="77777777" w:rsidR="00B04492" w:rsidRPr="00FA2D18" w:rsidRDefault="00B04492" w:rsidP="00534FF5">
            <w:pPr>
              <w:widowControl w:val="0"/>
              <w:autoSpaceDE w:val="0"/>
              <w:autoSpaceDN w:val="0"/>
              <w:spacing w:after="0" w:line="240" w:lineRule="auto"/>
              <w:jc w:val="both"/>
              <w:rPr>
                <w:rFonts w:ascii="Garamond" w:eastAsia="Times New Roman" w:hAnsi="Garamond" w:cs="Times New Roman"/>
                <w:i/>
                <w:sz w:val="24"/>
                <w:szCs w:val="24"/>
              </w:rPr>
            </w:pPr>
            <w:r w:rsidRPr="00FA2D18">
              <w:rPr>
                <w:rFonts w:ascii="Garamond" w:eastAsia="Times New Roman" w:hAnsi="Garamond" w:cs="Times New Roman"/>
                <w:i/>
                <w:sz w:val="24"/>
                <w:szCs w:val="24"/>
              </w:rPr>
              <w:t>Grupi A</w:t>
            </w:r>
            <w:r w:rsidRPr="00FA2D18" w:rsidDel="00BF41FD">
              <w:rPr>
                <w:rFonts w:ascii="Garamond" w:eastAsia="Times New Roman" w:hAnsi="Garamond" w:cs="Times New Roman"/>
                <w:i/>
                <w:sz w:val="24"/>
                <w:szCs w:val="24"/>
              </w:rPr>
              <w:t xml:space="preserve"> </w:t>
            </w:r>
            <w:r w:rsidRPr="00FA2D18">
              <w:rPr>
                <w:rFonts w:ascii="Garamond" w:eastAsia="Times New Roman" w:hAnsi="Garamond" w:cs="Times New Roman"/>
                <w:i/>
                <w:sz w:val="24"/>
                <w:szCs w:val="24"/>
              </w:rPr>
              <w:t>1, germa “c”</w:t>
            </w:r>
          </w:p>
        </w:tc>
        <w:tc>
          <w:tcPr>
            <w:tcW w:w="300" w:type="pct"/>
            <w:tcBorders>
              <w:top w:val="single" w:sz="4" w:space="0" w:color="auto"/>
              <w:left w:val="single" w:sz="4" w:space="0" w:color="auto"/>
              <w:bottom w:val="single" w:sz="4" w:space="0" w:color="auto"/>
              <w:right w:val="single" w:sz="4" w:space="0" w:color="auto"/>
            </w:tcBorders>
            <w:hideMark/>
          </w:tcPr>
          <w:p w14:paraId="786EB387"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49EA3AAD"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39D9E9C5"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77EA0C1F" w14:textId="77777777" w:rsidR="00B04492" w:rsidRPr="00FA2D18" w:rsidRDefault="00B04492" w:rsidP="00534FF5">
            <w:pPr>
              <w:spacing w:after="0" w:line="240" w:lineRule="auto"/>
              <w:jc w:val="center"/>
              <w:rPr>
                <w:rFonts w:ascii="Garamond" w:hAnsi="Garamond" w:cs="Times New Roman"/>
                <w:i/>
                <w:sz w:val="24"/>
                <w:szCs w:val="24"/>
              </w:rPr>
            </w:pPr>
          </w:p>
        </w:tc>
        <w:tc>
          <w:tcPr>
            <w:tcW w:w="648" w:type="pct"/>
            <w:tcBorders>
              <w:top w:val="single" w:sz="4" w:space="0" w:color="auto"/>
              <w:left w:val="single" w:sz="4" w:space="0" w:color="auto"/>
              <w:bottom w:val="single" w:sz="4" w:space="0" w:color="auto"/>
              <w:right w:val="single" w:sz="4" w:space="0" w:color="auto"/>
            </w:tcBorders>
            <w:hideMark/>
          </w:tcPr>
          <w:p w14:paraId="68DFEE21"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vertAlign w:val="superscript"/>
              </w:rPr>
            </w:pPr>
            <w:r w:rsidRPr="00FA2D18">
              <w:rPr>
                <w:rFonts w:ascii="Garamond" w:eastAsia="Times New Roman" w:hAnsi="Garamond" w:cs="Times New Roman"/>
                <w:i/>
                <w:sz w:val="24"/>
                <w:szCs w:val="24"/>
              </w:rPr>
              <w:t xml:space="preserve">X </w:t>
            </w:r>
            <w:r w:rsidRPr="00FA2D18">
              <w:rPr>
                <w:rFonts w:ascii="Garamond" w:eastAsia="Times New Roman" w:hAnsi="Garamond" w:cs="Times New Roman"/>
                <w:i/>
                <w:sz w:val="24"/>
                <w:szCs w:val="24"/>
                <w:vertAlign w:val="superscript"/>
              </w:rPr>
              <w:t>(1)</w:t>
            </w:r>
          </w:p>
        </w:tc>
        <w:tc>
          <w:tcPr>
            <w:tcW w:w="550" w:type="pct"/>
            <w:tcBorders>
              <w:top w:val="single" w:sz="4" w:space="0" w:color="auto"/>
              <w:left w:val="single" w:sz="4" w:space="0" w:color="auto"/>
              <w:bottom w:val="single" w:sz="4" w:space="0" w:color="auto"/>
              <w:right w:val="single" w:sz="4" w:space="0" w:color="auto"/>
            </w:tcBorders>
            <w:hideMark/>
          </w:tcPr>
          <w:p w14:paraId="71BF6557" w14:textId="77777777" w:rsidR="00B04492" w:rsidRPr="00FA2D18" w:rsidRDefault="00B04492" w:rsidP="00534FF5">
            <w:pPr>
              <w:spacing w:after="0" w:line="240" w:lineRule="auto"/>
              <w:jc w:val="center"/>
              <w:rPr>
                <w:rFonts w:ascii="Garamond" w:hAnsi="Garamond" w:cs="Times New Roman"/>
                <w:i/>
                <w:sz w:val="24"/>
                <w:szCs w:val="24"/>
              </w:rPr>
            </w:pPr>
          </w:p>
        </w:tc>
        <w:tc>
          <w:tcPr>
            <w:tcW w:w="317" w:type="pct"/>
            <w:tcBorders>
              <w:top w:val="single" w:sz="4" w:space="0" w:color="auto"/>
              <w:left w:val="single" w:sz="4" w:space="0" w:color="auto"/>
              <w:bottom w:val="single" w:sz="4" w:space="0" w:color="auto"/>
              <w:right w:val="single" w:sz="4" w:space="0" w:color="auto"/>
            </w:tcBorders>
            <w:hideMark/>
          </w:tcPr>
          <w:p w14:paraId="569FB663"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532" w:type="pct"/>
            <w:tcBorders>
              <w:top w:val="single" w:sz="4" w:space="0" w:color="auto"/>
              <w:left w:val="single" w:sz="4" w:space="0" w:color="auto"/>
              <w:bottom w:val="single" w:sz="4" w:space="0" w:color="auto"/>
              <w:right w:val="single" w:sz="4" w:space="0" w:color="auto"/>
            </w:tcBorders>
            <w:hideMark/>
          </w:tcPr>
          <w:p w14:paraId="4824D080"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50" w:type="pct"/>
            <w:tcBorders>
              <w:top w:val="single" w:sz="4" w:space="0" w:color="auto"/>
              <w:left w:val="single" w:sz="4" w:space="0" w:color="auto"/>
              <w:bottom w:val="single" w:sz="4" w:space="0" w:color="auto"/>
              <w:right w:val="single" w:sz="4" w:space="0" w:color="auto"/>
            </w:tcBorders>
            <w:hideMark/>
          </w:tcPr>
          <w:p w14:paraId="475FA4DA" w14:textId="77777777" w:rsidR="00B04492" w:rsidRPr="00FA2D18" w:rsidRDefault="00B04492" w:rsidP="00534FF5">
            <w:pPr>
              <w:spacing w:after="0" w:line="240" w:lineRule="auto"/>
              <w:jc w:val="center"/>
              <w:rPr>
                <w:rFonts w:ascii="Garamond" w:hAnsi="Garamond" w:cs="Times New Roman"/>
                <w:i/>
                <w:sz w:val="24"/>
                <w:szCs w:val="24"/>
              </w:rPr>
            </w:pPr>
          </w:p>
        </w:tc>
        <w:tc>
          <w:tcPr>
            <w:tcW w:w="211" w:type="pct"/>
            <w:tcBorders>
              <w:top w:val="single" w:sz="4" w:space="0" w:color="auto"/>
              <w:left w:val="single" w:sz="4" w:space="0" w:color="auto"/>
              <w:bottom w:val="single" w:sz="4" w:space="0" w:color="auto"/>
              <w:right w:val="single" w:sz="4" w:space="0" w:color="auto"/>
            </w:tcBorders>
            <w:hideMark/>
          </w:tcPr>
          <w:p w14:paraId="3B441DAE" w14:textId="77777777" w:rsidR="00B04492" w:rsidRPr="00FA2D18" w:rsidRDefault="00B04492" w:rsidP="00534FF5">
            <w:pPr>
              <w:spacing w:after="0" w:line="240" w:lineRule="auto"/>
              <w:jc w:val="center"/>
              <w:rPr>
                <w:rFonts w:ascii="Garamond" w:hAnsi="Garamond" w:cs="Times New Roman"/>
                <w:i/>
                <w:sz w:val="24"/>
                <w:szCs w:val="24"/>
                <w:lang w:eastAsia="sq-AL"/>
              </w:rPr>
            </w:pPr>
          </w:p>
        </w:tc>
      </w:tr>
      <w:tr w:rsidR="00FA2D18" w:rsidRPr="00FA2D18" w14:paraId="137A8F28" w14:textId="77777777" w:rsidTr="00534FF5">
        <w:trPr>
          <w:trHeight w:val="20"/>
          <w:tblCellSpacing w:w="0" w:type="dxa"/>
          <w:jc w:val="center"/>
        </w:trPr>
        <w:tc>
          <w:tcPr>
            <w:tcW w:w="1592" w:type="pct"/>
            <w:tcBorders>
              <w:top w:val="single" w:sz="4" w:space="0" w:color="auto"/>
              <w:left w:val="single" w:sz="4" w:space="0" w:color="auto"/>
              <w:bottom w:val="single" w:sz="4" w:space="0" w:color="auto"/>
              <w:right w:val="single" w:sz="4" w:space="0" w:color="auto"/>
            </w:tcBorders>
            <w:hideMark/>
          </w:tcPr>
          <w:p w14:paraId="348C7F2A" w14:textId="77777777" w:rsidR="00B04492" w:rsidRPr="00FA2D18" w:rsidRDefault="00B04492" w:rsidP="00534FF5">
            <w:pPr>
              <w:widowControl w:val="0"/>
              <w:autoSpaceDE w:val="0"/>
              <w:autoSpaceDN w:val="0"/>
              <w:spacing w:after="0" w:line="240" w:lineRule="auto"/>
              <w:jc w:val="both"/>
              <w:rPr>
                <w:rFonts w:ascii="Garamond" w:eastAsia="Times New Roman" w:hAnsi="Garamond" w:cs="Times New Roman"/>
                <w:i/>
                <w:sz w:val="24"/>
                <w:szCs w:val="24"/>
              </w:rPr>
            </w:pPr>
            <w:r w:rsidRPr="00FA2D18">
              <w:rPr>
                <w:rFonts w:ascii="Garamond" w:eastAsia="Times New Roman" w:hAnsi="Garamond" w:cs="Times New Roman"/>
                <w:i/>
                <w:sz w:val="24"/>
                <w:szCs w:val="24"/>
              </w:rPr>
              <w:t>Grupi A</w:t>
            </w:r>
            <w:r w:rsidRPr="00FA2D18" w:rsidDel="00BF41FD">
              <w:rPr>
                <w:rFonts w:ascii="Garamond" w:eastAsia="Times New Roman" w:hAnsi="Garamond" w:cs="Times New Roman"/>
                <w:i/>
                <w:sz w:val="24"/>
                <w:szCs w:val="24"/>
              </w:rPr>
              <w:t xml:space="preserve"> </w:t>
            </w:r>
            <w:r w:rsidRPr="00FA2D18">
              <w:rPr>
                <w:rFonts w:ascii="Garamond" w:eastAsia="Times New Roman" w:hAnsi="Garamond" w:cs="Times New Roman"/>
                <w:i/>
                <w:sz w:val="24"/>
                <w:szCs w:val="24"/>
              </w:rPr>
              <w:t>1, germa “d”</w:t>
            </w:r>
          </w:p>
        </w:tc>
        <w:tc>
          <w:tcPr>
            <w:tcW w:w="300" w:type="pct"/>
            <w:tcBorders>
              <w:top w:val="single" w:sz="4" w:space="0" w:color="auto"/>
              <w:left w:val="single" w:sz="4" w:space="0" w:color="auto"/>
              <w:bottom w:val="single" w:sz="4" w:space="0" w:color="auto"/>
              <w:right w:val="single" w:sz="4" w:space="0" w:color="auto"/>
            </w:tcBorders>
            <w:hideMark/>
          </w:tcPr>
          <w:p w14:paraId="0CF72D5A"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019386ED"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13ABF28A" w14:textId="77777777" w:rsidR="00B04492" w:rsidRPr="00FA2D18" w:rsidRDefault="00B04492" w:rsidP="00534FF5">
            <w:pPr>
              <w:spacing w:after="0" w:line="240" w:lineRule="auto"/>
              <w:jc w:val="center"/>
              <w:rPr>
                <w:rFonts w:ascii="Garamond" w:hAnsi="Garamond" w:cs="Times New Roman"/>
                <w:i/>
                <w:sz w:val="24"/>
                <w:szCs w:val="24"/>
              </w:rPr>
            </w:pPr>
          </w:p>
        </w:tc>
        <w:tc>
          <w:tcPr>
            <w:tcW w:w="200" w:type="pct"/>
            <w:tcBorders>
              <w:top w:val="single" w:sz="4" w:space="0" w:color="auto"/>
              <w:left w:val="single" w:sz="4" w:space="0" w:color="auto"/>
              <w:bottom w:val="single" w:sz="4" w:space="0" w:color="auto"/>
              <w:right w:val="single" w:sz="4" w:space="0" w:color="auto"/>
            </w:tcBorders>
            <w:hideMark/>
          </w:tcPr>
          <w:p w14:paraId="468453B4"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648" w:type="pct"/>
            <w:tcBorders>
              <w:top w:val="single" w:sz="4" w:space="0" w:color="auto"/>
              <w:left w:val="single" w:sz="4" w:space="0" w:color="auto"/>
              <w:bottom w:val="single" w:sz="4" w:space="0" w:color="auto"/>
              <w:right w:val="single" w:sz="4" w:space="0" w:color="auto"/>
            </w:tcBorders>
            <w:hideMark/>
          </w:tcPr>
          <w:p w14:paraId="5D8BEEE0"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550" w:type="pct"/>
            <w:tcBorders>
              <w:top w:val="single" w:sz="4" w:space="0" w:color="auto"/>
              <w:left w:val="single" w:sz="4" w:space="0" w:color="auto"/>
              <w:bottom w:val="single" w:sz="4" w:space="0" w:color="auto"/>
              <w:right w:val="single" w:sz="4" w:space="0" w:color="auto"/>
            </w:tcBorders>
            <w:hideMark/>
          </w:tcPr>
          <w:p w14:paraId="5C57FEA9"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317" w:type="pct"/>
            <w:tcBorders>
              <w:top w:val="single" w:sz="4" w:space="0" w:color="auto"/>
              <w:left w:val="single" w:sz="4" w:space="0" w:color="auto"/>
              <w:bottom w:val="single" w:sz="4" w:space="0" w:color="auto"/>
              <w:right w:val="single" w:sz="4" w:space="0" w:color="auto"/>
            </w:tcBorders>
            <w:hideMark/>
          </w:tcPr>
          <w:p w14:paraId="36D179D4"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532" w:type="pct"/>
            <w:tcBorders>
              <w:top w:val="single" w:sz="4" w:space="0" w:color="auto"/>
              <w:left w:val="single" w:sz="4" w:space="0" w:color="auto"/>
              <w:bottom w:val="single" w:sz="4" w:space="0" w:color="auto"/>
              <w:right w:val="single" w:sz="4" w:space="0" w:color="auto"/>
            </w:tcBorders>
            <w:hideMark/>
          </w:tcPr>
          <w:p w14:paraId="1D3B8B17"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50" w:type="pct"/>
            <w:tcBorders>
              <w:top w:val="single" w:sz="4" w:space="0" w:color="auto"/>
              <w:left w:val="single" w:sz="4" w:space="0" w:color="auto"/>
              <w:bottom w:val="single" w:sz="4" w:space="0" w:color="auto"/>
              <w:right w:val="single" w:sz="4" w:space="0" w:color="auto"/>
            </w:tcBorders>
            <w:hideMark/>
          </w:tcPr>
          <w:p w14:paraId="1053B95D" w14:textId="77777777" w:rsidR="00B04492" w:rsidRPr="00FA2D18" w:rsidRDefault="00B04492" w:rsidP="00534FF5">
            <w:pPr>
              <w:spacing w:after="0" w:line="240" w:lineRule="auto"/>
              <w:jc w:val="center"/>
              <w:rPr>
                <w:rFonts w:ascii="Garamond" w:hAnsi="Garamond" w:cs="Times New Roman"/>
                <w:i/>
                <w:sz w:val="24"/>
                <w:szCs w:val="24"/>
              </w:rPr>
            </w:pPr>
          </w:p>
        </w:tc>
        <w:tc>
          <w:tcPr>
            <w:tcW w:w="211" w:type="pct"/>
            <w:tcBorders>
              <w:top w:val="single" w:sz="4" w:space="0" w:color="auto"/>
              <w:left w:val="single" w:sz="4" w:space="0" w:color="auto"/>
              <w:bottom w:val="single" w:sz="4" w:space="0" w:color="auto"/>
              <w:right w:val="single" w:sz="4" w:space="0" w:color="auto"/>
            </w:tcBorders>
            <w:hideMark/>
          </w:tcPr>
          <w:p w14:paraId="76FAED9D" w14:textId="77777777" w:rsidR="00B04492" w:rsidRPr="00FA2D18" w:rsidRDefault="00B04492" w:rsidP="00534FF5">
            <w:pPr>
              <w:spacing w:after="0" w:line="240" w:lineRule="auto"/>
              <w:jc w:val="center"/>
              <w:rPr>
                <w:rFonts w:ascii="Garamond" w:hAnsi="Garamond" w:cs="Times New Roman"/>
                <w:i/>
                <w:sz w:val="24"/>
                <w:szCs w:val="24"/>
                <w:lang w:eastAsia="sq-AL"/>
              </w:rPr>
            </w:pPr>
          </w:p>
        </w:tc>
      </w:tr>
      <w:tr w:rsidR="00FA2D18" w:rsidRPr="00FA2D18" w14:paraId="7E6CAF8D" w14:textId="77777777" w:rsidTr="00534FF5">
        <w:trPr>
          <w:trHeight w:val="20"/>
          <w:tblCellSpacing w:w="0" w:type="dxa"/>
          <w:jc w:val="center"/>
        </w:trPr>
        <w:tc>
          <w:tcPr>
            <w:tcW w:w="1592" w:type="pct"/>
            <w:tcBorders>
              <w:top w:val="single" w:sz="4" w:space="0" w:color="auto"/>
              <w:left w:val="single" w:sz="4" w:space="0" w:color="auto"/>
              <w:bottom w:val="single" w:sz="4" w:space="0" w:color="auto"/>
              <w:right w:val="single" w:sz="4" w:space="0" w:color="auto"/>
            </w:tcBorders>
            <w:hideMark/>
          </w:tcPr>
          <w:p w14:paraId="5FD2B364" w14:textId="77777777" w:rsidR="00B04492" w:rsidRPr="00FA2D18" w:rsidRDefault="00B04492" w:rsidP="00534FF5">
            <w:pPr>
              <w:widowControl w:val="0"/>
              <w:autoSpaceDE w:val="0"/>
              <w:autoSpaceDN w:val="0"/>
              <w:spacing w:after="0" w:line="240" w:lineRule="auto"/>
              <w:jc w:val="both"/>
              <w:rPr>
                <w:rFonts w:ascii="Garamond" w:eastAsia="Times New Roman" w:hAnsi="Garamond" w:cs="Times New Roman"/>
                <w:i/>
                <w:sz w:val="24"/>
                <w:szCs w:val="24"/>
              </w:rPr>
            </w:pPr>
            <w:r w:rsidRPr="00FA2D18">
              <w:rPr>
                <w:rFonts w:ascii="Garamond" w:eastAsia="Times New Roman" w:hAnsi="Garamond" w:cs="Times New Roman"/>
                <w:i/>
                <w:sz w:val="24"/>
                <w:szCs w:val="24"/>
              </w:rPr>
              <w:t>Grupi A</w:t>
            </w:r>
            <w:r w:rsidRPr="00FA2D18" w:rsidDel="00BF41FD">
              <w:rPr>
                <w:rFonts w:ascii="Garamond" w:eastAsia="Times New Roman" w:hAnsi="Garamond" w:cs="Times New Roman"/>
                <w:i/>
                <w:sz w:val="24"/>
                <w:szCs w:val="24"/>
              </w:rPr>
              <w:t xml:space="preserve"> </w:t>
            </w:r>
            <w:r w:rsidRPr="00FA2D18">
              <w:rPr>
                <w:rFonts w:ascii="Garamond" w:eastAsia="Times New Roman" w:hAnsi="Garamond" w:cs="Times New Roman"/>
                <w:i/>
                <w:sz w:val="24"/>
                <w:szCs w:val="24"/>
              </w:rPr>
              <w:t>1, germa “e”</w:t>
            </w:r>
          </w:p>
        </w:tc>
        <w:tc>
          <w:tcPr>
            <w:tcW w:w="300" w:type="pct"/>
            <w:tcBorders>
              <w:top w:val="single" w:sz="4" w:space="0" w:color="auto"/>
              <w:left w:val="single" w:sz="4" w:space="0" w:color="auto"/>
              <w:bottom w:val="single" w:sz="4" w:space="0" w:color="auto"/>
              <w:right w:val="single" w:sz="4" w:space="0" w:color="auto"/>
            </w:tcBorders>
            <w:hideMark/>
          </w:tcPr>
          <w:p w14:paraId="3138F692"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71580073"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58162B92"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65925A2D"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648" w:type="pct"/>
            <w:tcBorders>
              <w:top w:val="single" w:sz="4" w:space="0" w:color="auto"/>
              <w:left w:val="single" w:sz="4" w:space="0" w:color="auto"/>
              <w:bottom w:val="single" w:sz="4" w:space="0" w:color="auto"/>
              <w:right w:val="single" w:sz="4" w:space="0" w:color="auto"/>
            </w:tcBorders>
            <w:hideMark/>
          </w:tcPr>
          <w:p w14:paraId="3A9A5DE5" w14:textId="77777777" w:rsidR="00B04492" w:rsidRPr="00FA2D18" w:rsidRDefault="00B04492" w:rsidP="00534FF5">
            <w:pPr>
              <w:spacing w:after="0" w:line="240" w:lineRule="auto"/>
              <w:jc w:val="center"/>
              <w:rPr>
                <w:rFonts w:ascii="Garamond" w:hAnsi="Garamond" w:cs="Times New Roman"/>
                <w:i/>
                <w:sz w:val="24"/>
                <w:szCs w:val="24"/>
              </w:rPr>
            </w:pPr>
          </w:p>
        </w:tc>
        <w:tc>
          <w:tcPr>
            <w:tcW w:w="550" w:type="pct"/>
            <w:tcBorders>
              <w:top w:val="single" w:sz="4" w:space="0" w:color="auto"/>
              <w:left w:val="single" w:sz="4" w:space="0" w:color="auto"/>
              <w:bottom w:val="single" w:sz="4" w:space="0" w:color="auto"/>
              <w:right w:val="single" w:sz="4" w:space="0" w:color="auto"/>
            </w:tcBorders>
            <w:hideMark/>
          </w:tcPr>
          <w:p w14:paraId="4F10E319"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317" w:type="pct"/>
            <w:tcBorders>
              <w:top w:val="single" w:sz="4" w:space="0" w:color="auto"/>
              <w:left w:val="single" w:sz="4" w:space="0" w:color="auto"/>
              <w:bottom w:val="single" w:sz="4" w:space="0" w:color="auto"/>
              <w:right w:val="single" w:sz="4" w:space="0" w:color="auto"/>
            </w:tcBorders>
            <w:hideMark/>
          </w:tcPr>
          <w:p w14:paraId="55E505CE"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532" w:type="pct"/>
            <w:tcBorders>
              <w:top w:val="single" w:sz="4" w:space="0" w:color="auto"/>
              <w:left w:val="single" w:sz="4" w:space="0" w:color="auto"/>
              <w:bottom w:val="single" w:sz="4" w:space="0" w:color="auto"/>
              <w:right w:val="single" w:sz="4" w:space="0" w:color="auto"/>
            </w:tcBorders>
            <w:hideMark/>
          </w:tcPr>
          <w:p w14:paraId="4E1C93DD"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50" w:type="pct"/>
            <w:tcBorders>
              <w:top w:val="single" w:sz="4" w:space="0" w:color="auto"/>
              <w:left w:val="single" w:sz="4" w:space="0" w:color="auto"/>
              <w:bottom w:val="single" w:sz="4" w:space="0" w:color="auto"/>
              <w:right w:val="single" w:sz="4" w:space="0" w:color="auto"/>
            </w:tcBorders>
            <w:hideMark/>
          </w:tcPr>
          <w:p w14:paraId="396171EF" w14:textId="77777777" w:rsidR="00B04492" w:rsidRPr="00FA2D18" w:rsidRDefault="00B04492" w:rsidP="00534FF5">
            <w:pPr>
              <w:spacing w:after="0" w:line="240" w:lineRule="auto"/>
              <w:jc w:val="center"/>
              <w:rPr>
                <w:rFonts w:ascii="Garamond" w:hAnsi="Garamond" w:cs="Times New Roman"/>
                <w:i/>
                <w:sz w:val="24"/>
                <w:szCs w:val="24"/>
              </w:rPr>
            </w:pPr>
          </w:p>
        </w:tc>
        <w:tc>
          <w:tcPr>
            <w:tcW w:w="211" w:type="pct"/>
            <w:tcBorders>
              <w:top w:val="single" w:sz="4" w:space="0" w:color="auto"/>
              <w:left w:val="single" w:sz="4" w:space="0" w:color="auto"/>
              <w:bottom w:val="single" w:sz="4" w:space="0" w:color="auto"/>
              <w:right w:val="single" w:sz="4" w:space="0" w:color="auto"/>
            </w:tcBorders>
            <w:hideMark/>
          </w:tcPr>
          <w:p w14:paraId="6A5C9FD5" w14:textId="77777777" w:rsidR="00B04492" w:rsidRPr="00FA2D18" w:rsidRDefault="00B04492" w:rsidP="00534FF5">
            <w:pPr>
              <w:spacing w:after="0" w:line="240" w:lineRule="auto"/>
              <w:jc w:val="center"/>
              <w:rPr>
                <w:rFonts w:ascii="Garamond" w:hAnsi="Garamond" w:cs="Times New Roman"/>
                <w:i/>
                <w:sz w:val="24"/>
                <w:szCs w:val="24"/>
                <w:lang w:eastAsia="sq-AL"/>
              </w:rPr>
            </w:pPr>
          </w:p>
        </w:tc>
      </w:tr>
      <w:tr w:rsidR="00FA2D18" w:rsidRPr="00FA2D18" w14:paraId="47BAA7A8" w14:textId="77777777" w:rsidTr="00534FF5">
        <w:trPr>
          <w:trHeight w:val="20"/>
          <w:tblCellSpacing w:w="0" w:type="dxa"/>
          <w:jc w:val="center"/>
        </w:trPr>
        <w:tc>
          <w:tcPr>
            <w:tcW w:w="1592" w:type="pct"/>
            <w:tcBorders>
              <w:top w:val="single" w:sz="4" w:space="0" w:color="auto"/>
              <w:left w:val="single" w:sz="4" w:space="0" w:color="auto"/>
              <w:bottom w:val="single" w:sz="4" w:space="0" w:color="auto"/>
              <w:right w:val="single" w:sz="4" w:space="0" w:color="auto"/>
            </w:tcBorders>
            <w:hideMark/>
          </w:tcPr>
          <w:p w14:paraId="2A97BA1F" w14:textId="77777777" w:rsidR="00B04492" w:rsidRPr="00FA2D18" w:rsidRDefault="00B04492" w:rsidP="00534FF5">
            <w:pPr>
              <w:widowControl w:val="0"/>
              <w:autoSpaceDE w:val="0"/>
              <w:autoSpaceDN w:val="0"/>
              <w:spacing w:after="0" w:line="240" w:lineRule="auto"/>
              <w:jc w:val="both"/>
              <w:rPr>
                <w:rFonts w:ascii="Garamond" w:eastAsia="Times New Roman" w:hAnsi="Garamond" w:cs="Times New Roman"/>
                <w:i/>
                <w:sz w:val="24"/>
                <w:szCs w:val="24"/>
              </w:rPr>
            </w:pPr>
            <w:r w:rsidRPr="00FA2D18">
              <w:rPr>
                <w:rFonts w:ascii="Garamond" w:eastAsia="Times New Roman" w:hAnsi="Garamond" w:cs="Times New Roman"/>
                <w:i/>
                <w:sz w:val="24"/>
                <w:szCs w:val="24"/>
              </w:rPr>
              <w:t>Grupi A</w:t>
            </w:r>
            <w:r w:rsidRPr="00FA2D18" w:rsidDel="00BF41FD">
              <w:rPr>
                <w:rFonts w:ascii="Garamond" w:eastAsia="Times New Roman" w:hAnsi="Garamond" w:cs="Times New Roman"/>
                <w:i/>
                <w:sz w:val="24"/>
                <w:szCs w:val="24"/>
              </w:rPr>
              <w:t xml:space="preserve"> </w:t>
            </w:r>
            <w:r w:rsidRPr="00FA2D18">
              <w:rPr>
                <w:rFonts w:ascii="Garamond" w:eastAsia="Times New Roman" w:hAnsi="Garamond" w:cs="Times New Roman"/>
                <w:i/>
                <w:sz w:val="24"/>
                <w:szCs w:val="24"/>
              </w:rPr>
              <w:t>2</w:t>
            </w:r>
          </w:p>
        </w:tc>
        <w:tc>
          <w:tcPr>
            <w:tcW w:w="300" w:type="pct"/>
            <w:tcBorders>
              <w:top w:val="single" w:sz="4" w:space="0" w:color="auto"/>
              <w:left w:val="single" w:sz="4" w:space="0" w:color="auto"/>
              <w:bottom w:val="single" w:sz="4" w:space="0" w:color="auto"/>
              <w:right w:val="single" w:sz="4" w:space="0" w:color="auto"/>
            </w:tcBorders>
            <w:hideMark/>
          </w:tcPr>
          <w:p w14:paraId="19CC0185"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4262FF04"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6ADE2307"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66F2B6EE"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648" w:type="pct"/>
            <w:tcBorders>
              <w:top w:val="single" w:sz="4" w:space="0" w:color="auto"/>
              <w:left w:val="single" w:sz="4" w:space="0" w:color="auto"/>
              <w:bottom w:val="single" w:sz="4" w:space="0" w:color="auto"/>
              <w:right w:val="single" w:sz="4" w:space="0" w:color="auto"/>
            </w:tcBorders>
            <w:hideMark/>
          </w:tcPr>
          <w:p w14:paraId="0860BE2D"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550" w:type="pct"/>
            <w:tcBorders>
              <w:top w:val="single" w:sz="4" w:space="0" w:color="auto"/>
              <w:left w:val="single" w:sz="4" w:space="0" w:color="auto"/>
              <w:bottom w:val="single" w:sz="4" w:space="0" w:color="auto"/>
              <w:right w:val="single" w:sz="4" w:space="0" w:color="auto"/>
            </w:tcBorders>
            <w:hideMark/>
          </w:tcPr>
          <w:p w14:paraId="026C858A"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317" w:type="pct"/>
            <w:tcBorders>
              <w:top w:val="single" w:sz="4" w:space="0" w:color="auto"/>
              <w:left w:val="single" w:sz="4" w:space="0" w:color="auto"/>
              <w:bottom w:val="single" w:sz="4" w:space="0" w:color="auto"/>
              <w:right w:val="single" w:sz="4" w:space="0" w:color="auto"/>
            </w:tcBorders>
            <w:hideMark/>
          </w:tcPr>
          <w:p w14:paraId="184BB3A9"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532" w:type="pct"/>
            <w:tcBorders>
              <w:top w:val="single" w:sz="4" w:space="0" w:color="auto"/>
              <w:left w:val="single" w:sz="4" w:space="0" w:color="auto"/>
              <w:bottom w:val="single" w:sz="4" w:space="0" w:color="auto"/>
              <w:right w:val="single" w:sz="4" w:space="0" w:color="auto"/>
            </w:tcBorders>
            <w:hideMark/>
          </w:tcPr>
          <w:p w14:paraId="2B381A89"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50" w:type="pct"/>
            <w:tcBorders>
              <w:top w:val="single" w:sz="4" w:space="0" w:color="auto"/>
              <w:left w:val="single" w:sz="4" w:space="0" w:color="auto"/>
              <w:bottom w:val="single" w:sz="4" w:space="0" w:color="auto"/>
              <w:right w:val="single" w:sz="4" w:space="0" w:color="auto"/>
            </w:tcBorders>
            <w:hideMark/>
          </w:tcPr>
          <w:p w14:paraId="225ED6D5"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11" w:type="pct"/>
            <w:tcBorders>
              <w:top w:val="single" w:sz="4" w:space="0" w:color="auto"/>
              <w:left w:val="single" w:sz="4" w:space="0" w:color="auto"/>
              <w:bottom w:val="single" w:sz="4" w:space="0" w:color="auto"/>
              <w:right w:val="single" w:sz="4" w:space="0" w:color="auto"/>
            </w:tcBorders>
            <w:hideMark/>
          </w:tcPr>
          <w:p w14:paraId="2B6473C9"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r>
      <w:tr w:rsidR="00FA2D18" w:rsidRPr="00FA2D18" w14:paraId="3333D4A5" w14:textId="77777777" w:rsidTr="00534FF5">
        <w:trPr>
          <w:trHeight w:val="20"/>
          <w:tblCellSpacing w:w="0" w:type="dxa"/>
          <w:jc w:val="center"/>
        </w:trPr>
        <w:tc>
          <w:tcPr>
            <w:tcW w:w="1592" w:type="pct"/>
            <w:tcBorders>
              <w:top w:val="single" w:sz="4" w:space="0" w:color="auto"/>
              <w:left w:val="single" w:sz="4" w:space="0" w:color="auto"/>
              <w:bottom w:val="single" w:sz="4" w:space="0" w:color="auto"/>
              <w:right w:val="single" w:sz="4" w:space="0" w:color="auto"/>
            </w:tcBorders>
            <w:hideMark/>
          </w:tcPr>
          <w:p w14:paraId="5EBEB65D" w14:textId="77777777" w:rsidR="00B04492" w:rsidRPr="00FA2D18" w:rsidRDefault="00B04492" w:rsidP="00534FF5">
            <w:pPr>
              <w:widowControl w:val="0"/>
              <w:autoSpaceDE w:val="0"/>
              <w:autoSpaceDN w:val="0"/>
              <w:spacing w:after="0" w:line="240" w:lineRule="auto"/>
              <w:jc w:val="both"/>
              <w:rPr>
                <w:rFonts w:ascii="Garamond" w:eastAsia="Times New Roman" w:hAnsi="Garamond" w:cs="Times New Roman"/>
                <w:i/>
                <w:sz w:val="24"/>
                <w:szCs w:val="24"/>
              </w:rPr>
            </w:pPr>
            <w:r w:rsidRPr="00FA2D18">
              <w:rPr>
                <w:rFonts w:ascii="Garamond" w:eastAsia="Times New Roman" w:hAnsi="Garamond" w:cs="Times New Roman"/>
                <w:i/>
                <w:sz w:val="24"/>
                <w:szCs w:val="24"/>
              </w:rPr>
              <w:t>Grupi A</w:t>
            </w:r>
            <w:r w:rsidRPr="00FA2D18" w:rsidDel="00BF41FD">
              <w:rPr>
                <w:rFonts w:ascii="Garamond" w:eastAsia="Times New Roman" w:hAnsi="Garamond" w:cs="Times New Roman"/>
                <w:i/>
                <w:sz w:val="24"/>
                <w:szCs w:val="24"/>
              </w:rPr>
              <w:t xml:space="preserve"> </w:t>
            </w:r>
            <w:r w:rsidRPr="00FA2D18">
              <w:rPr>
                <w:rFonts w:ascii="Garamond" w:eastAsia="Times New Roman" w:hAnsi="Garamond" w:cs="Times New Roman"/>
                <w:i/>
                <w:sz w:val="24"/>
                <w:szCs w:val="24"/>
              </w:rPr>
              <w:t>3, germa “a”</w:t>
            </w:r>
          </w:p>
        </w:tc>
        <w:tc>
          <w:tcPr>
            <w:tcW w:w="300" w:type="pct"/>
            <w:tcBorders>
              <w:top w:val="single" w:sz="4" w:space="0" w:color="auto"/>
              <w:left w:val="single" w:sz="4" w:space="0" w:color="auto"/>
              <w:bottom w:val="single" w:sz="4" w:space="0" w:color="auto"/>
              <w:right w:val="single" w:sz="4" w:space="0" w:color="auto"/>
            </w:tcBorders>
            <w:hideMark/>
          </w:tcPr>
          <w:p w14:paraId="556701EC" w14:textId="77777777" w:rsidR="00B04492" w:rsidRPr="00FA2D18" w:rsidRDefault="00B04492" w:rsidP="00534FF5">
            <w:pPr>
              <w:spacing w:after="0" w:line="240" w:lineRule="auto"/>
              <w:jc w:val="center"/>
              <w:rPr>
                <w:rFonts w:ascii="Garamond" w:hAnsi="Garamond" w:cs="Times New Roman"/>
                <w:i/>
                <w:sz w:val="24"/>
                <w:szCs w:val="24"/>
              </w:rPr>
            </w:pPr>
          </w:p>
        </w:tc>
        <w:tc>
          <w:tcPr>
            <w:tcW w:w="200" w:type="pct"/>
            <w:tcBorders>
              <w:top w:val="single" w:sz="4" w:space="0" w:color="auto"/>
              <w:left w:val="single" w:sz="4" w:space="0" w:color="auto"/>
              <w:bottom w:val="single" w:sz="4" w:space="0" w:color="auto"/>
              <w:right w:val="single" w:sz="4" w:space="0" w:color="auto"/>
            </w:tcBorders>
            <w:hideMark/>
          </w:tcPr>
          <w:p w14:paraId="6BC1A967"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200" w:type="pct"/>
            <w:tcBorders>
              <w:top w:val="single" w:sz="4" w:space="0" w:color="auto"/>
              <w:left w:val="single" w:sz="4" w:space="0" w:color="auto"/>
              <w:bottom w:val="single" w:sz="4" w:space="0" w:color="auto"/>
              <w:right w:val="single" w:sz="4" w:space="0" w:color="auto"/>
            </w:tcBorders>
            <w:hideMark/>
          </w:tcPr>
          <w:p w14:paraId="7F8CB91E"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200" w:type="pct"/>
            <w:tcBorders>
              <w:top w:val="single" w:sz="4" w:space="0" w:color="auto"/>
              <w:left w:val="single" w:sz="4" w:space="0" w:color="auto"/>
              <w:bottom w:val="single" w:sz="4" w:space="0" w:color="auto"/>
              <w:right w:val="single" w:sz="4" w:space="0" w:color="auto"/>
            </w:tcBorders>
            <w:hideMark/>
          </w:tcPr>
          <w:p w14:paraId="54A6B8E5"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648" w:type="pct"/>
            <w:tcBorders>
              <w:top w:val="single" w:sz="4" w:space="0" w:color="auto"/>
              <w:left w:val="single" w:sz="4" w:space="0" w:color="auto"/>
              <w:bottom w:val="single" w:sz="4" w:space="0" w:color="auto"/>
              <w:right w:val="single" w:sz="4" w:space="0" w:color="auto"/>
            </w:tcBorders>
            <w:hideMark/>
          </w:tcPr>
          <w:p w14:paraId="1B1012EB"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550" w:type="pct"/>
            <w:tcBorders>
              <w:top w:val="single" w:sz="4" w:space="0" w:color="auto"/>
              <w:left w:val="single" w:sz="4" w:space="0" w:color="auto"/>
              <w:bottom w:val="single" w:sz="4" w:space="0" w:color="auto"/>
              <w:right w:val="single" w:sz="4" w:space="0" w:color="auto"/>
            </w:tcBorders>
            <w:hideMark/>
          </w:tcPr>
          <w:p w14:paraId="52B28029" w14:textId="77777777" w:rsidR="00B04492" w:rsidRPr="00FA2D18" w:rsidRDefault="00B04492" w:rsidP="00534FF5">
            <w:pPr>
              <w:spacing w:after="0" w:line="240" w:lineRule="auto"/>
              <w:jc w:val="center"/>
              <w:rPr>
                <w:rFonts w:ascii="Garamond" w:hAnsi="Garamond" w:cs="Times New Roman"/>
                <w:i/>
                <w:sz w:val="24"/>
                <w:szCs w:val="24"/>
              </w:rPr>
            </w:pPr>
          </w:p>
        </w:tc>
        <w:tc>
          <w:tcPr>
            <w:tcW w:w="317" w:type="pct"/>
            <w:tcBorders>
              <w:top w:val="single" w:sz="4" w:space="0" w:color="auto"/>
              <w:left w:val="single" w:sz="4" w:space="0" w:color="auto"/>
              <w:bottom w:val="single" w:sz="4" w:space="0" w:color="auto"/>
              <w:right w:val="single" w:sz="4" w:space="0" w:color="auto"/>
            </w:tcBorders>
            <w:hideMark/>
          </w:tcPr>
          <w:p w14:paraId="24EB86FA"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532" w:type="pct"/>
            <w:tcBorders>
              <w:top w:val="single" w:sz="4" w:space="0" w:color="auto"/>
              <w:left w:val="single" w:sz="4" w:space="0" w:color="auto"/>
              <w:bottom w:val="single" w:sz="4" w:space="0" w:color="auto"/>
              <w:right w:val="single" w:sz="4" w:space="0" w:color="auto"/>
            </w:tcBorders>
            <w:hideMark/>
          </w:tcPr>
          <w:p w14:paraId="7AA5F5BD"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250" w:type="pct"/>
            <w:tcBorders>
              <w:top w:val="single" w:sz="4" w:space="0" w:color="auto"/>
              <w:left w:val="single" w:sz="4" w:space="0" w:color="auto"/>
              <w:bottom w:val="single" w:sz="4" w:space="0" w:color="auto"/>
              <w:right w:val="single" w:sz="4" w:space="0" w:color="auto"/>
            </w:tcBorders>
            <w:hideMark/>
          </w:tcPr>
          <w:p w14:paraId="4BD15A75"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211" w:type="pct"/>
            <w:tcBorders>
              <w:top w:val="single" w:sz="4" w:space="0" w:color="auto"/>
              <w:left w:val="single" w:sz="4" w:space="0" w:color="auto"/>
              <w:bottom w:val="single" w:sz="4" w:space="0" w:color="auto"/>
              <w:right w:val="single" w:sz="4" w:space="0" w:color="auto"/>
            </w:tcBorders>
            <w:hideMark/>
          </w:tcPr>
          <w:p w14:paraId="39880BA7" w14:textId="77777777" w:rsidR="00B04492" w:rsidRPr="00FA2D18" w:rsidRDefault="00B04492" w:rsidP="00534FF5">
            <w:pPr>
              <w:spacing w:after="0" w:line="240" w:lineRule="auto"/>
              <w:jc w:val="center"/>
              <w:rPr>
                <w:rFonts w:ascii="Garamond" w:hAnsi="Garamond" w:cs="Times New Roman"/>
                <w:i/>
                <w:sz w:val="24"/>
                <w:szCs w:val="24"/>
                <w:lang w:eastAsia="sq-AL"/>
              </w:rPr>
            </w:pPr>
          </w:p>
        </w:tc>
      </w:tr>
      <w:tr w:rsidR="00FA2D18" w:rsidRPr="00FA2D18" w14:paraId="674C9BB9" w14:textId="77777777" w:rsidTr="00534FF5">
        <w:trPr>
          <w:trHeight w:val="20"/>
          <w:tblCellSpacing w:w="0" w:type="dxa"/>
          <w:jc w:val="center"/>
        </w:trPr>
        <w:tc>
          <w:tcPr>
            <w:tcW w:w="1592" w:type="pct"/>
            <w:tcBorders>
              <w:top w:val="single" w:sz="4" w:space="0" w:color="auto"/>
              <w:left w:val="single" w:sz="4" w:space="0" w:color="auto"/>
              <w:bottom w:val="single" w:sz="4" w:space="0" w:color="auto"/>
              <w:right w:val="single" w:sz="4" w:space="0" w:color="auto"/>
            </w:tcBorders>
            <w:hideMark/>
          </w:tcPr>
          <w:p w14:paraId="667182A6" w14:textId="77777777" w:rsidR="00B04492" w:rsidRPr="00FA2D18" w:rsidRDefault="00B04492" w:rsidP="00534FF5">
            <w:pPr>
              <w:widowControl w:val="0"/>
              <w:autoSpaceDE w:val="0"/>
              <w:autoSpaceDN w:val="0"/>
              <w:spacing w:after="0" w:line="240" w:lineRule="auto"/>
              <w:jc w:val="both"/>
              <w:rPr>
                <w:rFonts w:ascii="Garamond" w:eastAsia="Times New Roman" w:hAnsi="Garamond" w:cs="Times New Roman"/>
                <w:i/>
                <w:sz w:val="24"/>
                <w:szCs w:val="24"/>
              </w:rPr>
            </w:pPr>
            <w:r w:rsidRPr="00FA2D18">
              <w:rPr>
                <w:rFonts w:ascii="Garamond" w:eastAsia="Times New Roman" w:hAnsi="Garamond" w:cs="Times New Roman"/>
                <w:i/>
                <w:sz w:val="24"/>
                <w:szCs w:val="24"/>
              </w:rPr>
              <w:t>Grupi A</w:t>
            </w:r>
            <w:r w:rsidRPr="00FA2D18" w:rsidDel="00BF41FD">
              <w:rPr>
                <w:rFonts w:ascii="Garamond" w:eastAsia="Times New Roman" w:hAnsi="Garamond" w:cs="Times New Roman"/>
                <w:i/>
                <w:sz w:val="24"/>
                <w:szCs w:val="24"/>
              </w:rPr>
              <w:t xml:space="preserve"> </w:t>
            </w:r>
            <w:r w:rsidRPr="00FA2D18">
              <w:rPr>
                <w:rFonts w:ascii="Garamond" w:eastAsia="Times New Roman" w:hAnsi="Garamond" w:cs="Times New Roman"/>
                <w:i/>
                <w:sz w:val="24"/>
                <w:szCs w:val="24"/>
              </w:rPr>
              <w:t>3, germa “b”</w:t>
            </w:r>
          </w:p>
        </w:tc>
        <w:tc>
          <w:tcPr>
            <w:tcW w:w="300" w:type="pct"/>
            <w:tcBorders>
              <w:top w:val="single" w:sz="4" w:space="0" w:color="auto"/>
              <w:left w:val="single" w:sz="4" w:space="0" w:color="auto"/>
              <w:bottom w:val="single" w:sz="4" w:space="0" w:color="auto"/>
              <w:right w:val="single" w:sz="4" w:space="0" w:color="auto"/>
            </w:tcBorders>
            <w:hideMark/>
          </w:tcPr>
          <w:p w14:paraId="2BAE09CD"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4EBABBBD"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6CC11953"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46F572EC"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648" w:type="pct"/>
            <w:tcBorders>
              <w:top w:val="single" w:sz="4" w:space="0" w:color="auto"/>
              <w:left w:val="single" w:sz="4" w:space="0" w:color="auto"/>
              <w:bottom w:val="single" w:sz="4" w:space="0" w:color="auto"/>
              <w:right w:val="single" w:sz="4" w:space="0" w:color="auto"/>
            </w:tcBorders>
            <w:hideMark/>
          </w:tcPr>
          <w:p w14:paraId="5146A59E"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550" w:type="pct"/>
            <w:tcBorders>
              <w:top w:val="single" w:sz="4" w:space="0" w:color="auto"/>
              <w:left w:val="single" w:sz="4" w:space="0" w:color="auto"/>
              <w:bottom w:val="single" w:sz="4" w:space="0" w:color="auto"/>
              <w:right w:val="single" w:sz="4" w:space="0" w:color="auto"/>
            </w:tcBorders>
            <w:hideMark/>
          </w:tcPr>
          <w:p w14:paraId="1E4C8F18"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p>
        </w:tc>
        <w:tc>
          <w:tcPr>
            <w:tcW w:w="317" w:type="pct"/>
            <w:tcBorders>
              <w:top w:val="single" w:sz="4" w:space="0" w:color="auto"/>
              <w:left w:val="single" w:sz="4" w:space="0" w:color="auto"/>
              <w:bottom w:val="single" w:sz="4" w:space="0" w:color="auto"/>
              <w:right w:val="single" w:sz="4" w:space="0" w:color="auto"/>
            </w:tcBorders>
            <w:hideMark/>
          </w:tcPr>
          <w:p w14:paraId="7A1A4662"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532" w:type="pct"/>
            <w:tcBorders>
              <w:top w:val="single" w:sz="4" w:space="0" w:color="auto"/>
              <w:left w:val="single" w:sz="4" w:space="0" w:color="auto"/>
              <w:bottom w:val="single" w:sz="4" w:space="0" w:color="auto"/>
              <w:right w:val="single" w:sz="4" w:space="0" w:color="auto"/>
            </w:tcBorders>
            <w:hideMark/>
          </w:tcPr>
          <w:p w14:paraId="5D0B266B"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50" w:type="pct"/>
            <w:tcBorders>
              <w:top w:val="single" w:sz="4" w:space="0" w:color="auto"/>
              <w:left w:val="single" w:sz="4" w:space="0" w:color="auto"/>
              <w:bottom w:val="single" w:sz="4" w:space="0" w:color="auto"/>
              <w:right w:val="single" w:sz="4" w:space="0" w:color="auto"/>
            </w:tcBorders>
            <w:hideMark/>
          </w:tcPr>
          <w:p w14:paraId="0FCDCACA"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p>
        </w:tc>
        <w:tc>
          <w:tcPr>
            <w:tcW w:w="211" w:type="pct"/>
            <w:tcBorders>
              <w:top w:val="single" w:sz="4" w:space="0" w:color="auto"/>
              <w:left w:val="single" w:sz="4" w:space="0" w:color="auto"/>
              <w:bottom w:val="single" w:sz="4" w:space="0" w:color="auto"/>
              <w:right w:val="single" w:sz="4" w:space="0" w:color="auto"/>
            </w:tcBorders>
            <w:hideMark/>
          </w:tcPr>
          <w:p w14:paraId="64E95AC8" w14:textId="77777777" w:rsidR="00B04492" w:rsidRPr="00FA2D18" w:rsidRDefault="00B04492" w:rsidP="00534FF5">
            <w:pPr>
              <w:spacing w:after="0" w:line="240" w:lineRule="auto"/>
              <w:jc w:val="center"/>
              <w:rPr>
                <w:rFonts w:ascii="Garamond" w:hAnsi="Garamond" w:cs="Times New Roman"/>
                <w:i/>
                <w:sz w:val="24"/>
                <w:szCs w:val="24"/>
              </w:rPr>
            </w:pPr>
          </w:p>
        </w:tc>
      </w:tr>
      <w:tr w:rsidR="00FA2D18" w:rsidRPr="00FA2D18" w14:paraId="66528ADA" w14:textId="77777777" w:rsidTr="00534FF5">
        <w:trPr>
          <w:trHeight w:val="20"/>
          <w:tblCellSpacing w:w="0" w:type="dxa"/>
          <w:jc w:val="center"/>
        </w:trPr>
        <w:tc>
          <w:tcPr>
            <w:tcW w:w="1592" w:type="pct"/>
            <w:tcBorders>
              <w:top w:val="single" w:sz="4" w:space="0" w:color="auto"/>
              <w:left w:val="single" w:sz="4" w:space="0" w:color="auto"/>
              <w:bottom w:val="single" w:sz="4" w:space="0" w:color="auto"/>
              <w:right w:val="single" w:sz="4" w:space="0" w:color="auto"/>
            </w:tcBorders>
            <w:hideMark/>
          </w:tcPr>
          <w:p w14:paraId="00FEE5B9" w14:textId="77777777" w:rsidR="00B04492" w:rsidRPr="00FA2D18" w:rsidRDefault="00B04492" w:rsidP="00534FF5">
            <w:pPr>
              <w:widowControl w:val="0"/>
              <w:autoSpaceDE w:val="0"/>
              <w:autoSpaceDN w:val="0"/>
              <w:spacing w:after="0" w:line="240" w:lineRule="auto"/>
              <w:jc w:val="both"/>
              <w:rPr>
                <w:rFonts w:ascii="Garamond" w:eastAsia="Times New Roman" w:hAnsi="Garamond" w:cs="Times New Roman"/>
                <w:i/>
                <w:sz w:val="24"/>
                <w:szCs w:val="24"/>
              </w:rPr>
            </w:pPr>
            <w:r w:rsidRPr="00FA2D18">
              <w:rPr>
                <w:rFonts w:ascii="Garamond" w:eastAsia="Times New Roman" w:hAnsi="Garamond" w:cs="Times New Roman"/>
                <w:i/>
                <w:sz w:val="24"/>
                <w:szCs w:val="24"/>
              </w:rPr>
              <w:t>Grupi A</w:t>
            </w:r>
            <w:r w:rsidRPr="00FA2D18" w:rsidDel="00BF41FD">
              <w:rPr>
                <w:rFonts w:ascii="Garamond" w:eastAsia="Times New Roman" w:hAnsi="Garamond" w:cs="Times New Roman"/>
                <w:i/>
                <w:sz w:val="24"/>
                <w:szCs w:val="24"/>
              </w:rPr>
              <w:t xml:space="preserve"> </w:t>
            </w:r>
            <w:r w:rsidRPr="00FA2D18">
              <w:rPr>
                <w:rFonts w:ascii="Garamond" w:eastAsia="Times New Roman" w:hAnsi="Garamond" w:cs="Times New Roman"/>
                <w:i/>
                <w:sz w:val="24"/>
                <w:szCs w:val="24"/>
              </w:rPr>
              <w:t>3, germa “c”</w:t>
            </w:r>
          </w:p>
        </w:tc>
        <w:tc>
          <w:tcPr>
            <w:tcW w:w="300" w:type="pct"/>
            <w:tcBorders>
              <w:top w:val="single" w:sz="4" w:space="0" w:color="auto"/>
              <w:left w:val="single" w:sz="4" w:space="0" w:color="auto"/>
              <w:bottom w:val="single" w:sz="4" w:space="0" w:color="auto"/>
              <w:right w:val="single" w:sz="4" w:space="0" w:color="auto"/>
            </w:tcBorders>
            <w:hideMark/>
          </w:tcPr>
          <w:p w14:paraId="4DBF91B2"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494528F0"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7D406B3B"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2B5EB3CA"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648" w:type="pct"/>
            <w:tcBorders>
              <w:top w:val="single" w:sz="4" w:space="0" w:color="auto"/>
              <w:left w:val="single" w:sz="4" w:space="0" w:color="auto"/>
              <w:bottom w:val="single" w:sz="4" w:space="0" w:color="auto"/>
              <w:right w:val="single" w:sz="4" w:space="0" w:color="auto"/>
            </w:tcBorders>
            <w:hideMark/>
          </w:tcPr>
          <w:p w14:paraId="6B2421E0"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550" w:type="pct"/>
            <w:tcBorders>
              <w:top w:val="single" w:sz="4" w:space="0" w:color="auto"/>
              <w:left w:val="single" w:sz="4" w:space="0" w:color="auto"/>
              <w:bottom w:val="single" w:sz="4" w:space="0" w:color="auto"/>
              <w:right w:val="single" w:sz="4" w:space="0" w:color="auto"/>
            </w:tcBorders>
            <w:hideMark/>
          </w:tcPr>
          <w:p w14:paraId="643471E1"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317" w:type="pct"/>
            <w:tcBorders>
              <w:top w:val="single" w:sz="4" w:space="0" w:color="auto"/>
              <w:left w:val="single" w:sz="4" w:space="0" w:color="auto"/>
              <w:bottom w:val="single" w:sz="4" w:space="0" w:color="auto"/>
              <w:right w:val="single" w:sz="4" w:space="0" w:color="auto"/>
            </w:tcBorders>
            <w:hideMark/>
          </w:tcPr>
          <w:p w14:paraId="4B01A6F8"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532" w:type="pct"/>
            <w:tcBorders>
              <w:top w:val="single" w:sz="4" w:space="0" w:color="auto"/>
              <w:left w:val="single" w:sz="4" w:space="0" w:color="auto"/>
              <w:bottom w:val="single" w:sz="4" w:space="0" w:color="auto"/>
              <w:right w:val="single" w:sz="4" w:space="0" w:color="auto"/>
            </w:tcBorders>
            <w:hideMark/>
          </w:tcPr>
          <w:p w14:paraId="196F56F5"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50" w:type="pct"/>
            <w:tcBorders>
              <w:top w:val="single" w:sz="4" w:space="0" w:color="auto"/>
              <w:left w:val="single" w:sz="4" w:space="0" w:color="auto"/>
              <w:bottom w:val="single" w:sz="4" w:space="0" w:color="auto"/>
              <w:right w:val="single" w:sz="4" w:space="0" w:color="auto"/>
            </w:tcBorders>
            <w:hideMark/>
          </w:tcPr>
          <w:p w14:paraId="5F67A6D4"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11" w:type="pct"/>
            <w:tcBorders>
              <w:top w:val="single" w:sz="4" w:space="0" w:color="auto"/>
              <w:left w:val="single" w:sz="4" w:space="0" w:color="auto"/>
              <w:bottom w:val="single" w:sz="4" w:space="0" w:color="auto"/>
              <w:right w:val="single" w:sz="4" w:space="0" w:color="auto"/>
            </w:tcBorders>
            <w:hideMark/>
          </w:tcPr>
          <w:p w14:paraId="26780B34" w14:textId="77777777" w:rsidR="00B04492" w:rsidRPr="00FA2D18" w:rsidRDefault="00B04492" w:rsidP="00534FF5">
            <w:pPr>
              <w:spacing w:after="0" w:line="240" w:lineRule="auto"/>
              <w:jc w:val="center"/>
              <w:rPr>
                <w:rFonts w:ascii="Garamond" w:hAnsi="Garamond" w:cs="Times New Roman"/>
                <w:i/>
                <w:sz w:val="24"/>
                <w:szCs w:val="24"/>
              </w:rPr>
            </w:pPr>
          </w:p>
        </w:tc>
      </w:tr>
      <w:tr w:rsidR="00FA2D18" w:rsidRPr="00FA2D18" w14:paraId="3BF71BCC" w14:textId="77777777" w:rsidTr="00534FF5">
        <w:trPr>
          <w:trHeight w:val="20"/>
          <w:tblCellSpacing w:w="0" w:type="dxa"/>
          <w:jc w:val="center"/>
        </w:trPr>
        <w:tc>
          <w:tcPr>
            <w:tcW w:w="1592" w:type="pct"/>
            <w:tcBorders>
              <w:top w:val="single" w:sz="4" w:space="0" w:color="auto"/>
              <w:left w:val="single" w:sz="4" w:space="0" w:color="auto"/>
              <w:bottom w:val="single" w:sz="4" w:space="0" w:color="auto"/>
              <w:right w:val="single" w:sz="4" w:space="0" w:color="auto"/>
            </w:tcBorders>
            <w:hideMark/>
          </w:tcPr>
          <w:p w14:paraId="07A5B98C" w14:textId="77777777" w:rsidR="00B04492" w:rsidRPr="00FA2D18" w:rsidRDefault="00B04492" w:rsidP="00534FF5">
            <w:pPr>
              <w:widowControl w:val="0"/>
              <w:autoSpaceDE w:val="0"/>
              <w:autoSpaceDN w:val="0"/>
              <w:spacing w:after="0" w:line="240" w:lineRule="auto"/>
              <w:jc w:val="both"/>
              <w:rPr>
                <w:rFonts w:ascii="Garamond" w:eastAsia="Times New Roman" w:hAnsi="Garamond" w:cs="Times New Roman"/>
                <w:i/>
                <w:sz w:val="24"/>
                <w:szCs w:val="24"/>
              </w:rPr>
            </w:pPr>
            <w:r w:rsidRPr="00FA2D18">
              <w:rPr>
                <w:rFonts w:ascii="Garamond" w:eastAsia="Times New Roman" w:hAnsi="Garamond" w:cs="Times New Roman"/>
                <w:i/>
                <w:sz w:val="24"/>
                <w:szCs w:val="24"/>
              </w:rPr>
              <w:t>Grupi A</w:t>
            </w:r>
            <w:r w:rsidRPr="00FA2D18" w:rsidDel="00BF41FD">
              <w:rPr>
                <w:rFonts w:ascii="Garamond" w:eastAsia="Times New Roman" w:hAnsi="Garamond" w:cs="Times New Roman"/>
                <w:i/>
                <w:sz w:val="24"/>
                <w:szCs w:val="24"/>
              </w:rPr>
              <w:t xml:space="preserve"> </w:t>
            </w:r>
            <w:r w:rsidRPr="00FA2D18">
              <w:rPr>
                <w:rFonts w:ascii="Garamond" w:eastAsia="Times New Roman" w:hAnsi="Garamond" w:cs="Times New Roman"/>
                <w:i/>
                <w:sz w:val="24"/>
                <w:szCs w:val="24"/>
              </w:rPr>
              <w:t>3, germa “d”</w:t>
            </w:r>
          </w:p>
        </w:tc>
        <w:tc>
          <w:tcPr>
            <w:tcW w:w="300" w:type="pct"/>
            <w:tcBorders>
              <w:top w:val="single" w:sz="4" w:space="0" w:color="auto"/>
              <w:left w:val="single" w:sz="4" w:space="0" w:color="auto"/>
              <w:bottom w:val="single" w:sz="4" w:space="0" w:color="auto"/>
              <w:right w:val="single" w:sz="4" w:space="0" w:color="auto"/>
            </w:tcBorders>
            <w:hideMark/>
          </w:tcPr>
          <w:p w14:paraId="7BCBD5FF"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55DD82EF"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2DF4E8DC" w14:textId="77777777" w:rsidR="00B04492" w:rsidRPr="00FA2D18" w:rsidRDefault="00B04492" w:rsidP="00534FF5">
            <w:pPr>
              <w:spacing w:after="0" w:line="240" w:lineRule="auto"/>
              <w:jc w:val="center"/>
              <w:rPr>
                <w:rFonts w:ascii="Garamond" w:hAnsi="Garamond" w:cs="Times New Roman"/>
                <w:i/>
                <w:sz w:val="24"/>
                <w:szCs w:val="24"/>
              </w:rPr>
            </w:pPr>
          </w:p>
        </w:tc>
        <w:tc>
          <w:tcPr>
            <w:tcW w:w="200" w:type="pct"/>
            <w:tcBorders>
              <w:top w:val="single" w:sz="4" w:space="0" w:color="auto"/>
              <w:left w:val="single" w:sz="4" w:space="0" w:color="auto"/>
              <w:bottom w:val="single" w:sz="4" w:space="0" w:color="auto"/>
              <w:right w:val="single" w:sz="4" w:space="0" w:color="auto"/>
            </w:tcBorders>
            <w:hideMark/>
          </w:tcPr>
          <w:p w14:paraId="27961830"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648" w:type="pct"/>
            <w:tcBorders>
              <w:top w:val="single" w:sz="4" w:space="0" w:color="auto"/>
              <w:left w:val="single" w:sz="4" w:space="0" w:color="auto"/>
              <w:bottom w:val="single" w:sz="4" w:space="0" w:color="auto"/>
              <w:right w:val="single" w:sz="4" w:space="0" w:color="auto"/>
            </w:tcBorders>
            <w:hideMark/>
          </w:tcPr>
          <w:p w14:paraId="442AC23A" w14:textId="77777777" w:rsidR="00B04492" w:rsidRPr="00FA2D18" w:rsidRDefault="00B04492" w:rsidP="00534FF5">
            <w:pPr>
              <w:spacing w:after="0" w:line="240" w:lineRule="auto"/>
              <w:jc w:val="center"/>
              <w:rPr>
                <w:rFonts w:ascii="Garamond" w:hAnsi="Garamond" w:cs="Times New Roman"/>
                <w:i/>
                <w:sz w:val="24"/>
                <w:szCs w:val="24"/>
              </w:rPr>
            </w:pPr>
          </w:p>
        </w:tc>
        <w:tc>
          <w:tcPr>
            <w:tcW w:w="550" w:type="pct"/>
            <w:tcBorders>
              <w:top w:val="single" w:sz="4" w:space="0" w:color="auto"/>
              <w:left w:val="single" w:sz="4" w:space="0" w:color="auto"/>
              <w:bottom w:val="single" w:sz="4" w:space="0" w:color="auto"/>
              <w:right w:val="single" w:sz="4" w:space="0" w:color="auto"/>
            </w:tcBorders>
            <w:hideMark/>
          </w:tcPr>
          <w:p w14:paraId="376A0E47"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317" w:type="pct"/>
            <w:tcBorders>
              <w:top w:val="single" w:sz="4" w:space="0" w:color="auto"/>
              <w:left w:val="single" w:sz="4" w:space="0" w:color="auto"/>
              <w:bottom w:val="single" w:sz="4" w:space="0" w:color="auto"/>
              <w:right w:val="single" w:sz="4" w:space="0" w:color="auto"/>
            </w:tcBorders>
            <w:hideMark/>
          </w:tcPr>
          <w:p w14:paraId="7AB28026"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532" w:type="pct"/>
            <w:tcBorders>
              <w:top w:val="single" w:sz="4" w:space="0" w:color="auto"/>
              <w:left w:val="single" w:sz="4" w:space="0" w:color="auto"/>
              <w:bottom w:val="single" w:sz="4" w:space="0" w:color="auto"/>
              <w:right w:val="single" w:sz="4" w:space="0" w:color="auto"/>
            </w:tcBorders>
            <w:hideMark/>
          </w:tcPr>
          <w:p w14:paraId="2CEB2126"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50" w:type="pct"/>
            <w:tcBorders>
              <w:top w:val="single" w:sz="4" w:space="0" w:color="auto"/>
              <w:left w:val="single" w:sz="4" w:space="0" w:color="auto"/>
              <w:bottom w:val="single" w:sz="4" w:space="0" w:color="auto"/>
              <w:right w:val="single" w:sz="4" w:space="0" w:color="auto"/>
            </w:tcBorders>
            <w:hideMark/>
          </w:tcPr>
          <w:p w14:paraId="536385A5" w14:textId="77777777" w:rsidR="00B04492" w:rsidRPr="00FA2D18" w:rsidRDefault="00B04492" w:rsidP="00534FF5">
            <w:pPr>
              <w:spacing w:after="0" w:line="240" w:lineRule="auto"/>
              <w:jc w:val="center"/>
              <w:rPr>
                <w:rFonts w:ascii="Garamond" w:hAnsi="Garamond" w:cs="Times New Roman"/>
                <w:i/>
                <w:sz w:val="24"/>
                <w:szCs w:val="24"/>
              </w:rPr>
            </w:pPr>
          </w:p>
        </w:tc>
        <w:tc>
          <w:tcPr>
            <w:tcW w:w="211" w:type="pct"/>
            <w:tcBorders>
              <w:top w:val="single" w:sz="4" w:space="0" w:color="auto"/>
              <w:left w:val="single" w:sz="4" w:space="0" w:color="auto"/>
              <w:bottom w:val="single" w:sz="4" w:space="0" w:color="auto"/>
              <w:right w:val="single" w:sz="4" w:space="0" w:color="auto"/>
            </w:tcBorders>
            <w:hideMark/>
          </w:tcPr>
          <w:p w14:paraId="2C0AF8CA" w14:textId="77777777" w:rsidR="00B04492" w:rsidRPr="00FA2D18" w:rsidRDefault="00B04492" w:rsidP="00534FF5">
            <w:pPr>
              <w:spacing w:after="0" w:line="240" w:lineRule="auto"/>
              <w:jc w:val="center"/>
              <w:rPr>
                <w:rFonts w:ascii="Garamond" w:hAnsi="Garamond" w:cs="Times New Roman"/>
                <w:i/>
                <w:sz w:val="24"/>
                <w:szCs w:val="24"/>
                <w:lang w:eastAsia="sq-AL"/>
              </w:rPr>
            </w:pPr>
          </w:p>
        </w:tc>
      </w:tr>
      <w:tr w:rsidR="00FA2D18" w:rsidRPr="00FA2D18" w14:paraId="022D1AC5" w14:textId="77777777" w:rsidTr="00534FF5">
        <w:trPr>
          <w:trHeight w:val="20"/>
          <w:tblCellSpacing w:w="0" w:type="dxa"/>
          <w:jc w:val="center"/>
        </w:trPr>
        <w:tc>
          <w:tcPr>
            <w:tcW w:w="1592" w:type="pct"/>
            <w:tcBorders>
              <w:top w:val="single" w:sz="4" w:space="0" w:color="auto"/>
              <w:left w:val="single" w:sz="4" w:space="0" w:color="auto"/>
              <w:bottom w:val="single" w:sz="4" w:space="0" w:color="auto"/>
              <w:right w:val="single" w:sz="4" w:space="0" w:color="auto"/>
            </w:tcBorders>
            <w:hideMark/>
          </w:tcPr>
          <w:p w14:paraId="11F246B7" w14:textId="77777777" w:rsidR="00B04492" w:rsidRPr="00FA2D18" w:rsidRDefault="00B04492" w:rsidP="00534FF5">
            <w:pPr>
              <w:widowControl w:val="0"/>
              <w:autoSpaceDE w:val="0"/>
              <w:autoSpaceDN w:val="0"/>
              <w:spacing w:after="0" w:line="240" w:lineRule="auto"/>
              <w:jc w:val="both"/>
              <w:rPr>
                <w:rFonts w:ascii="Garamond" w:eastAsia="Times New Roman" w:hAnsi="Garamond" w:cs="Times New Roman"/>
                <w:i/>
                <w:sz w:val="24"/>
                <w:szCs w:val="24"/>
              </w:rPr>
            </w:pPr>
            <w:r w:rsidRPr="00FA2D18">
              <w:rPr>
                <w:rFonts w:ascii="Garamond" w:eastAsia="Times New Roman" w:hAnsi="Garamond" w:cs="Times New Roman"/>
                <w:i/>
                <w:sz w:val="24"/>
                <w:szCs w:val="24"/>
              </w:rPr>
              <w:t>Grupi A</w:t>
            </w:r>
            <w:r w:rsidRPr="00FA2D18" w:rsidDel="00BF41FD">
              <w:rPr>
                <w:rFonts w:ascii="Garamond" w:eastAsia="Times New Roman" w:hAnsi="Garamond" w:cs="Times New Roman"/>
                <w:i/>
                <w:sz w:val="24"/>
                <w:szCs w:val="24"/>
              </w:rPr>
              <w:t xml:space="preserve"> </w:t>
            </w:r>
            <w:r w:rsidRPr="00FA2D18">
              <w:rPr>
                <w:rFonts w:ascii="Garamond" w:eastAsia="Times New Roman" w:hAnsi="Garamond" w:cs="Times New Roman"/>
                <w:i/>
                <w:sz w:val="24"/>
                <w:szCs w:val="24"/>
              </w:rPr>
              <w:t>3, germa “e”</w:t>
            </w:r>
          </w:p>
        </w:tc>
        <w:tc>
          <w:tcPr>
            <w:tcW w:w="300" w:type="pct"/>
            <w:tcBorders>
              <w:top w:val="single" w:sz="4" w:space="0" w:color="auto"/>
              <w:left w:val="single" w:sz="4" w:space="0" w:color="auto"/>
              <w:bottom w:val="single" w:sz="4" w:space="0" w:color="auto"/>
              <w:right w:val="single" w:sz="4" w:space="0" w:color="auto"/>
            </w:tcBorders>
            <w:hideMark/>
          </w:tcPr>
          <w:p w14:paraId="168F99A6" w14:textId="77777777" w:rsidR="00B04492" w:rsidRPr="00FA2D18" w:rsidRDefault="00B04492" w:rsidP="00534FF5">
            <w:pPr>
              <w:spacing w:after="0" w:line="240" w:lineRule="auto"/>
              <w:jc w:val="center"/>
              <w:rPr>
                <w:rFonts w:ascii="Garamond" w:hAnsi="Garamond" w:cs="Times New Roman"/>
                <w:i/>
                <w:sz w:val="24"/>
                <w:szCs w:val="24"/>
              </w:rPr>
            </w:pPr>
          </w:p>
        </w:tc>
        <w:tc>
          <w:tcPr>
            <w:tcW w:w="200" w:type="pct"/>
            <w:tcBorders>
              <w:top w:val="single" w:sz="4" w:space="0" w:color="auto"/>
              <w:left w:val="single" w:sz="4" w:space="0" w:color="auto"/>
              <w:bottom w:val="single" w:sz="4" w:space="0" w:color="auto"/>
              <w:right w:val="single" w:sz="4" w:space="0" w:color="auto"/>
            </w:tcBorders>
            <w:hideMark/>
          </w:tcPr>
          <w:p w14:paraId="1E062D81"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200" w:type="pct"/>
            <w:tcBorders>
              <w:top w:val="single" w:sz="4" w:space="0" w:color="auto"/>
              <w:left w:val="single" w:sz="4" w:space="0" w:color="auto"/>
              <w:bottom w:val="single" w:sz="4" w:space="0" w:color="auto"/>
              <w:right w:val="single" w:sz="4" w:space="0" w:color="auto"/>
            </w:tcBorders>
            <w:hideMark/>
          </w:tcPr>
          <w:p w14:paraId="6E0C6A2E"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200" w:type="pct"/>
            <w:tcBorders>
              <w:top w:val="single" w:sz="4" w:space="0" w:color="auto"/>
              <w:left w:val="single" w:sz="4" w:space="0" w:color="auto"/>
              <w:bottom w:val="single" w:sz="4" w:space="0" w:color="auto"/>
              <w:right w:val="single" w:sz="4" w:space="0" w:color="auto"/>
            </w:tcBorders>
            <w:hideMark/>
          </w:tcPr>
          <w:p w14:paraId="6D524904"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648" w:type="pct"/>
            <w:tcBorders>
              <w:top w:val="single" w:sz="4" w:space="0" w:color="auto"/>
              <w:left w:val="single" w:sz="4" w:space="0" w:color="auto"/>
              <w:bottom w:val="single" w:sz="4" w:space="0" w:color="auto"/>
              <w:right w:val="single" w:sz="4" w:space="0" w:color="auto"/>
            </w:tcBorders>
            <w:hideMark/>
          </w:tcPr>
          <w:p w14:paraId="08C80449"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550" w:type="pct"/>
            <w:tcBorders>
              <w:top w:val="single" w:sz="4" w:space="0" w:color="auto"/>
              <w:left w:val="single" w:sz="4" w:space="0" w:color="auto"/>
              <w:bottom w:val="single" w:sz="4" w:space="0" w:color="auto"/>
              <w:right w:val="single" w:sz="4" w:space="0" w:color="auto"/>
            </w:tcBorders>
            <w:hideMark/>
          </w:tcPr>
          <w:p w14:paraId="7C59124C"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317" w:type="pct"/>
            <w:tcBorders>
              <w:top w:val="single" w:sz="4" w:space="0" w:color="auto"/>
              <w:left w:val="single" w:sz="4" w:space="0" w:color="auto"/>
              <w:bottom w:val="single" w:sz="4" w:space="0" w:color="auto"/>
              <w:right w:val="single" w:sz="4" w:space="0" w:color="auto"/>
            </w:tcBorders>
            <w:hideMark/>
          </w:tcPr>
          <w:p w14:paraId="001FED24"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532" w:type="pct"/>
            <w:tcBorders>
              <w:top w:val="single" w:sz="4" w:space="0" w:color="auto"/>
              <w:left w:val="single" w:sz="4" w:space="0" w:color="auto"/>
              <w:bottom w:val="single" w:sz="4" w:space="0" w:color="auto"/>
              <w:right w:val="single" w:sz="4" w:space="0" w:color="auto"/>
            </w:tcBorders>
            <w:hideMark/>
          </w:tcPr>
          <w:p w14:paraId="63D9378C"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250" w:type="pct"/>
            <w:tcBorders>
              <w:top w:val="single" w:sz="4" w:space="0" w:color="auto"/>
              <w:left w:val="single" w:sz="4" w:space="0" w:color="auto"/>
              <w:bottom w:val="single" w:sz="4" w:space="0" w:color="auto"/>
              <w:right w:val="single" w:sz="4" w:space="0" w:color="auto"/>
            </w:tcBorders>
            <w:hideMark/>
          </w:tcPr>
          <w:p w14:paraId="1F34DBEA"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211" w:type="pct"/>
            <w:tcBorders>
              <w:top w:val="single" w:sz="4" w:space="0" w:color="auto"/>
              <w:left w:val="single" w:sz="4" w:space="0" w:color="auto"/>
              <w:bottom w:val="single" w:sz="4" w:space="0" w:color="auto"/>
              <w:right w:val="single" w:sz="4" w:space="0" w:color="auto"/>
            </w:tcBorders>
            <w:hideMark/>
          </w:tcPr>
          <w:p w14:paraId="49E57101" w14:textId="77777777" w:rsidR="00B04492" w:rsidRPr="00FA2D18" w:rsidRDefault="00B04492" w:rsidP="00534FF5">
            <w:pPr>
              <w:spacing w:after="0" w:line="240" w:lineRule="auto"/>
              <w:jc w:val="center"/>
              <w:rPr>
                <w:rFonts w:ascii="Garamond" w:hAnsi="Garamond" w:cs="Times New Roman"/>
                <w:i/>
                <w:sz w:val="24"/>
                <w:szCs w:val="24"/>
                <w:lang w:eastAsia="sq-AL"/>
              </w:rPr>
            </w:pPr>
          </w:p>
        </w:tc>
      </w:tr>
      <w:tr w:rsidR="00FA2D18" w:rsidRPr="00FA2D18" w14:paraId="06FE2032" w14:textId="77777777" w:rsidTr="00534FF5">
        <w:trPr>
          <w:trHeight w:val="20"/>
          <w:tblCellSpacing w:w="0" w:type="dxa"/>
          <w:jc w:val="center"/>
        </w:trPr>
        <w:tc>
          <w:tcPr>
            <w:tcW w:w="1592" w:type="pct"/>
            <w:tcBorders>
              <w:top w:val="single" w:sz="4" w:space="0" w:color="auto"/>
              <w:left w:val="single" w:sz="4" w:space="0" w:color="auto"/>
              <w:bottom w:val="single" w:sz="4" w:space="0" w:color="auto"/>
              <w:right w:val="single" w:sz="4" w:space="0" w:color="auto"/>
            </w:tcBorders>
            <w:hideMark/>
          </w:tcPr>
          <w:p w14:paraId="17689E28" w14:textId="77777777" w:rsidR="00B04492" w:rsidRPr="00FA2D18" w:rsidRDefault="00B04492" w:rsidP="00534FF5">
            <w:pPr>
              <w:widowControl w:val="0"/>
              <w:autoSpaceDE w:val="0"/>
              <w:autoSpaceDN w:val="0"/>
              <w:spacing w:after="0" w:line="240" w:lineRule="auto"/>
              <w:jc w:val="both"/>
              <w:rPr>
                <w:rFonts w:ascii="Garamond" w:eastAsia="Times New Roman" w:hAnsi="Garamond" w:cs="Times New Roman"/>
                <w:i/>
                <w:sz w:val="24"/>
                <w:szCs w:val="24"/>
              </w:rPr>
            </w:pPr>
            <w:r w:rsidRPr="00FA2D18">
              <w:rPr>
                <w:rFonts w:ascii="Garamond" w:eastAsia="Times New Roman" w:hAnsi="Garamond" w:cs="Times New Roman"/>
                <w:i/>
                <w:sz w:val="24"/>
                <w:szCs w:val="24"/>
              </w:rPr>
              <w:t>Grupi A</w:t>
            </w:r>
            <w:r w:rsidRPr="00FA2D18" w:rsidDel="00BF41FD">
              <w:rPr>
                <w:rFonts w:ascii="Garamond" w:eastAsia="Times New Roman" w:hAnsi="Garamond" w:cs="Times New Roman"/>
                <w:i/>
                <w:sz w:val="24"/>
                <w:szCs w:val="24"/>
              </w:rPr>
              <w:t xml:space="preserve"> </w:t>
            </w:r>
            <w:r w:rsidRPr="00FA2D18">
              <w:rPr>
                <w:rFonts w:ascii="Garamond" w:eastAsia="Times New Roman" w:hAnsi="Garamond" w:cs="Times New Roman"/>
                <w:i/>
                <w:sz w:val="24"/>
                <w:szCs w:val="24"/>
              </w:rPr>
              <w:t>3, germa “f”</w:t>
            </w:r>
          </w:p>
        </w:tc>
        <w:tc>
          <w:tcPr>
            <w:tcW w:w="300" w:type="pct"/>
            <w:tcBorders>
              <w:top w:val="single" w:sz="4" w:space="0" w:color="auto"/>
              <w:left w:val="single" w:sz="4" w:space="0" w:color="auto"/>
              <w:bottom w:val="single" w:sz="4" w:space="0" w:color="auto"/>
              <w:right w:val="single" w:sz="4" w:space="0" w:color="auto"/>
            </w:tcBorders>
            <w:hideMark/>
          </w:tcPr>
          <w:p w14:paraId="23882CEB"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3A2FE952"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5B16C03C"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00" w:type="pct"/>
            <w:tcBorders>
              <w:top w:val="single" w:sz="4" w:space="0" w:color="auto"/>
              <w:left w:val="single" w:sz="4" w:space="0" w:color="auto"/>
              <w:bottom w:val="single" w:sz="4" w:space="0" w:color="auto"/>
              <w:right w:val="single" w:sz="4" w:space="0" w:color="auto"/>
            </w:tcBorders>
            <w:hideMark/>
          </w:tcPr>
          <w:p w14:paraId="12D9A8A6"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648" w:type="pct"/>
            <w:tcBorders>
              <w:top w:val="single" w:sz="4" w:space="0" w:color="auto"/>
              <w:left w:val="single" w:sz="4" w:space="0" w:color="auto"/>
              <w:bottom w:val="single" w:sz="4" w:space="0" w:color="auto"/>
              <w:right w:val="single" w:sz="4" w:space="0" w:color="auto"/>
            </w:tcBorders>
            <w:hideMark/>
          </w:tcPr>
          <w:p w14:paraId="43279C88"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p>
        </w:tc>
        <w:tc>
          <w:tcPr>
            <w:tcW w:w="550" w:type="pct"/>
            <w:tcBorders>
              <w:top w:val="single" w:sz="4" w:space="0" w:color="auto"/>
              <w:left w:val="single" w:sz="4" w:space="0" w:color="auto"/>
              <w:bottom w:val="single" w:sz="4" w:space="0" w:color="auto"/>
              <w:right w:val="single" w:sz="4" w:space="0" w:color="auto"/>
            </w:tcBorders>
            <w:hideMark/>
          </w:tcPr>
          <w:p w14:paraId="61ACD808"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317" w:type="pct"/>
            <w:tcBorders>
              <w:top w:val="single" w:sz="4" w:space="0" w:color="auto"/>
              <w:left w:val="single" w:sz="4" w:space="0" w:color="auto"/>
              <w:bottom w:val="single" w:sz="4" w:space="0" w:color="auto"/>
              <w:right w:val="single" w:sz="4" w:space="0" w:color="auto"/>
            </w:tcBorders>
            <w:hideMark/>
          </w:tcPr>
          <w:p w14:paraId="3EE8A7D0"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p>
        </w:tc>
        <w:tc>
          <w:tcPr>
            <w:tcW w:w="532" w:type="pct"/>
            <w:tcBorders>
              <w:top w:val="single" w:sz="4" w:space="0" w:color="auto"/>
              <w:left w:val="single" w:sz="4" w:space="0" w:color="auto"/>
              <w:bottom w:val="single" w:sz="4" w:space="0" w:color="auto"/>
              <w:right w:val="single" w:sz="4" w:space="0" w:color="auto"/>
            </w:tcBorders>
            <w:hideMark/>
          </w:tcPr>
          <w:p w14:paraId="7E7AA888"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50" w:type="pct"/>
            <w:tcBorders>
              <w:top w:val="single" w:sz="4" w:space="0" w:color="auto"/>
              <w:left w:val="single" w:sz="4" w:space="0" w:color="auto"/>
              <w:bottom w:val="single" w:sz="4" w:space="0" w:color="auto"/>
              <w:right w:val="single" w:sz="4" w:space="0" w:color="auto"/>
            </w:tcBorders>
            <w:hideMark/>
          </w:tcPr>
          <w:p w14:paraId="42A05EAB" w14:textId="77777777" w:rsidR="00B04492" w:rsidRPr="00FA2D18" w:rsidRDefault="00B04492" w:rsidP="00534FF5">
            <w:pPr>
              <w:widowControl w:val="0"/>
              <w:autoSpaceDE w:val="0"/>
              <w:autoSpaceDN w:val="0"/>
              <w:spacing w:after="0" w:line="240" w:lineRule="auto"/>
              <w:jc w:val="center"/>
              <w:rPr>
                <w:rFonts w:ascii="Garamond" w:eastAsia="Times New Roman" w:hAnsi="Garamond" w:cs="Times New Roman"/>
                <w:i/>
                <w:sz w:val="24"/>
                <w:szCs w:val="24"/>
              </w:rPr>
            </w:pPr>
            <w:r w:rsidRPr="00FA2D18">
              <w:rPr>
                <w:rFonts w:ascii="Garamond" w:eastAsia="Times New Roman" w:hAnsi="Garamond" w:cs="Times New Roman"/>
                <w:i/>
                <w:sz w:val="24"/>
                <w:szCs w:val="24"/>
              </w:rPr>
              <w:t>X</w:t>
            </w:r>
          </w:p>
        </w:tc>
        <w:tc>
          <w:tcPr>
            <w:tcW w:w="211" w:type="pct"/>
            <w:tcBorders>
              <w:top w:val="single" w:sz="4" w:space="0" w:color="auto"/>
              <w:left w:val="single" w:sz="4" w:space="0" w:color="auto"/>
              <w:bottom w:val="single" w:sz="4" w:space="0" w:color="auto"/>
              <w:right w:val="single" w:sz="4" w:space="0" w:color="auto"/>
            </w:tcBorders>
            <w:hideMark/>
          </w:tcPr>
          <w:p w14:paraId="1D5CAA4D" w14:textId="77777777" w:rsidR="00B04492" w:rsidRPr="00FA2D18" w:rsidRDefault="00B04492" w:rsidP="00534FF5">
            <w:pPr>
              <w:spacing w:after="0" w:line="240" w:lineRule="auto"/>
              <w:jc w:val="center"/>
              <w:rPr>
                <w:rFonts w:ascii="Garamond" w:hAnsi="Garamond" w:cs="Times New Roman"/>
                <w:i/>
                <w:sz w:val="24"/>
                <w:szCs w:val="24"/>
              </w:rPr>
            </w:pPr>
          </w:p>
        </w:tc>
      </w:tr>
      <w:tr w:rsidR="00FA2D18" w:rsidRPr="00FA2D18" w14:paraId="72D5B750" w14:textId="77777777" w:rsidTr="00534FF5">
        <w:trPr>
          <w:trHeight w:val="20"/>
          <w:tblCellSpacing w:w="0" w:type="dxa"/>
          <w:jc w:val="center"/>
        </w:trPr>
        <w:tc>
          <w:tcPr>
            <w:tcW w:w="1592" w:type="pct"/>
            <w:tcBorders>
              <w:top w:val="single" w:sz="4" w:space="0" w:color="auto"/>
              <w:left w:val="single" w:sz="4" w:space="0" w:color="auto"/>
              <w:bottom w:val="single" w:sz="4" w:space="0" w:color="auto"/>
              <w:right w:val="single" w:sz="4" w:space="0" w:color="auto"/>
            </w:tcBorders>
            <w:hideMark/>
          </w:tcPr>
          <w:p w14:paraId="5E25D7EF" w14:textId="77777777" w:rsidR="00B04492" w:rsidRPr="00FA2D18" w:rsidRDefault="00B04492" w:rsidP="00534FF5">
            <w:pPr>
              <w:widowControl w:val="0"/>
              <w:autoSpaceDE w:val="0"/>
              <w:autoSpaceDN w:val="0"/>
              <w:spacing w:after="0" w:line="240" w:lineRule="auto"/>
              <w:jc w:val="both"/>
              <w:rPr>
                <w:rFonts w:ascii="Garamond" w:eastAsia="Times New Roman" w:hAnsi="Garamond" w:cs="Times New Roman"/>
                <w:i/>
                <w:sz w:val="24"/>
                <w:szCs w:val="24"/>
              </w:rPr>
            </w:pPr>
            <w:r w:rsidRPr="00FA2D18">
              <w:rPr>
                <w:rFonts w:ascii="Garamond" w:eastAsia="Times New Roman" w:hAnsi="Garamond" w:cs="Times New Roman"/>
                <w:i/>
                <w:sz w:val="24"/>
                <w:szCs w:val="24"/>
              </w:rPr>
              <w:t>Grupi A</w:t>
            </w:r>
            <w:r w:rsidRPr="00FA2D18" w:rsidDel="00BF41FD">
              <w:rPr>
                <w:rFonts w:ascii="Garamond" w:eastAsia="Times New Roman" w:hAnsi="Garamond" w:cs="Times New Roman"/>
                <w:i/>
                <w:sz w:val="24"/>
                <w:szCs w:val="24"/>
              </w:rPr>
              <w:t xml:space="preserve"> </w:t>
            </w:r>
            <w:r w:rsidRPr="00FA2D18">
              <w:rPr>
                <w:rFonts w:ascii="Garamond" w:eastAsia="Times New Roman" w:hAnsi="Garamond" w:cs="Times New Roman"/>
                <w:i/>
                <w:sz w:val="24"/>
                <w:szCs w:val="24"/>
              </w:rPr>
              <w:t>3, germa “g”</w:t>
            </w:r>
          </w:p>
        </w:tc>
        <w:tc>
          <w:tcPr>
            <w:tcW w:w="300" w:type="pct"/>
            <w:tcBorders>
              <w:top w:val="single" w:sz="4" w:space="0" w:color="auto"/>
              <w:left w:val="single" w:sz="4" w:space="0" w:color="auto"/>
              <w:bottom w:val="single" w:sz="4" w:space="0" w:color="auto"/>
              <w:right w:val="single" w:sz="4" w:space="0" w:color="auto"/>
            </w:tcBorders>
            <w:hideMark/>
          </w:tcPr>
          <w:p w14:paraId="6CD9C762" w14:textId="77777777" w:rsidR="00B04492" w:rsidRPr="00FA2D18" w:rsidRDefault="00B04492" w:rsidP="00534FF5">
            <w:pPr>
              <w:spacing w:after="0" w:line="240" w:lineRule="auto"/>
              <w:jc w:val="center"/>
              <w:rPr>
                <w:rFonts w:ascii="Garamond" w:hAnsi="Garamond" w:cs="Times New Roman"/>
                <w:i/>
                <w:sz w:val="24"/>
                <w:szCs w:val="24"/>
              </w:rPr>
            </w:pPr>
          </w:p>
        </w:tc>
        <w:tc>
          <w:tcPr>
            <w:tcW w:w="200" w:type="pct"/>
            <w:tcBorders>
              <w:top w:val="single" w:sz="4" w:space="0" w:color="auto"/>
              <w:left w:val="single" w:sz="4" w:space="0" w:color="auto"/>
              <w:bottom w:val="single" w:sz="4" w:space="0" w:color="auto"/>
              <w:right w:val="single" w:sz="4" w:space="0" w:color="auto"/>
            </w:tcBorders>
            <w:hideMark/>
          </w:tcPr>
          <w:p w14:paraId="79C2F974"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200" w:type="pct"/>
            <w:tcBorders>
              <w:top w:val="single" w:sz="4" w:space="0" w:color="auto"/>
              <w:left w:val="single" w:sz="4" w:space="0" w:color="auto"/>
              <w:bottom w:val="single" w:sz="4" w:space="0" w:color="auto"/>
              <w:right w:val="single" w:sz="4" w:space="0" w:color="auto"/>
            </w:tcBorders>
            <w:hideMark/>
          </w:tcPr>
          <w:p w14:paraId="47E8C4E9"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200" w:type="pct"/>
            <w:tcBorders>
              <w:top w:val="single" w:sz="4" w:space="0" w:color="auto"/>
              <w:left w:val="single" w:sz="4" w:space="0" w:color="auto"/>
              <w:bottom w:val="single" w:sz="4" w:space="0" w:color="auto"/>
              <w:right w:val="single" w:sz="4" w:space="0" w:color="auto"/>
            </w:tcBorders>
            <w:hideMark/>
          </w:tcPr>
          <w:p w14:paraId="47D6FC88"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648" w:type="pct"/>
            <w:tcBorders>
              <w:top w:val="single" w:sz="4" w:space="0" w:color="auto"/>
              <w:left w:val="single" w:sz="4" w:space="0" w:color="auto"/>
              <w:bottom w:val="single" w:sz="4" w:space="0" w:color="auto"/>
              <w:right w:val="single" w:sz="4" w:space="0" w:color="auto"/>
            </w:tcBorders>
            <w:hideMark/>
          </w:tcPr>
          <w:p w14:paraId="1DA2B7BD"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550" w:type="pct"/>
            <w:tcBorders>
              <w:top w:val="single" w:sz="4" w:space="0" w:color="auto"/>
              <w:left w:val="single" w:sz="4" w:space="0" w:color="auto"/>
              <w:bottom w:val="single" w:sz="4" w:space="0" w:color="auto"/>
              <w:right w:val="single" w:sz="4" w:space="0" w:color="auto"/>
            </w:tcBorders>
            <w:hideMark/>
          </w:tcPr>
          <w:p w14:paraId="066F8855"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317" w:type="pct"/>
            <w:tcBorders>
              <w:top w:val="single" w:sz="4" w:space="0" w:color="auto"/>
              <w:left w:val="single" w:sz="4" w:space="0" w:color="auto"/>
              <w:bottom w:val="single" w:sz="4" w:space="0" w:color="auto"/>
              <w:right w:val="single" w:sz="4" w:space="0" w:color="auto"/>
            </w:tcBorders>
            <w:hideMark/>
          </w:tcPr>
          <w:p w14:paraId="7FCDE0F8"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532" w:type="pct"/>
            <w:tcBorders>
              <w:top w:val="single" w:sz="4" w:space="0" w:color="auto"/>
              <w:left w:val="single" w:sz="4" w:space="0" w:color="auto"/>
              <w:bottom w:val="single" w:sz="4" w:space="0" w:color="auto"/>
              <w:right w:val="single" w:sz="4" w:space="0" w:color="auto"/>
            </w:tcBorders>
            <w:hideMark/>
          </w:tcPr>
          <w:p w14:paraId="183C7DDC"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250" w:type="pct"/>
            <w:tcBorders>
              <w:top w:val="single" w:sz="4" w:space="0" w:color="auto"/>
              <w:left w:val="single" w:sz="4" w:space="0" w:color="auto"/>
              <w:bottom w:val="single" w:sz="4" w:space="0" w:color="auto"/>
              <w:right w:val="single" w:sz="4" w:space="0" w:color="auto"/>
            </w:tcBorders>
            <w:hideMark/>
          </w:tcPr>
          <w:p w14:paraId="63B52CD3"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211" w:type="pct"/>
            <w:tcBorders>
              <w:top w:val="single" w:sz="4" w:space="0" w:color="auto"/>
              <w:left w:val="single" w:sz="4" w:space="0" w:color="auto"/>
              <w:bottom w:val="single" w:sz="4" w:space="0" w:color="auto"/>
              <w:right w:val="single" w:sz="4" w:space="0" w:color="auto"/>
            </w:tcBorders>
            <w:hideMark/>
          </w:tcPr>
          <w:p w14:paraId="38857491" w14:textId="77777777" w:rsidR="00B04492" w:rsidRPr="00FA2D18" w:rsidRDefault="00B04492" w:rsidP="00534FF5">
            <w:pPr>
              <w:spacing w:after="0" w:line="240" w:lineRule="auto"/>
              <w:jc w:val="center"/>
              <w:rPr>
                <w:rFonts w:ascii="Garamond" w:hAnsi="Garamond" w:cs="Times New Roman"/>
                <w:i/>
                <w:sz w:val="24"/>
                <w:szCs w:val="24"/>
                <w:lang w:eastAsia="sq-AL"/>
              </w:rPr>
            </w:pPr>
          </w:p>
        </w:tc>
      </w:tr>
      <w:tr w:rsidR="00FA2D18" w:rsidRPr="00FA2D18" w14:paraId="22F1426A" w14:textId="77777777" w:rsidTr="00534FF5">
        <w:trPr>
          <w:trHeight w:val="20"/>
          <w:tblCellSpacing w:w="0" w:type="dxa"/>
          <w:jc w:val="center"/>
        </w:trPr>
        <w:tc>
          <w:tcPr>
            <w:tcW w:w="5000" w:type="pct"/>
            <w:gridSpan w:val="11"/>
            <w:tcBorders>
              <w:top w:val="single" w:sz="4" w:space="0" w:color="auto"/>
              <w:left w:val="single" w:sz="4" w:space="0" w:color="auto"/>
              <w:bottom w:val="single" w:sz="4" w:space="0" w:color="auto"/>
              <w:right w:val="single" w:sz="4" w:space="0" w:color="auto"/>
            </w:tcBorders>
          </w:tcPr>
          <w:p w14:paraId="0BE673B3" w14:textId="77777777" w:rsidR="00B04492" w:rsidRPr="00FA2D18" w:rsidRDefault="00B04492" w:rsidP="00B04492">
            <w:pPr>
              <w:pStyle w:val="ListParagraph"/>
              <w:numPr>
                <w:ilvl w:val="0"/>
                <w:numId w:val="27"/>
              </w:numPr>
              <w:tabs>
                <w:tab w:val="left" w:pos="210"/>
              </w:tabs>
              <w:spacing w:after="0" w:line="240" w:lineRule="auto"/>
              <w:ind w:left="0" w:firstLine="0"/>
              <w:jc w:val="both"/>
              <w:rPr>
                <w:rFonts w:ascii="Garamond" w:hAnsi="Garamond" w:cs="Times New Roman"/>
                <w:i/>
                <w:sz w:val="24"/>
                <w:szCs w:val="24"/>
                <w:lang w:eastAsia="sq-AL"/>
              </w:rPr>
            </w:pPr>
            <w:r w:rsidRPr="00FA2D18">
              <w:rPr>
                <w:rFonts w:ascii="Garamond" w:hAnsi="Garamond" w:cs="Times New Roman"/>
                <w:i/>
                <w:sz w:val="24"/>
                <w:szCs w:val="24"/>
                <w:lang w:eastAsia="sq-AL"/>
              </w:rPr>
              <w:t>E vlefshme vetëm për peshqit</w:t>
            </w:r>
          </w:p>
        </w:tc>
      </w:tr>
    </w:tbl>
    <w:p w14:paraId="564162F7" w14:textId="77777777" w:rsidR="00F154C2" w:rsidRPr="00FA2D18" w:rsidRDefault="00F154C2" w:rsidP="006B6C51">
      <w:pPr>
        <w:autoSpaceDE w:val="0"/>
        <w:autoSpaceDN w:val="0"/>
        <w:adjustRightInd w:val="0"/>
        <w:spacing w:after="0" w:line="240" w:lineRule="auto"/>
        <w:ind w:firstLine="284"/>
        <w:jc w:val="both"/>
        <w:rPr>
          <w:rFonts w:ascii="Garamond" w:eastAsiaTheme="minorHAnsi" w:hAnsi="Garamond" w:cs="Times New Roman"/>
          <w:sz w:val="24"/>
          <w:szCs w:val="24"/>
        </w:rPr>
      </w:pPr>
    </w:p>
    <w:p w14:paraId="383D0DF7" w14:textId="7DF11C91" w:rsidR="006B6C51" w:rsidRPr="00FA2D18" w:rsidRDefault="006B6C51" w:rsidP="007348A0">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w:t>
      </w:r>
      <w:r w:rsidR="000E0E9D" w:rsidRPr="00FA2D18">
        <w:rPr>
          <w:rFonts w:ascii="Garamond" w:eastAsiaTheme="minorHAnsi" w:hAnsi="Garamond" w:cs="Times New Roman"/>
          <w:sz w:val="24"/>
          <w:szCs w:val="24"/>
        </w:rPr>
        <w:t xml:space="preserve"> </w:t>
      </w:r>
      <w:r w:rsidR="007348A0" w:rsidRPr="00FA2D18">
        <w:rPr>
          <w:rFonts w:ascii="Garamond" w:eastAsiaTheme="minorHAnsi" w:hAnsi="Garamond" w:cs="Times New Roman"/>
          <w:sz w:val="24"/>
          <w:szCs w:val="24"/>
        </w:rPr>
        <w:t xml:space="preserve">mbetjet </w:t>
      </w:r>
      <w:r w:rsidR="00440022" w:rsidRPr="00FA2D18">
        <w:rPr>
          <w:rFonts w:ascii="Garamond" w:eastAsiaTheme="minorHAnsi" w:hAnsi="Garamond" w:cs="Times New Roman"/>
          <w:sz w:val="24"/>
          <w:szCs w:val="24"/>
        </w:rPr>
        <w:t>ose grup-</w:t>
      </w:r>
      <w:r w:rsidRPr="00FA2D18">
        <w:rPr>
          <w:rFonts w:ascii="Garamond" w:eastAsiaTheme="minorHAnsi" w:hAnsi="Garamond" w:cs="Times New Roman"/>
          <w:sz w:val="24"/>
          <w:szCs w:val="24"/>
        </w:rPr>
        <w:t>substancat duhet të analizohen në kampione të marra nga kafshë që prodhojnë ushqim, kur është e nevojshme, nga ekskretimet e tyre, lën</w:t>
      </w:r>
      <w:r w:rsidR="00941784" w:rsidRPr="00FA2D18">
        <w:rPr>
          <w:rFonts w:ascii="Garamond" w:eastAsiaTheme="minorHAnsi" w:hAnsi="Garamond" w:cs="Times New Roman"/>
          <w:sz w:val="24"/>
          <w:szCs w:val="24"/>
        </w:rPr>
        <w:t>gjet trupore dhe produktet e pa</w:t>
      </w:r>
      <w:r w:rsidRPr="00FA2D18">
        <w:rPr>
          <w:rFonts w:ascii="Garamond" w:eastAsiaTheme="minorHAnsi" w:hAnsi="Garamond" w:cs="Times New Roman"/>
          <w:sz w:val="24"/>
          <w:szCs w:val="24"/>
        </w:rPr>
        <w:t>përpunuara me origjinë shtazore, ushqimet për kafshë, ujë dhe nënprodukte me origjinë shtazore</w:t>
      </w:r>
      <w:r w:rsidR="007348A0" w:rsidRPr="00FA2D18">
        <w:rPr>
          <w:rFonts w:ascii="Garamond" w:eastAsiaTheme="minorHAnsi" w:hAnsi="Garamond" w:cs="Times New Roman"/>
          <w:sz w:val="24"/>
          <w:szCs w:val="24"/>
        </w:rPr>
        <w:t>;</w:t>
      </w:r>
    </w:p>
    <w:p w14:paraId="194D80C5" w14:textId="6E8D23A0" w:rsidR="006B6C51" w:rsidRPr="00FA2D18" w:rsidRDefault="006B6C51" w:rsidP="00EE64C6">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ii.</w:t>
      </w:r>
      <w:r w:rsidR="000E0E9D" w:rsidRPr="00FA2D18">
        <w:rPr>
          <w:rFonts w:ascii="Garamond" w:eastAsiaTheme="minorHAnsi" w:hAnsi="Garamond" w:cs="Times New Roman"/>
          <w:sz w:val="24"/>
          <w:szCs w:val="24"/>
        </w:rPr>
        <w:t xml:space="preserve"> </w:t>
      </w:r>
      <w:r w:rsidR="007348A0" w:rsidRPr="00FA2D18">
        <w:rPr>
          <w:rFonts w:ascii="Garamond" w:eastAsiaTheme="minorHAnsi" w:hAnsi="Garamond" w:cs="Times New Roman"/>
          <w:sz w:val="24"/>
          <w:szCs w:val="24"/>
        </w:rPr>
        <w:t xml:space="preserve">atëherë </w:t>
      </w:r>
      <w:r w:rsidRPr="00FA2D18">
        <w:rPr>
          <w:rFonts w:ascii="Garamond" w:eastAsiaTheme="minorHAnsi" w:hAnsi="Garamond" w:cs="Times New Roman"/>
          <w:sz w:val="24"/>
          <w:szCs w:val="24"/>
        </w:rPr>
        <w:t>kur ka dyshime ose raste lidhur me trajtime të jashtëligjshme për mbetjet ose grupet e substancave në specie ose produktet që nuk janë të shënuara në tabelën e këtij aneksi, këto kontrolle duhet të jenë të përfshira edhe në planet e kontrollit të prodhimit të bazuar në risk.</w:t>
      </w:r>
    </w:p>
    <w:p w14:paraId="5800EF8E" w14:textId="707382AA" w:rsidR="006B6C51" w:rsidRPr="00FA2D18" w:rsidRDefault="00F140AB" w:rsidP="006B6C51">
      <w:pPr>
        <w:autoSpaceDE w:val="0"/>
        <w:autoSpaceDN w:val="0"/>
        <w:adjustRightInd w:val="0"/>
        <w:spacing w:after="0" w:line="240" w:lineRule="auto"/>
        <w:ind w:firstLine="284"/>
        <w:jc w:val="both"/>
        <w:rPr>
          <w:rFonts w:ascii="Garamond" w:eastAsiaTheme="minorHAnsi" w:hAnsi="Garamond" w:cs="Times New Roman"/>
          <w:b/>
          <w:bCs/>
          <w:sz w:val="24"/>
          <w:szCs w:val="24"/>
        </w:rPr>
      </w:pPr>
      <w:r w:rsidRPr="00FA2D18">
        <w:rPr>
          <w:rFonts w:ascii="Garamond" w:eastAsiaTheme="minorHAnsi" w:hAnsi="Garamond" w:cs="Times New Roman"/>
          <w:b/>
          <w:bCs/>
          <w:sz w:val="24"/>
          <w:szCs w:val="24"/>
        </w:rPr>
        <w:t>2</w:t>
      </w:r>
      <w:r w:rsidR="006B6C51" w:rsidRPr="00FA2D18">
        <w:rPr>
          <w:rFonts w:ascii="Garamond" w:eastAsiaTheme="minorHAnsi" w:hAnsi="Garamond" w:cs="Times New Roman"/>
          <w:b/>
          <w:bCs/>
          <w:sz w:val="24"/>
          <w:szCs w:val="24"/>
        </w:rPr>
        <w:t>.</w:t>
      </w:r>
      <w:r w:rsidR="000E0E9D" w:rsidRPr="00FA2D18">
        <w:rPr>
          <w:rFonts w:ascii="Garamond" w:eastAsiaTheme="minorHAnsi" w:hAnsi="Garamond" w:cs="Times New Roman"/>
          <w:b/>
          <w:bCs/>
          <w:sz w:val="24"/>
          <w:szCs w:val="24"/>
        </w:rPr>
        <w:t xml:space="preserve"> </w:t>
      </w:r>
      <w:r w:rsidR="006B6C51" w:rsidRPr="00FA2D18">
        <w:rPr>
          <w:rFonts w:ascii="Garamond" w:eastAsiaTheme="minorHAnsi" w:hAnsi="Garamond" w:cs="Times New Roman"/>
          <w:b/>
          <w:bCs/>
          <w:sz w:val="24"/>
          <w:szCs w:val="24"/>
        </w:rPr>
        <w:t>Kriteret për përzgjedhjen e substancave specifike për testim brenda secilit grup substancash:</w:t>
      </w:r>
    </w:p>
    <w:p w14:paraId="36F304C3" w14:textId="205408E5" w:rsidR="006B6C51" w:rsidRPr="00FA2D18" w:rsidRDefault="006B6C51" w:rsidP="00D910FC">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 xml:space="preserve">frekuenca e gjetjes së rasteve jokonforme ose të rasteve të rezultateve të raportuara nga </w:t>
      </w:r>
      <w:r w:rsidR="00D910FC" w:rsidRPr="00FA2D18">
        <w:rPr>
          <w:rFonts w:ascii="Garamond" w:eastAsiaTheme="minorHAnsi" w:hAnsi="Garamond" w:cs="Times New Roman"/>
          <w:sz w:val="24"/>
          <w:szCs w:val="24"/>
        </w:rPr>
        <w:t xml:space="preserve">sistemi </w:t>
      </w:r>
      <w:r w:rsidRPr="00FA2D18">
        <w:rPr>
          <w:rFonts w:ascii="Garamond" w:eastAsiaTheme="minorHAnsi" w:hAnsi="Garamond" w:cs="Times New Roman"/>
          <w:sz w:val="24"/>
          <w:szCs w:val="24"/>
        </w:rPr>
        <w:t>i njoftimit të shpejtë për ushqimin dhe ushqimin për kafshë (RASFF) ose atëherë kur është provuar përdorimi i sub</w:t>
      </w:r>
      <w:r w:rsidR="00A27C8B" w:rsidRPr="00FA2D18">
        <w:rPr>
          <w:rFonts w:ascii="Garamond" w:eastAsiaTheme="minorHAnsi" w:hAnsi="Garamond" w:cs="Times New Roman"/>
          <w:sz w:val="24"/>
          <w:szCs w:val="24"/>
        </w:rPr>
        <w:t>stancave të pa</w:t>
      </w:r>
      <w:r w:rsidRPr="00FA2D18">
        <w:rPr>
          <w:rFonts w:ascii="Garamond" w:eastAsiaTheme="minorHAnsi" w:hAnsi="Garamond" w:cs="Times New Roman"/>
          <w:sz w:val="24"/>
          <w:szCs w:val="24"/>
        </w:rPr>
        <w:t>autorizuara për përdorim në kafshët e destinuara për prodhimin e ushqimeve;</w:t>
      </w:r>
    </w:p>
    <w:p w14:paraId="240A6F14" w14:textId="31E6A891" w:rsidR="006B6C51" w:rsidRPr="00FA2D18" w:rsidRDefault="006B6C51" w:rsidP="00A27C8B">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lastRenderedPageBreak/>
        <w:t>ii.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disponushmëria e metodave laboratorike të përshtatshme</w:t>
      </w:r>
      <w:r w:rsidR="00A27C8B"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si dhe e standardeve analitik</w:t>
      </w:r>
      <w:r w:rsidR="00A27C8B" w:rsidRPr="00FA2D18">
        <w:rPr>
          <w:rFonts w:ascii="Garamond" w:eastAsiaTheme="minorHAnsi" w:hAnsi="Garamond" w:cs="Times New Roman"/>
          <w:sz w:val="24"/>
          <w:szCs w:val="24"/>
        </w:rPr>
        <w:t>e</w:t>
      </w:r>
      <w:r w:rsidRPr="00FA2D18">
        <w:rPr>
          <w:rFonts w:ascii="Garamond" w:eastAsiaTheme="minorHAnsi" w:hAnsi="Garamond" w:cs="Times New Roman"/>
          <w:sz w:val="24"/>
          <w:szCs w:val="24"/>
        </w:rPr>
        <w:t>;</w:t>
      </w:r>
    </w:p>
    <w:p w14:paraId="3F541B9F" w14:textId="78DD873B"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iii.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substancat farmakologjikisht aktive</w:t>
      </w:r>
      <w:r w:rsidR="00A27C8B"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që mund të përdoren në mënyrë jo të ligjshme për të rritur prodhimin ose efikasitetin e prodhimtarisë ushqimore;</w:t>
      </w:r>
    </w:p>
    <w:p w14:paraId="18B475EF" w14:textId="5CC06BB7" w:rsidR="006B6C51" w:rsidRPr="00FA2D18" w:rsidRDefault="006B6C51" w:rsidP="00A27C8B">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iv.</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substanca të ndaluara ose të paautorizuara</w:t>
      </w:r>
      <w:r w:rsidR="00A27C8B"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që rezultojnë të përdorura në mënyrë të jashtëligjshme;</w:t>
      </w:r>
    </w:p>
    <w:p w14:paraId="5E1D1D20" w14:textId="493CD6D4" w:rsidR="006B6C51" w:rsidRPr="00FA2D18" w:rsidRDefault="006B6C51" w:rsidP="00A27C8B">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v.</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risku i mundshëm për konsumatorët ose grupe të caktuara të popullatës</w:t>
      </w:r>
      <w:r w:rsidR="00A27C8B"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që rezultojnë të kenë konsumuar ushqime me prezencë të mbetjeve</w:t>
      </w:r>
      <w:r w:rsidR="00A27C8B"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duke mbajtur parasysh informacionet përkatëse</w:t>
      </w:r>
      <w:r w:rsidR="00A27C8B"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që janë vënë në dispozicion edhe nga organizatat ndërkombëtare të sigurisë ushqimore</w:t>
      </w:r>
      <w:r w:rsidR="00A27C8B"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sipas marrëveshjeve përkatëse, ndër të tjera nga Agjencia Evropiane Medikamenteve, Autoriteti Evropian për sigurinë ushqimore dhe nga Komiteti ndihmës i ekspert</w:t>
      </w:r>
      <w:r w:rsidR="00A27C8B" w:rsidRPr="00FA2D18">
        <w:rPr>
          <w:rFonts w:ascii="Garamond" w:eastAsiaTheme="minorHAnsi" w:hAnsi="Garamond" w:cs="Times New Roman"/>
          <w:sz w:val="24"/>
          <w:szCs w:val="24"/>
        </w:rPr>
        <w:t>ë</w:t>
      </w:r>
      <w:r w:rsidRPr="00FA2D18">
        <w:rPr>
          <w:rFonts w:ascii="Garamond" w:eastAsiaTheme="minorHAnsi" w:hAnsi="Garamond" w:cs="Times New Roman"/>
          <w:sz w:val="24"/>
          <w:szCs w:val="24"/>
        </w:rPr>
        <w:t xml:space="preserve">ve të </w:t>
      </w:r>
      <w:r w:rsidRPr="00FA2D18">
        <w:rPr>
          <w:rFonts w:ascii="Garamond" w:eastAsiaTheme="minorHAnsi" w:hAnsi="Garamond" w:cs="Times New Roman"/>
          <w:i/>
          <w:iCs/>
          <w:sz w:val="24"/>
          <w:szCs w:val="24"/>
        </w:rPr>
        <w:t xml:space="preserve">Codex Alimentarius </w:t>
      </w:r>
      <w:r w:rsidRPr="00FA2D18">
        <w:rPr>
          <w:rFonts w:ascii="Garamond" w:eastAsiaTheme="minorHAnsi" w:hAnsi="Garamond" w:cs="Times New Roman"/>
          <w:sz w:val="24"/>
          <w:szCs w:val="24"/>
        </w:rPr>
        <w:t xml:space="preserve">mbi aditivët ose në mungesë të këtyre informacioneve, nga burime të tjera të informacionit që janë botuar në botimet shkencore ose nga vlerësimi kombëtar i riskut. </w:t>
      </w:r>
    </w:p>
    <w:p w14:paraId="1DF34385" w14:textId="34039FD7" w:rsidR="006B6C51" w:rsidRPr="00FA2D18" w:rsidRDefault="00F140AB" w:rsidP="006B6C51">
      <w:pPr>
        <w:autoSpaceDE w:val="0"/>
        <w:autoSpaceDN w:val="0"/>
        <w:adjustRightInd w:val="0"/>
        <w:spacing w:after="0" w:line="240" w:lineRule="auto"/>
        <w:ind w:firstLine="284"/>
        <w:jc w:val="both"/>
        <w:rPr>
          <w:rFonts w:ascii="Garamond" w:eastAsiaTheme="minorHAnsi" w:hAnsi="Garamond" w:cs="Times New Roman"/>
          <w:b/>
          <w:bCs/>
          <w:sz w:val="24"/>
          <w:szCs w:val="24"/>
        </w:rPr>
      </w:pPr>
      <w:r w:rsidRPr="00FA2D18">
        <w:rPr>
          <w:rFonts w:ascii="Garamond" w:eastAsiaTheme="minorHAnsi" w:hAnsi="Garamond" w:cs="Times New Roman"/>
          <w:b/>
          <w:bCs/>
          <w:sz w:val="24"/>
          <w:szCs w:val="24"/>
        </w:rPr>
        <w:t>3</w:t>
      </w:r>
      <w:r w:rsidR="006B6C51" w:rsidRPr="00FA2D18">
        <w:rPr>
          <w:rFonts w:ascii="Garamond" w:eastAsiaTheme="minorHAnsi" w:hAnsi="Garamond" w:cs="Times New Roman"/>
          <w:b/>
          <w:bCs/>
          <w:sz w:val="24"/>
          <w:szCs w:val="24"/>
        </w:rPr>
        <w:t>.</w:t>
      </w:r>
      <w:r w:rsidR="000E0E9D" w:rsidRPr="00FA2D18">
        <w:rPr>
          <w:rFonts w:ascii="Garamond" w:eastAsiaTheme="minorHAnsi" w:hAnsi="Garamond" w:cs="Times New Roman"/>
          <w:b/>
          <w:bCs/>
          <w:sz w:val="24"/>
          <w:szCs w:val="24"/>
        </w:rPr>
        <w:t xml:space="preserve"> </w:t>
      </w:r>
      <w:r w:rsidR="006B6C51" w:rsidRPr="00FA2D18">
        <w:rPr>
          <w:rFonts w:ascii="Garamond" w:eastAsiaTheme="minorHAnsi" w:hAnsi="Garamond" w:cs="Times New Roman"/>
          <w:b/>
          <w:bCs/>
          <w:sz w:val="24"/>
          <w:szCs w:val="24"/>
        </w:rPr>
        <w:t xml:space="preserve">Kritere për përzgjedhjen e kafshëve dhe </w:t>
      </w:r>
      <w:r w:rsidR="00A27C8B" w:rsidRPr="00FA2D18">
        <w:rPr>
          <w:rFonts w:ascii="Garamond" w:eastAsiaTheme="minorHAnsi" w:hAnsi="Garamond" w:cs="Times New Roman"/>
          <w:b/>
          <w:bCs/>
          <w:sz w:val="24"/>
          <w:szCs w:val="24"/>
        </w:rPr>
        <w:t xml:space="preserve">të </w:t>
      </w:r>
      <w:r w:rsidR="006B6C51" w:rsidRPr="00FA2D18">
        <w:rPr>
          <w:rFonts w:ascii="Garamond" w:eastAsiaTheme="minorHAnsi" w:hAnsi="Garamond" w:cs="Times New Roman"/>
          <w:b/>
          <w:bCs/>
          <w:sz w:val="24"/>
          <w:szCs w:val="24"/>
        </w:rPr>
        <w:t xml:space="preserve">produkteve me origjinë shtazore: </w:t>
      </w:r>
    </w:p>
    <w:p w14:paraId="18721891" w14:textId="379C99A7" w:rsidR="006B6C51" w:rsidRPr="00FA2D18" w:rsidRDefault="006B6C51" w:rsidP="007348A0">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w:t>
      </w:r>
      <w:r w:rsidR="00C35C1E"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gjetjet që u përkasin përdorimit të substancave farmakologjikisht aktive specifike, përfshirë prerjen e veshëve ose të bishtit ose prezenca e vendeve të injektimit;</w:t>
      </w:r>
    </w:p>
    <w:p w14:paraId="6C251E95" w14:textId="48AC6FDA"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karakteristika dytësore të lidhura me gjininë, ndryshime të sjelljes, shenja të sëmundjeve ose të patologjive kronike, gjendjet shëndetësore të ndryshme të gjetura në kafshë të veçanta në brendësi të një grupi kafshësh;</w:t>
      </w:r>
    </w:p>
    <w:p w14:paraId="671324E6" w14:textId="6838FF22"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iii.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seksi, mosha dhe gjendja e mbarsmërisë së kafshëve;</w:t>
      </w:r>
    </w:p>
    <w:p w14:paraId="647B859C" w14:textId="46DE2F93"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iv.</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historia mjekësorë veterinare e kafshëve dhe certifikata shëndetësore;</w:t>
      </w:r>
    </w:p>
    <w:p w14:paraId="71C1ADC0" w14:textId="60485779"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v.</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kafshë që shfaqin një zhvillim të mirë fizik, muskuj të zhvilluar mirë dhe me pak dhjam.</w:t>
      </w:r>
    </w:p>
    <w:p w14:paraId="2E339729" w14:textId="206BFDF5"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b/>
          <w:bCs/>
          <w:i/>
          <w:iCs/>
          <w:sz w:val="24"/>
          <w:szCs w:val="24"/>
        </w:rPr>
      </w:pPr>
      <w:r w:rsidRPr="00FA2D18">
        <w:rPr>
          <w:rFonts w:ascii="Garamond" w:eastAsiaTheme="minorHAnsi" w:hAnsi="Garamond" w:cs="Times New Roman"/>
          <w:b/>
          <w:bCs/>
          <w:i/>
          <w:iCs/>
          <w:sz w:val="24"/>
          <w:szCs w:val="24"/>
        </w:rPr>
        <w:t>B.</w:t>
      </w:r>
      <w:r w:rsidR="00F140AB" w:rsidRPr="00FA2D18">
        <w:rPr>
          <w:rFonts w:ascii="Garamond" w:eastAsiaTheme="minorHAnsi" w:hAnsi="Garamond" w:cs="Times New Roman"/>
          <w:b/>
          <w:bCs/>
          <w:i/>
          <w:iCs/>
          <w:sz w:val="24"/>
          <w:szCs w:val="24"/>
        </w:rPr>
        <w:t xml:space="preserve"> </w:t>
      </w:r>
      <w:r w:rsidR="00235758" w:rsidRPr="00FA2D18">
        <w:rPr>
          <w:rFonts w:ascii="Garamond" w:eastAsiaTheme="minorHAnsi" w:hAnsi="Garamond" w:cs="Times New Roman"/>
          <w:b/>
          <w:bCs/>
          <w:i/>
          <w:iCs/>
          <w:sz w:val="24"/>
          <w:szCs w:val="24"/>
        </w:rPr>
        <w:t>Substanca të grupit B</w:t>
      </w:r>
    </w:p>
    <w:p w14:paraId="0C3AD5D7" w14:textId="7A930C4F"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b/>
          <w:bCs/>
          <w:sz w:val="24"/>
          <w:szCs w:val="24"/>
        </w:rPr>
        <w:t>1.</w:t>
      </w:r>
      <w:r w:rsidR="000E0E9D" w:rsidRPr="00FA2D18">
        <w:rPr>
          <w:rFonts w:ascii="Garamond" w:eastAsiaTheme="minorHAnsi" w:hAnsi="Garamond" w:cs="Times New Roman"/>
          <w:b/>
          <w:bCs/>
          <w:sz w:val="24"/>
          <w:szCs w:val="24"/>
        </w:rPr>
        <w:t xml:space="preserve"> </w:t>
      </w:r>
      <w:r w:rsidRPr="00FA2D18">
        <w:rPr>
          <w:rFonts w:ascii="Garamond" w:eastAsiaTheme="minorHAnsi" w:hAnsi="Garamond" w:cs="Times New Roman"/>
          <w:b/>
          <w:bCs/>
          <w:sz w:val="24"/>
          <w:szCs w:val="24"/>
        </w:rPr>
        <w:t>Kritere për përzgjedhjen e substancave specifike për qëllimet e kontrollit që i përkasin secilit grup të substancave</w:t>
      </w:r>
      <w:r w:rsidRPr="00FA2D18">
        <w:rPr>
          <w:rFonts w:ascii="Garamond" w:eastAsiaTheme="minorHAnsi" w:hAnsi="Garamond" w:cs="Times New Roman"/>
          <w:sz w:val="24"/>
          <w:szCs w:val="24"/>
        </w:rPr>
        <w:t>:</w:t>
      </w:r>
    </w:p>
    <w:p w14:paraId="482A59B2" w14:textId="1BDA1D4A"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fr</w:t>
      </w:r>
      <w:r w:rsidR="00235758" w:rsidRPr="00FA2D18">
        <w:rPr>
          <w:rFonts w:ascii="Garamond" w:eastAsiaTheme="minorHAnsi" w:hAnsi="Garamond" w:cs="Times New Roman"/>
          <w:sz w:val="24"/>
          <w:szCs w:val="24"/>
        </w:rPr>
        <w:t>ekuenca e gjetjes së rasteve jo</w:t>
      </w:r>
      <w:r w:rsidRPr="00FA2D18">
        <w:rPr>
          <w:rFonts w:ascii="Garamond" w:eastAsiaTheme="minorHAnsi" w:hAnsi="Garamond" w:cs="Times New Roman"/>
          <w:sz w:val="24"/>
          <w:szCs w:val="24"/>
        </w:rPr>
        <w:t>konform</w:t>
      </w:r>
      <w:r w:rsidR="00235758" w:rsidRPr="00FA2D18">
        <w:rPr>
          <w:rFonts w:ascii="Garamond" w:eastAsiaTheme="minorHAnsi" w:hAnsi="Garamond" w:cs="Times New Roman"/>
          <w:sz w:val="24"/>
          <w:szCs w:val="24"/>
        </w:rPr>
        <w:t>e në kampionet e vitit paraardhës</w:t>
      </w:r>
      <w:r w:rsidRPr="00FA2D18">
        <w:rPr>
          <w:rFonts w:ascii="Garamond" w:eastAsiaTheme="minorHAnsi" w:hAnsi="Garamond" w:cs="Times New Roman"/>
          <w:sz w:val="24"/>
          <w:szCs w:val="24"/>
        </w:rPr>
        <w:t xml:space="preserve"> ose shteteve të tjera në veçanti</w:t>
      </w:r>
      <w:r w:rsidR="00E93E2A"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kur ato raportohen në kuadër të sistemit RASFF;</w:t>
      </w:r>
    </w:p>
    <w:p w14:paraId="1BBFCB2C" w14:textId="19A27395"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disponueshmëria e metodave laboratorike të përshtatshme</w:t>
      </w:r>
      <w:r w:rsidR="00E93E2A"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si dhe e standardeve analitike;</w:t>
      </w:r>
    </w:p>
    <w:p w14:paraId="27E211BB" w14:textId="413288C3"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iii.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informacione rreth sasisë së medikamenteve veterinare të prodhuara, importuara, eksportuara, tregtuara dhe shitura për një lloj kafshe të dhënë e destinuar për prodhimin e ushqimeve;</w:t>
      </w:r>
    </w:p>
    <w:p w14:paraId="4A44860B" w14:textId="31A5BA90"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iv.</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informacione rreth zinxhirit të shpërndarjes së medikamenteve veterinare, regjistrit kombëtar të substancave farmakologjikisht aktive të autorizuara si medikamente veterinare ose aditivë për ushqimet e kafshëve, si dhe informacione mbi modelet e lëshimit të recetave;</w:t>
      </w:r>
    </w:p>
    <w:p w14:paraId="41D726A4" w14:textId="2B432D68"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v.</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mundësia e përdorimit të jashtëligjshëm të substancave farmakologjikisht aktive;</w:t>
      </w:r>
    </w:p>
    <w:p w14:paraId="75F248D4" w14:textId="4D358C9A"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vi.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limitet maksimale të mbetjeve dhe nivelet maksimale të substancave farmakologjikisht aktive dhe të aditivëve për ushqimet e kafshëve, përfshirë kufizimet (p.sh. jo për përdorim në kafshët gjatë laktacionit);</w:t>
      </w:r>
    </w:p>
    <w:p w14:paraId="6AE0D264" w14:textId="086B134C" w:rsidR="006B6C51" w:rsidRPr="00FA2D18" w:rsidRDefault="006B6C51" w:rsidP="004E0E7F">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vii.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formulime të medikamenteve veterinare</w:t>
      </w:r>
      <w:r w:rsidR="004E0E7F"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për të cilat janë përcaktuar kohë pezullimi të gjat</w:t>
      </w:r>
      <w:r w:rsidR="004E0E7F" w:rsidRPr="00FA2D18">
        <w:rPr>
          <w:rFonts w:ascii="Garamond" w:eastAsiaTheme="minorHAnsi" w:hAnsi="Garamond" w:cs="Times New Roman"/>
          <w:sz w:val="24"/>
          <w:szCs w:val="24"/>
        </w:rPr>
        <w:t>a</w:t>
      </w:r>
      <w:r w:rsidRPr="00FA2D18">
        <w:rPr>
          <w:rFonts w:ascii="Garamond" w:eastAsiaTheme="minorHAnsi" w:hAnsi="Garamond" w:cs="Times New Roman"/>
          <w:sz w:val="24"/>
          <w:szCs w:val="24"/>
        </w:rPr>
        <w:t xml:space="preserve"> pas trajtimit të kafshëve, me qëllim garantimin e përputhshmërisë të produkteve me origjinë shtazore të paprocesuara, që konsumohen nga njerëzit, në përputhje me nivelet maksimale të lejuara të mbetjeve të përcaktuar nga </w:t>
      </w:r>
      <w:r w:rsidR="00B04492" w:rsidRPr="00FA2D18">
        <w:rPr>
          <w:rFonts w:ascii="Garamond" w:eastAsiaTheme="minorHAnsi" w:hAnsi="Garamond" w:cs="Times New Roman"/>
          <w:i/>
          <w:iCs/>
          <w:sz w:val="24"/>
          <w:szCs w:val="24"/>
        </w:rPr>
        <w:t>urdhri nr. 991, datë 13.10.2025, “Mbi substancat farmakologjikisht aktive dhe klasifikimin e tyre, në lidhje me kufijtë maksimalë të mbetjeve në produktet ushqimore me origjinë shtazore”</w:t>
      </w:r>
      <w:r w:rsidRPr="00FA2D18">
        <w:rPr>
          <w:rFonts w:ascii="Garamond" w:eastAsiaTheme="minorHAnsi" w:hAnsi="Garamond" w:cs="Times New Roman"/>
          <w:sz w:val="24"/>
          <w:szCs w:val="24"/>
        </w:rPr>
        <w:t>.</w:t>
      </w:r>
    </w:p>
    <w:p w14:paraId="4DF43D63" w14:textId="04704C37"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viii.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mundësia e trajtimit të kafshëve të destinuara për prodhimin e ushqimeve</w:t>
      </w:r>
      <w:r w:rsidR="00D709AB"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sipas kërkesave të legjislacionit mbi produktet mjekësorë veterinare. </w:t>
      </w:r>
    </w:p>
    <w:p w14:paraId="2DE3F0EF" w14:textId="7EACE8FA"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b/>
          <w:bCs/>
          <w:sz w:val="24"/>
          <w:szCs w:val="24"/>
        </w:rPr>
      </w:pPr>
      <w:r w:rsidRPr="00FA2D18">
        <w:rPr>
          <w:rFonts w:ascii="Garamond" w:eastAsiaTheme="minorHAnsi" w:hAnsi="Garamond" w:cs="Times New Roman"/>
          <w:b/>
          <w:bCs/>
          <w:sz w:val="24"/>
          <w:szCs w:val="24"/>
        </w:rPr>
        <w:t>2.</w:t>
      </w:r>
      <w:r w:rsidR="000E0E9D" w:rsidRPr="00FA2D18">
        <w:rPr>
          <w:rFonts w:ascii="Garamond" w:eastAsiaTheme="minorHAnsi" w:hAnsi="Garamond" w:cs="Times New Roman"/>
          <w:b/>
          <w:bCs/>
          <w:sz w:val="24"/>
          <w:szCs w:val="24"/>
        </w:rPr>
        <w:t xml:space="preserve"> </w:t>
      </w:r>
      <w:r w:rsidRPr="00FA2D18">
        <w:rPr>
          <w:rFonts w:ascii="Garamond" w:eastAsiaTheme="minorHAnsi" w:hAnsi="Garamond" w:cs="Times New Roman"/>
          <w:b/>
          <w:bCs/>
          <w:sz w:val="24"/>
          <w:szCs w:val="24"/>
        </w:rPr>
        <w:t>Kritere për përzgjedhjen e grupeve të substancave, kafshëve dhe produkteve me origjinë shtazore:</w:t>
      </w:r>
    </w:p>
    <w:p w14:paraId="1C9EBEDE" w14:textId="34A1D81A" w:rsidR="006B6C51" w:rsidRPr="00FA2D18" w:rsidRDefault="006B6C51" w:rsidP="007974BF">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informacione mbi autorizimet e futjes në treg të produkteve mjekësor</w:t>
      </w:r>
      <w:r w:rsidR="007974BF" w:rsidRPr="00FA2D18">
        <w:rPr>
          <w:rFonts w:ascii="Garamond" w:eastAsiaTheme="minorHAnsi" w:hAnsi="Garamond" w:cs="Times New Roman"/>
          <w:sz w:val="24"/>
          <w:szCs w:val="24"/>
        </w:rPr>
        <w:t>e</w:t>
      </w:r>
      <w:r w:rsidRPr="00FA2D18">
        <w:rPr>
          <w:rFonts w:ascii="Garamond" w:eastAsiaTheme="minorHAnsi" w:hAnsi="Garamond" w:cs="Times New Roman"/>
          <w:sz w:val="24"/>
          <w:szCs w:val="24"/>
        </w:rPr>
        <w:t xml:space="preserve"> veterinare</w:t>
      </w:r>
      <w:r w:rsidR="008C0505"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që përmbajnë substanca farmakologjikisht aktive të destinuara për lloje kafshësh dhe klasa të veçanta të prodhimit;</w:t>
      </w:r>
    </w:p>
    <w:p w14:paraId="110D0D6A" w14:textId="3B8BB5A7"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lastRenderedPageBreak/>
        <w:t>ii.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informacione mbi autorizimet e futjes në treg të aditivëve për ushqimet e kafshëve të destinuara për llojet e kafshëve dhe klasa të veçanta të prodhimit;</w:t>
      </w:r>
    </w:p>
    <w:p w14:paraId="3CC848EA" w14:textId="5EAC37DB" w:rsidR="006B6C51" w:rsidRPr="00FA2D18" w:rsidRDefault="006B6C51" w:rsidP="00C80499">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iii.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 xml:space="preserve">informacione mbi frekuencën e përdorimit të substancave që </w:t>
      </w:r>
      <w:r w:rsidR="00C80499" w:rsidRPr="00FA2D18">
        <w:rPr>
          <w:rFonts w:ascii="Garamond" w:eastAsiaTheme="minorHAnsi" w:hAnsi="Garamond" w:cs="Times New Roman"/>
          <w:sz w:val="24"/>
          <w:szCs w:val="24"/>
        </w:rPr>
        <w:t>u</w:t>
      </w:r>
      <w:r w:rsidRPr="00FA2D18">
        <w:rPr>
          <w:rFonts w:ascii="Garamond" w:eastAsiaTheme="minorHAnsi" w:hAnsi="Garamond" w:cs="Times New Roman"/>
          <w:sz w:val="24"/>
          <w:szCs w:val="24"/>
        </w:rPr>
        <w:t xml:space="preserve"> përkasin kategorive dhe substancave specifike në lloje të caktuara kafshësh;</w:t>
      </w:r>
    </w:p>
    <w:p w14:paraId="6AA215B1" w14:textId="4C18AE1E"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iv.</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fr</w:t>
      </w:r>
      <w:r w:rsidR="00C80499" w:rsidRPr="00FA2D18">
        <w:rPr>
          <w:rFonts w:ascii="Garamond" w:eastAsiaTheme="minorHAnsi" w:hAnsi="Garamond" w:cs="Times New Roman"/>
          <w:sz w:val="24"/>
          <w:szCs w:val="24"/>
        </w:rPr>
        <w:t>ekuenca e gjetjes së rasteve jo</w:t>
      </w:r>
      <w:r w:rsidRPr="00FA2D18">
        <w:rPr>
          <w:rFonts w:ascii="Garamond" w:eastAsiaTheme="minorHAnsi" w:hAnsi="Garamond" w:cs="Times New Roman"/>
          <w:sz w:val="24"/>
          <w:szCs w:val="24"/>
        </w:rPr>
        <w:t>konform</w:t>
      </w:r>
      <w:r w:rsidR="00C80499" w:rsidRPr="00FA2D18">
        <w:rPr>
          <w:rFonts w:ascii="Garamond" w:eastAsiaTheme="minorHAnsi" w:hAnsi="Garamond" w:cs="Times New Roman"/>
          <w:sz w:val="24"/>
          <w:szCs w:val="24"/>
        </w:rPr>
        <w:t>e,</w:t>
      </w:r>
      <w:r w:rsidRPr="00FA2D18">
        <w:rPr>
          <w:rFonts w:ascii="Garamond" w:eastAsiaTheme="minorHAnsi" w:hAnsi="Garamond" w:cs="Times New Roman"/>
          <w:sz w:val="24"/>
          <w:szCs w:val="24"/>
        </w:rPr>
        <w:t xml:space="preserve"> në lidhje me mbetjet e substancave farmakologjikisht aktive dhe të aditivëve në ushqimet e kafshëve për një kategori të dhënë prodhimi;</w:t>
      </w:r>
    </w:p>
    <w:p w14:paraId="67271B96" w14:textId="619234A0"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v.</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informacione mbi nivelet e rezistencës antimikrobike në sektorë të veçantë të prodhimit shtazor.</w:t>
      </w:r>
    </w:p>
    <w:p w14:paraId="2FF7D13D" w14:textId="77777777" w:rsidR="008D702A" w:rsidRPr="00FA2D18" w:rsidRDefault="008D702A" w:rsidP="006B6C51">
      <w:pPr>
        <w:pStyle w:val="NoSpacing"/>
        <w:ind w:firstLine="284"/>
        <w:jc w:val="center"/>
        <w:rPr>
          <w:rFonts w:ascii="Garamond" w:hAnsi="Garamond"/>
          <w:b/>
          <w:i/>
          <w:sz w:val="24"/>
          <w:szCs w:val="24"/>
          <w:lang w:val="sq-AL"/>
        </w:rPr>
      </w:pPr>
    </w:p>
    <w:p w14:paraId="5B559DB4" w14:textId="77777777" w:rsidR="006B6C51" w:rsidRPr="00FA2D18" w:rsidRDefault="006B6C51" w:rsidP="006B6C51">
      <w:pPr>
        <w:autoSpaceDE w:val="0"/>
        <w:autoSpaceDN w:val="0"/>
        <w:adjustRightInd w:val="0"/>
        <w:spacing w:after="0" w:line="240" w:lineRule="auto"/>
        <w:ind w:firstLine="284"/>
        <w:jc w:val="center"/>
        <w:rPr>
          <w:rFonts w:ascii="Garamond" w:eastAsiaTheme="minorHAnsi" w:hAnsi="Garamond" w:cs="Times New Roman"/>
          <w:bCs/>
          <w:iCs/>
          <w:sz w:val="24"/>
          <w:szCs w:val="24"/>
        </w:rPr>
      </w:pPr>
      <w:r w:rsidRPr="00FA2D18">
        <w:rPr>
          <w:rFonts w:ascii="Garamond" w:eastAsiaTheme="minorHAnsi" w:hAnsi="Garamond" w:cs="Times New Roman"/>
          <w:bCs/>
          <w:iCs/>
          <w:sz w:val="24"/>
          <w:szCs w:val="24"/>
        </w:rPr>
        <w:t>ANEKSI III</w:t>
      </w:r>
    </w:p>
    <w:p w14:paraId="0D5EB6E7" w14:textId="77777777" w:rsidR="00F140AB" w:rsidRPr="00FA2D18" w:rsidRDefault="00F140AB" w:rsidP="006B6C51">
      <w:pPr>
        <w:autoSpaceDE w:val="0"/>
        <w:autoSpaceDN w:val="0"/>
        <w:adjustRightInd w:val="0"/>
        <w:spacing w:after="0" w:line="240" w:lineRule="auto"/>
        <w:ind w:firstLine="284"/>
        <w:jc w:val="center"/>
        <w:rPr>
          <w:rFonts w:ascii="Garamond" w:eastAsiaTheme="minorHAnsi" w:hAnsi="Garamond" w:cs="Times New Roman"/>
          <w:bCs/>
          <w:iCs/>
          <w:sz w:val="24"/>
          <w:szCs w:val="24"/>
        </w:rPr>
      </w:pPr>
    </w:p>
    <w:p w14:paraId="33310C6E" w14:textId="7436C9B0" w:rsidR="00941784" w:rsidRPr="00FA2D18" w:rsidRDefault="006B6C51" w:rsidP="00941784">
      <w:pPr>
        <w:autoSpaceDE w:val="0"/>
        <w:autoSpaceDN w:val="0"/>
        <w:adjustRightInd w:val="0"/>
        <w:spacing w:after="0" w:line="240" w:lineRule="auto"/>
        <w:ind w:firstLine="284"/>
        <w:jc w:val="both"/>
        <w:rPr>
          <w:rFonts w:ascii="Garamond" w:eastAsiaTheme="minorHAnsi" w:hAnsi="Garamond" w:cs="Times New Roman"/>
          <w:i/>
          <w:iCs/>
          <w:sz w:val="24"/>
          <w:szCs w:val="24"/>
        </w:rPr>
      </w:pPr>
      <w:r w:rsidRPr="00FA2D18">
        <w:rPr>
          <w:rFonts w:ascii="Garamond" w:eastAsiaTheme="minorHAnsi" w:hAnsi="Garamond" w:cs="Times New Roman"/>
          <w:b/>
          <w:bCs/>
          <w:i/>
          <w:iCs/>
          <w:sz w:val="24"/>
          <w:szCs w:val="24"/>
        </w:rPr>
        <w:t>Kritere për strategjinë e kampionimit për qëllimet e planeve kombëtare të kontrolleve të prodhimit të bazuara në risk</w:t>
      </w:r>
      <w:r w:rsidR="00C80499" w:rsidRPr="00FA2D18">
        <w:rPr>
          <w:rFonts w:ascii="Garamond" w:eastAsiaTheme="minorHAnsi" w:hAnsi="Garamond" w:cs="Times New Roman"/>
          <w:b/>
          <w:bCs/>
          <w:i/>
          <w:iCs/>
          <w:sz w:val="24"/>
          <w:szCs w:val="24"/>
        </w:rPr>
        <w:t>,</w:t>
      </w:r>
      <w:r w:rsidRPr="00FA2D18">
        <w:rPr>
          <w:rFonts w:ascii="Garamond" w:eastAsiaTheme="minorHAnsi" w:hAnsi="Garamond" w:cs="Times New Roman"/>
          <w:b/>
          <w:bCs/>
          <w:i/>
          <w:iCs/>
          <w:sz w:val="24"/>
          <w:szCs w:val="24"/>
        </w:rPr>
        <w:t xml:space="preserve"> sipas kërkesave të pikës 2, neni 2 të kësaj Rregulloreje</w:t>
      </w:r>
    </w:p>
    <w:p w14:paraId="0E98E11A" w14:textId="4EEC485B"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1.</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Kampionimi duhet të kryhet në intervale të ndryshueshme të shpërndara</w:t>
      </w:r>
      <w:r w:rsidR="00C80499"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në mënyrë të barabartë gjatë gjithë harkut kohor të një viti ose sipas periudhës përkatëse të prodhimit. Në këtë kontekst mbahet parasysh që disa substanca farmakologjikisht aktive administrohen vetëm në periudha të caktuara.</w:t>
      </w:r>
    </w:p>
    <w:p w14:paraId="1A006A4E" w14:textId="4CCE1123"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2.</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Kampionimi kryhet në momentin therjes ose afër therjes, zënies ose mbledhjes së prodhimit. Sidoqoftë është e nevojshme që kampionimi i substancave të grupit A të kryhet edhe në fazat përkatëse të ciklit jetësor të kafshëve.</w:t>
      </w:r>
    </w:p>
    <w:p w14:paraId="1CFAED3B" w14:textId="259674CD" w:rsidR="006B6C51" w:rsidRPr="00FA2D18" w:rsidRDefault="006B6C51" w:rsidP="00D67B74">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3.</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Secili kampion duhet të përzgjidhet sipas kritereve të përcaktuara në planin kombëtar të kontrollit. Për substancat e grupit A, kampionimi duhet të synojë zbulimin e trajtimit të paligjshëm me substanca të n</w:t>
      </w:r>
      <w:r w:rsidR="00C80499" w:rsidRPr="00FA2D18">
        <w:rPr>
          <w:rFonts w:ascii="Garamond" w:eastAsiaTheme="minorHAnsi" w:hAnsi="Garamond" w:cs="Times New Roman"/>
          <w:sz w:val="24"/>
          <w:szCs w:val="24"/>
        </w:rPr>
        <w:t>daluara ose të pa</w:t>
      </w:r>
      <w:r w:rsidRPr="00FA2D18">
        <w:rPr>
          <w:rFonts w:ascii="Garamond" w:eastAsiaTheme="minorHAnsi" w:hAnsi="Garamond" w:cs="Times New Roman"/>
          <w:sz w:val="24"/>
          <w:szCs w:val="24"/>
        </w:rPr>
        <w:t xml:space="preserve">autorizuara. Kështu që kafshët të cilat ka më shumë gjasa të jenë trajtuar me substanca të ndaluara, përzgjidhen në mënyrë preferenciale në krahasim me ato kafshë për të cilat ka më pak gjasa që të jenë trajtuar me substanca të ndaluara ose </w:t>
      </w:r>
      <w:r w:rsidR="00CB0189" w:rsidRPr="00FA2D18">
        <w:rPr>
          <w:rFonts w:ascii="Garamond" w:eastAsiaTheme="minorHAnsi" w:hAnsi="Garamond" w:cs="Times New Roman"/>
          <w:sz w:val="24"/>
          <w:szCs w:val="24"/>
        </w:rPr>
        <w:t>të pa</w:t>
      </w:r>
      <w:r w:rsidRPr="00FA2D18">
        <w:rPr>
          <w:rFonts w:ascii="Garamond" w:eastAsiaTheme="minorHAnsi" w:hAnsi="Garamond" w:cs="Times New Roman"/>
          <w:sz w:val="24"/>
          <w:szCs w:val="24"/>
        </w:rPr>
        <w:t>autorizuara dhe për këtë arsye, për kampionimet e kryera në fermë</w:t>
      </w:r>
      <w:r w:rsidR="00CB0189"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si gjaku, urina, feçet, qimet etj</w:t>
      </w:r>
      <w:r w:rsidR="00CB0189"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mund të jetë e nevojshme që të merren edhe mostrat nga uji i pijshëm dhe ushqimi, </w:t>
      </w:r>
      <w:r w:rsidR="00CB0189" w:rsidRPr="00FA2D18">
        <w:rPr>
          <w:rFonts w:ascii="Garamond" w:eastAsiaTheme="minorHAnsi" w:hAnsi="Garamond" w:cs="Times New Roman"/>
          <w:sz w:val="24"/>
          <w:szCs w:val="24"/>
        </w:rPr>
        <w:t xml:space="preserve">për </w:t>
      </w:r>
      <w:r w:rsidRPr="00FA2D18">
        <w:rPr>
          <w:rFonts w:ascii="Garamond" w:eastAsiaTheme="minorHAnsi" w:hAnsi="Garamond" w:cs="Times New Roman"/>
          <w:sz w:val="24"/>
          <w:szCs w:val="24"/>
        </w:rPr>
        <w:t>substancat e grupit B, kampionet duhet të përfshijë vetëm inde/produkte që konsumohen nga njerëzit</w:t>
      </w:r>
      <w:r w:rsidR="00CB0189"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me qëllim të verifikimit të përputhshmërisë së niveleve maksimale të lejuara të mbetjeve dhe niveleve maksimale. Kampionimi duhet të kryhet mbi produktet që rrjedhin nga kafshë që kan</w:t>
      </w:r>
      <w:r w:rsidR="00D67B74" w:rsidRPr="00FA2D18">
        <w:rPr>
          <w:rFonts w:ascii="Garamond" w:eastAsiaTheme="minorHAnsi" w:hAnsi="Garamond" w:cs="Times New Roman"/>
          <w:sz w:val="24"/>
          <w:szCs w:val="24"/>
        </w:rPr>
        <w:t>ë</w:t>
      </w:r>
      <w:r w:rsidRPr="00FA2D18">
        <w:rPr>
          <w:rFonts w:ascii="Garamond" w:eastAsiaTheme="minorHAnsi" w:hAnsi="Garamond" w:cs="Times New Roman"/>
          <w:sz w:val="24"/>
          <w:szCs w:val="24"/>
        </w:rPr>
        <w:t xml:space="preserve"> mundësi më të madhe që të jenë trajtuar me substanca farmakologjikisht aktive specifike ose me një substancë që bën pjesë në një klasë terapeutike specifike të produkteve mjekësor</w:t>
      </w:r>
      <w:r w:rsidR="00D67B74" w:rsidRPr="00FA2D18">
        <w:rPr>
          <w:rFonts w:ascii="Garamond" w:eastAsiaTheme="minorHAnsi" w:hAnsi="Garamond" w:cs="Times New Roman"/>
          <w:sz w:val="24"/>
          <w:szCs w:val="24"/>
        </w:rPr>
        <w:t>e</w:t>
      </w:r>
      <w:r w:rsidRPr="00FA2D18">
        <w:rPr>
          <w:rFonts w:ascii="Garamond" w:eastAsiaTheme="minorHAnsi" w:hAnsi="Garamond" w:cs="Times New Roman"/>
          <w:sz w:val="24"/>
          <w:szCs w:val="24"/>
        </w:rPr>
        <w:t xml:space="preserve"> veterinare.</w:t>
      </w:r>
    </w:p>
    <w:p w14:paraId="616BC16E" w14:textId="11482510"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4.</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 xml:space="preserve">Për substancat e </w:t>
      </w:r>
      <w:r w:rsidR="00D67B74" w:rsidRPr="00FA2D18">
        <w:rPr>
          <w:rFonts w:ascii="Garamond" w:eastAsiaTheme="minorHAnsi" w:hAnsi="Garamond" w:cs="Times New Roman"/>
          <w:sz w:val="24"/>
          <w:szCs w:val="24"/>
        </w:rPr>
        <w:t xml:space="preserve">grupit </w:t>
      </w:r>
      <w:r w:rsidRPr="00FA2D18">
        <w:rPr>
          <w:rFonts w:ascii="Garamond" w:eastAsiaTheme="minorHAnsi" w:hAnsi="Garamond" w:cs="Times New Roman"/>
          <w:sz w:val="24"/>
          <w:szCs w:val="24"/>
        </w:rPr>
        <w:t>B, mostrat duhet të përmbajnë vetëm inde/produkte të ngrënshme (objektivi është të verifikohet përputhshmëria me kufijtë maksimalë të mbetjeve dhe nivelet maksimale). Marrja e mostrave do të synohet në produktet nga ato kafshë, të cilat ka shumë të ngjarë të jenë trajtuar me një substancë ose substancë të veçantë farmakologjikisht aktive brenda klasës terapeutike të produkteve mjekësore veterinare.</w:t>
      </w:r>
    </w:p>
    <w:p w14:paraId="7DE8805C" w14:textId="1139BC02"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5.</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Mostrat nga vendet e injektimit mund të jenë të përshtatshme për të kontrolluar përdorimin e paligjshëm të substancave. Në rast se mostrat merren nga vendet e injektimit, kjo duhet të përmendet qartë</w:t>
      </w:r>
      <w:r w:rsidR="001E4555"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kur raportohen rezultatet analitike nga këto mostra. </w:t>
      </w:r>
    </w:p>
    <w:p w14:paraId="5B913CBC" w14:textId="65249E1C"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6.</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Kritere për përzgjedhjen e kafshëve ose të produkteve që do t</w:t>
      </w:r>
      <w:r w:rsidR="001E4555"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i nënshtrohen një kontrolli për secilin operator të biznesit ushqimor që kontrollohet:</w:t>
      </w:r>
    </w:p>
    <w:p w14:paraId="6DD3E71D" w14:textId="1C9E49B3" w:rsidR="006B6C51" w:rsidRPr="00FA2D18" w:rsidRDefault="006B6C51" w:rsidP="001E4555">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w:t>
      </w:r>
      <w:r w:rsidR="000E0E9D" w:rsidRPr="00FA2D18">
        <w:rPr>
          <w:rFonts w:ascii="Garamond" w:eastAsiaTheme="minorHAnsi" w:hAnsi="Garamond" w:cs="Times New Roman"/>
          <w:sz w:val="24"/>
          <w:szCs w:val="24"/>
        </w:rPr>
        <w:t xml:space="preserve"> </w:t>
      </w:r>
      <w:r w:rsidR="001E4555" w:rsidRPr="00FA2D18">
        <w:rPr>
          <w:rFonts w:ascii="Garamond" w:eastAsiaTheme="minorHAnsi" w:hAnsi="Garamond" w:cs="Times New Roman"/>
          <w:sz w:val="24"/>
          <w:szCs w:val="24"/>
        </w:rPr>
        <w:t>rastet e mëparshme të pa</w:t>
      </w:r>
      <w:r w:rsidRPr="00FA2D18">
        <w:rPr>
          <w:rFonts w:ascii="Garamond" w:eastAsiaTheme="minorHAnsi" w:hAnsi="Garamond" w:cs="Times New Roman"/>
          <w:sz w:val="24"/>
          <w:szCs w:val="24"/>
        </w:rPr>
        <w:t xml:space="preserve">përputhshmërisë </w:t>
      </w:r>
      <w:r w:rsidR="001E4555" w:rsidRPr="00FA2D18">
        <w:rPr>
          <w:rFonts w:ascii="Garamond" w:eastAsiaTheme="minorHAnsi" w:hAnsi="Garamond" w:cs="Times New Roman"/>
          <w:sz w:val="24"/>
          <w:szCs w:val="24"/>
        </w:rPr>
        <w:t>s</w:t>
      </w:r>
      <w:r w:rsidRPr="00FA2D18">
        <w:rPr>
          <w:rFonts w:ascii="Garamond" w:eastAsiaTheme="minorHAnsi" w:hAnsi="Garamond" w:cs="Times New Roman"/>
          <w:sz w:val="24"/>
          <w:szCs w:val="24"/>
        </w:rPr>
        <w:t>ë fermës ose të prodhuesit;</w:t>
      </w:r>
    </w:p>
    <w:p w14:paraId="7556362C" w14:textId="155DFA9E"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mangësi në aplikimin e produkteve medicinale veterinare, mangësi të identifikuara në kontrollet e mëparshme, rritje të raportuara të humbjeve të kafshëve në fermë, gjendja shëndetësore e kafshëve të fermës, statusi epidemiologjik i rajonit;</w:t>
      </w:r>
    </w:p>
    <w:p w14:paraId="076932E5" w14:textId="68FD0863"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iii.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 xml:space="preserve">informacione mbi sistemin </w:t>
      </w:r>
      <w:r w:rsidR="00F634DB" w:rsidRPr="00FA2D18">
        <w:rPr>
          <w:rFonts w:ascii="Garamond" w:eastAsiaTheme="minorHAnsi" w:hAnsi="Garamond" w:cs="Times New Roman"/>
          <w:sz w:val="24"/>
          <w:szCs w:val="24"/>
        </w:rPr>
        <w:t xml:space="preserve">e </w:t>
      </w:r>
      <w:r w:rsidRPr="00FA2D18">
        <w:rPr>
          <w:rFonts w:ascii="Garamond" w:eastAsiaTheme="minorHAnsi" w:hAnsi="Garamond" w:cs="Times New Roman"/>
          <w:sz w:val="24"/>
          <w:szCs w:val="24"/>
        </w:rPr>
        <w:t>mbarështimit, sistemin e majmërisë, racën dhe seksin e kafshës;</w:t>
      </w:r>
    </w:p>
    <w:p w14:paraId="69D226DF" w14:textId="7AF6CE4E"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lastRenderedPageBreak/>
        <w:t>iv.</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praktikat në fuqi që i përkasin administrimit në veçanti të substancave farmakologjikisht aktive në fermën përkatëse ose në sistemin e prodhimit përkatës;</w:t>
      </w:r>
    </w:p>
    <w:p w14:paraId="68E58F0B" w14:textId="0F59A1DA"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v.</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gjetje që i përkasin përdorimit të substancave farmakologjikisht aktive;</w:t>
      </w:r>
    </w:p>
    <w:p w14:paraId="49AD76E2" w14:textId="65B7AE74"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vi.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 xml:space="preserve">mungesës së autokontrollit ose </w:t>
      </w:r>
      <w:r w:rsidR="00F634DB" w:rsidRPr="00FA2D18">
        <w:rPr>
          <w:rFonts w:ascii="Garamond" w:eastAsiaTheme="minorHAnsi" w:hAnsi="Garamond" w:cs="Times New Roman"/>
          <w:sz w:val="24"/>
          <w:szCs w:val="24"/>
        </w:rPr>
        <w:t xml:space="preserve">të </w:t>
      </w:r>
      <w:r w:rsidRPr="00FA2D18">
        <w:rPr>
          <w:rFonts w:ascii="Garamond" w:eastAsiaTheme="minorHAnsi" w:hAnsi="Garamond" w:cs="Times New Roman"/>
          <w:sz w:val="24"/>
          <w:szCs w:val="24"/>
        </w:rPr>
        <w:t>prezencës së autokontrolleve jo të besueshme, pajisjes me një regjim certifikimi të cilësisë të kontrolleve të kryera në kuadër të këtij regjimi;</w:t>
      </w:r>
    </w:p>
    <w:p w14:paraId="1EB6866F" w14:textId="563B3822"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vii.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pamjaftueshmërive të provuara të mbikëqyrjes së fermës nga ana e mjekëve veterinare;</w:t>
      </w:r>
    </w:p>
    <w:p w14:paraId="5B500AFE" w14:textId="524769D9"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viii.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kampione përfaqësuese pavarësisht nga madhësia e operatorit të biznesit ushqimor.</w:t>
      </w:r>
    </w:p>
    <w:p w14:paraId="4BD09756" w14:textId="52AC8F33"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7.</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Kritere për përzgjedhjen e thertoreve, operatorëve të përpunimit, stabilimenteve të prodhimit dhe futjes në treg të produkteve të akuakulturës, të stabilimenteve të prodhimit të mjaltit dhe të qendrave të ambalazhimit të vezëve</w:t>
      </w:r>
      <w:r w:rsidR="00F634DB"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në të cilat është e nevojshme marrja e kampioneve: </w:t>
      </w:r>
    </w:p>
    <w:p w14:paraId="1C4A8A12" w14:textId="74D6A9C6"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 xml:space="preserve">kriteret e listuara në </w:t>
      </w:r>
      <w:r w:rsidR="00F634DB" w:rsidRPr="00FA2D18">
        <w:rPr>
          <w:rFonts w:ascii="Garamond" w:eastAsiaTheme="minorHAnsi" w:hAnsi="Garamond" w:cs="Times New Roman"/>
          <w:sz w:val="24"/>
          <w:szCs w:val="24"/>
        </w:rPr>
        <w:t>germën</w:t>
      </w:r>
      <w:r w:rsidRPr="00FA2D18">
        <w:rPr>
          <w:rFonts w:ascii="Garamond" w:eastAsiaTheme="minorHAnsi" w:hAnsi="Garamond" w:cs="Times New Roman"/>
          <w:sz w:val="24"/>
          <w:szCs w:val="24"/>
        </w:rPr>
        <w:t xml:space="preserve"> A, paragrafi 2, dhe në </w:t>
      </w:r>
      <w:r w:rsidR="00F634DB" w:rsidRPr="00FA2D18">
        <w:rPr>
          <w:rFonts w:ascii="Garamond" w:eastAsiaTheme="minorHAnsi" w:hAnsi="Garamond" w:cs="Times New Roman"/>
          <w:sz w:val="24"/>
          <w:szCs w:val="24"/>
        </w:rPr>
        <w:t>germën</w:t>
      </w:r>
      <w:r w:rsidRPr="00FA2D18">
        <w:rPr>
          <w:rFonts w:ascii="Garamond" w:eastAsiaTheme="minorHAnsi" w:hAnsi="Garamond" w:cs="Times New Roman"/>
          <w:sz w:val="24"/>
          <w:szCs w:val="24"/>
        </w:rPr>
        <w:t xml:space="preserve"> B, paragrafi 1, të aneksit II dhe pika 6</w:t>
      </w:r>
      <w:r w:rsidR="00F634DB"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aneksi III</w:t>
      </w:r>
      <w:r w:rsidR="00F634DB"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të kësaj Rregulloreje;</w:t>
      </w:r>
    </w:p>
    <w:p w14:paraId="729FA77B" w14:textId="7410026E"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pasha (vëllimi) përkatëse i stabilimenteve në lidhje me volumin total të prodhimit të vendit;</w:t>
      </w:r>
    </w:p>
    <w:p w14:paraId="71E91CCE" w14:textId="1CB4FF2C" w:rsidR="006B6C51" w:rsidRPr="00FA2D18" w:rsidRDefault="006B6C51" w:rsidP="00F634DB">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iii.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rastet jokonform</w:t>
      </w:r>
      <w:r w:rsidR="00F634DB" w:rsidRPr="00FA2D18">
        <w:rPr>
          <w:rFonts w:ascii="Garamond" w:eastAsiaTheme="minorHAnsi" w:hAnsi="Garamond" w:cs="Times New Roman"/>
          <w:sz w:val="24"/>
          <w:szCs w:val="24"/>
        </w:rPr>
        <w:t>e</w:t>
      </w:r>
      <w:r w:rsidRPr="00FA2D18">
        <w:rPr>
          <w:rFonts w:ascii="Garamond" w:eastAsiaTheme="minorHAnsi" w:hAnsi="Garamond" w:cs="Times New Roman"/>
          <w:sz w:val="24"/>
          <w:szCs w:val="24"/>
        </w:rPr>
        <w:t xml:space="preserve"> të gjetura gjatë kontrolleve të mëparshme mbi përdorimin e substancave farmakologjikisht aktive dhe të mbetjeve të tyre në kafshë dhe në produkte me origjinë shtazore;</w:t>
      </w:r>
    </w:p>
    <w:p w14:paraId="1703063F" w14:textId="43DD1FD0"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iv.</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origjina dhe rrugët e transportit të kafshëve të therura, të kafshëve të prodhimit të qumështit, të vezëve ose të mjaltit;</w:t>
      </w:r>
    </w:p>
    <w:p w14:paraId="6A1358A7" w14:textId="2D4CBE19"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v.</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mungesa e pjesëmarrjes në programet e garantimit të cilësisë (aty ku janë të disponushme);</w:t>
      </w:r>
    </w:p>
    <w:p w14:paraId="033D0099" w14:textId="244B850B" w:rsidR="006B6C51" w:rsidRPr="00FA2D18" w:rsidRDefault="006B6C51" w:rsidP="00ED497D">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vi.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 xml:space="preserve">qëllimin dhe rezultatet autokontrolleve që </w:t>
      </w:r>
      <w:r w:rsidR="00ED497D" w:rsidRPr="00FA2D18">
        <w:rPr>
          <w:rFonts w:ascii="Garamond" w:eastAsiaTheme="minorHAnsi" w:hAnsi="Garamond" w:cs="Times New Roman"/>
          <w:sz w:val="24"/>
          <w:szCs w:val="24"/>
        </w:rPr>
        <w:t>u</w:t>
      </w:r>
      <w:r w:rsidRPr="00FA2D18">
        <w:rPr>
          <w:rFonts w:ascii="Garamond" w:eastAsiaTheme="minorHAnsi" w:hAnsi="Garamond" w:cs="Times New Roman"/>
          <w:sz w:val="24"/>
          <w:szCs w:val="24"/>
        </w:rPr>
        <w:t xml:space="preserve"> përkasin mbetjeve. </w:t>
      </w:r>
    </w:p>
    <w:p w14:paraId="564C9FB5" w14:textId="482B33C5"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8.</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Gjatë marrjes së mostrave, duhet të bëhen përpjekje për të shmangur marrjen e mostrave të shumëfishta (d.m.th. marrjen e disa mostrave të ndryshme nga një kafshë/produkt i vetëm (përveç nëse mostrat e ndryshme analizohen për një grup të ndryshëm substancash), ose marrjen e mostrave të disa kafshëve/produkteve nga një prodhuesi i vetëm në një ditë të caktuar kur mund të nxirren mostra nga kafshë/produkte nga disa prodhues që do të plotësonin kriteret e synimit)</w:t>
      </w:r>
      <w:r w:rsidR="00162979"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përveç nëse operatori është identifikuar në bazë të kritereve të përfshira në pikën 6 ose është dhënë një justifikim i duhur në plani i kontrollit. Duhet të sigurohet pajtueshmëria me frekuencën e planifikuar të kontrolleve.</w:t>
      </w:r>
    </w:p>
    <w:p w14:paraId="11E60E8B" w14:textId="77777777" w:rsidR="008D702A" w:rsidRPr="00FA2D18" w:rsidRDefault="008D702A" w:rsidP="00F140AB">
      <w:pPr>
        <w:pStyle w:val="NoSpacing"/>
        <w:ind w:firstLine="284"/>
        <w:jc w:val="center"/>
        <w:rPr>
          <w:rFonts w:ascii="Garamond" w:hAnsi="Garamond"/>
          <w:sz w:val="24"/>
          <w:szCs w:val="24"/>
          <w:lang w:val="sq-AL"/>
        </w:rPr>
      </w:pPr>
    </w:p>
    <w:p w14:paraId="4CDC3F22" w14:textId="49105051" w:rsidR="008D702A" w:rsidRPr="00FA2D18" w:rsidRDefault="008D702A" w:rsidP="00F140AB">
      <w:pPr>
        <w:pStyle w:val="NoSpacing"/>
        <w:ind w:firstLine="284"/>
        <w:jc w:val="center"/>
        <w:rPr>
          <w:rFonts w:ascii="Garamond" w:hAnsi="Garamond"/>
          <w:sz w:val="24"/>
          <w:szCs w:val="24"/>
          <w:lang w:val="sq-AL"/>
        </w:rPr>
      </w:pPr>
      <w:r w:rsidRPr="00FA2D18">
        <w:rPr>
          <w:rFonts w:ascii="Garamond" w:hAnsi="Garamond"/>
          <w:sz w:val="24"/>
          <w:szCs w:val="24"/>
          <w:lang w:val="sq-AL"/>
        </w:rPr>
        <w:t>ANEKSI IV</w:t>
      </w:r>
    </w:p>
    <w:p w14:paraId="059B6ECC" w14:textId="13EB6732" w:rsidR="00F140AB" w:rsidRPr="00FA2D18" w:rsidRDefault="00B04492" w:rsidP="006B6C51">
      <w:pPr>
        <w:pStyle w:val="NoSpacing"/>
        <w:ind w:firstLine="284"/>
        <w:jc w:val="center"/>
        <w:rPr>
          <w:rFonts w:ascii="Garamond" w:hAnsi="Garamond"/>
          <w:i/>
          <w:sz w:val="24"/>
          <w:szCs w:val="24"/>
          <w:lang w:val="sq-AL"/>
        </w:rPr>
      </w:pPr>
      <w:r w:rsidRPr="00FA2D18">
        <w:rPr>
          <w:rFonts w:ascii="Garamond" w:hAnsi="Garamond"/>
          <w:i/>
          <w:sz w:val="24"/>
          <w:szCs w:val="24"/>
          <w:lang w:val="sq-AL"/>
        </w:rPr>
        <w:t>(Ndryshuar me urdhër nr. 328, datë 26.3.2026)</w:t>
      </w:r>
    </w:p>
    <w:p w14:paraId="48E297C5" w14:textId="77777777" w:rsidR="00B04492" w:rsidRPr="00FA2D18" w:rsidRDefault="00B04492" w:rsidP="006B6C51">
      <w:pPr>
        <w:pStyle w:val="NoSpacing"/>
        <w:ind w:firstLine="284"/>
        <w:jc w:val="center"/>
        <w:rPr>
          <w:rFonts w:ascii="Garamond" w:hAnsi="Garamond"/>
          <w:b/>
          <w:i/>
          <w:sz w:val="24"/>
          <w:szCs w:val="24"/>
          <w:lang w:val="sq-AL"/>
        </w:rPr>
      </w:pPr>
    </w:p>
    <w:p w14:paraId="728BD8C9" w14:textId="77777777" w:rsidR="00B04492" w:rsidRPr="00FA2D18" w:rsidRDefault="00B04492" w:rsidP="00B04492">
      <w:pPr>
        <w:pStyle w:val="NoSpacing"/>
        <w:ind w:firstLine="284"/>
        <w:jc w:val="both"/>
        <w:rPr>
          <w:rFonts w:ascii="Garamond" w:hAnsi="Garamond"/>
          <w:i/>
          <w:sz w:val="24"/>
          <w:szCs w:val="24"/>
        </w:rPr>
      </w:pPr>
      <w:r w:rsidRPr="00FA2D18">
        <w:rPr>
          <w:rFonts w:ascii="Garamond" w:hAnsi="Garamond"/>
          <w:b/>
          <w:i/>
          <w:sz w:val="24"/>
          <w:szCs w:val="24"/>
        </w:rPr>
        <w:t>Kriteret për përzgjedhjen e kombinimeve specifike të grupeve të substancave dhe grupeve të produkteve për hartimin e planit kombëtar të mbikëqyrjes së rastësishme, sipas kërkesave të pikës 3, nenin 2 të kësaj rregulloreje</w:t>
      </w:r>
    </w:p>
    <w:p w14:paraId="7A0892A6" w14:textId="77777777" w:rsidR="00B04492" w:rsidRPr="00FA2D18" w:rsidRDefault="00B04492" w:rsidP="00B04492">
      <w:pPr>
        <w:pStyle w:val="NoSpacing"/>
        <w:ind w:firstLine="284"/>
        <w:jc w:val="both"/>
        <w:rPr>
          <w:rFonts w:ascii="Garamond" w:hAnsi="Garamond"/>
          <w:b/>
          <w:i/>
          <w:sz w:val="24"/>
          <w:szCs w:val="24"/>
        </w:rPr>
      </w:pPr>
      <w:r w:rsidRPr="00FA2D18">
        <w:rPr>
          <w:rFonts w:ascii="Garamond" w:hAnsi="Garamond"/>
          <w:b/>
          <w:i/>
          <w:sz w:val="24"/>
          <w:szCs w:val="24"/>
        </w:rPr>
        <w:t>Substanca të grupit A</w:t>
      </w:r>
    </w:p>
    <w:p w14:paraId="35EEDF6B" w14:textId="77777777" w:rsidR="00B04492" w:rsidRPr="00FA2D18" w:rsidRDefault="00B04492" w:rsidP="00B04492">
      <w:pPr>
        <w:spacing w:after="0" w:line="240" w:lineRule="auto"/>
        <w:ind w:firstLine="284"/>
        <w:jc w:val="both"/>
        <w:rPr>
          <w:rFonts w:ascii="Garamond" w:hAnsi="Garamond" w:cs="Times New Roman"/>
          <w:i/>
          <w:sz w:val="24"/>
          <w:szCs w:val="24"/>
        </w:rPr>
      </w:pPr>
      <w:r w:rsidRPr="00FA2D18">
        <w:rPr>
          <w:rFonts w:ascii="Garamond" w:hAnsi="Garamond" w:cs="Times New Roman"/>
          <w:i/>
          <w:sz w:val="24"/>
          <w:szCs w:val="24"/>
        </w:rPr>
        <w:t>Kampionet e përbëra nga kombinime të grupeve të substancave dhe grupe të produkteve janë të ndryshme nga kampionet e marra në zbatim të planeve kombëtare të prodhimit të bazuara në risk.</w:t>
      </w:r>
    </w:p>
    <w:p w14:paraId="27FDE21E" w14:textId="77777777" w:rsidR="00B04492" w:rsidRPr="00FA2D18" w:rsidRDefault="00B04492" w:rsidP="00B04492">
      <w:pPr>
        <w:pStyle w:val="NoSpacing"/>
        <w:ind w:firstLine="284"/>
        <w:jc w:val="both"/>
        <w:rPr>
          <w:rFonts w:ascii="Garamond" w:hAnsi="Garamond"/>
          <w:b/>
          <w:i/>
          <w:sz w:val="24"/>
          <w:szCs w:val="24"/>
        </w:rPr>
      </w:pPr>
      <w:r w:rsidRPr="00FA2D18">
        <w:rPr>
          <w:rFonts w:ascii="Garamond" w:hAnsi="Garamond"/>
          <w:b/>
          <w:i/>
          <w:sz w:val="24"/>
          <w:szCs w:val="24"/>
        </w:rPr>
        <w:t>Substanca të grupit B</w:t>
      </w:r>
    </w:p>
    <w:p w14:paraId="51D84EFF" w14:textId="77777777" w:rsidR="00B04492" w:rsidRPr="00FA2D18" w:rsidRDefault="00B04492" w:rsidP="00B04492">
      <w:pPr>
        <w:pStyle w:val="NoSpacing"/>
        <w:ind w:firstLine="284"/>
        <w:jc w:val="both"/>
        <w:rPr>
          <w:rFonts w:ascii="Garamond" w:hAnsi="Garamond"/>
          <w:i/>
          <w:sz w:val="24"/>
          <w:szCs w:val="24"/>
        </w:rPr>
      </w:pPr>
      <w:r w:rsidRPr="00FA2D18">
        <w:rPr>
          <w:rFonts w:ascii="Garamond" w:hAnsi="Garamond"/>
          <w:i/>
          <w:sz w:val="24"/>
          <w:szCs w:val="24"/>
        </w:rPr>
        <w:t>Kombinimet e grupeve të substancave dhe grupeve të produkteve:</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4"/>
        <w:gridCol w:w="715"/>
        <w:gridCol w:w="571"/>
        <w:gridCol w:w="715"/>
        <w:gridCol w:w="715"/>
        <w:gridCol w:w="1285"/>
        <w:gridCol w:w="1287"/>
        <w:gridCol w:w="1000"/>
        <w:gridCol w:w="1365"/>
        <w:gridCol w:w="584"/>
      </w:tblGrid>
      <w:tr w:rsidR="00FA2D18" w:rsidRPr="00FA2D18" w14:paraId="69ADDB54" w14:textId="77777777" w:rsidTr="00534FF5">
        <w:trPr>
          <w:cantSplit/>
          <w:trHeight w:val="1513"/>
          <w:tblCellSpacing w:w="0" w:type="dxa"/>
          <w:jc w:val="center"/>
        </w:trPr>
        <w:tc>
          <w:tcPr>
            <w:tcW w:w="470" w:type="pct"/>
            <w:tcBorders>
              <w:top w:val="single" w:sz="4" w:space="0" w:color="auto"/>
              <w:left w:val="single" w:sz="4" w:space="0" w:color="auto"/>
              <w:bottom w:val="single" w:sz="4" w:space="0" w:color="auto"/>
              <w:right w:val="single" w:sz="4" w:space="0" w:color="auto"/>
            </w:tcBorders>
            <w:textDirection w:val="btLr"/>
            <w:vAlign w:val="center"/>
            <w:hideMark/>
          </w:tcPr>
          <w:p w14:paraId="725B6C05" w14:textId="77777777" w:rsidR="00B04492" w:rsidRPr="00FA2D18" w:rsidRDefault="00B04492" w:rsidP="00534FF5">
            <w:pPr>
              <w:pStyle w:val="NoSpacing"/>
              <w:rPr>
                <w:rFonts w:ascii="Garamond" w:hAnsi="Garamond"/>
                <w:b/>
                <w:bCs/>
                <w:i/>
                <w:sz w:val="24"/>
                <w:szCs w:val="24"/>
              </w:rPr>
            </w:pPr>
            <w:r w:rsidRPr="00FA2D18">
              <w:rPr>
                <w:rFonts w:ascii="Garamond" w:hAnsi="Garamond"/>
                <w:b/>
                <w:bCs/>
                <w:i/>
                <w:sz w:val="24"/>
                <w:szCs w:val="24"/>
              </w:rPr>
              <w:t>Grupet e substancave</w:t>
            </w:r>
          </w:p>
        </w:tc>
        <w:tc>
          <w:tcPr>
            <w:tcW w:w="393" w:type="pct"/>
            <w:tcBorders>
              <w:top w:val="single" w:sz="4" w:space="0" w:color="auto"/>
              <w:left w:val="single" w:sz="4" w:space="0" w:color="auto"/>
              <w:bottom w:val="single" w:sz="4" w:space="0" w:color="auto"/>
              <w:right w:val="single" w:sz="4" w:space="0" w:color="auto"/>
            </w:tcBorders>
            <w:textDirection w:val="btLr"/>
            <w:vAlign w:val="center"/>
            <w:hideMark/>
          </w:tcPr>
          <w:p w14:paraId="384BDE6C" w14:textId="77777777" w:rsidR="00B04492" w:rsidRPr="00FA2D18" w:rsidRDefault="00B04492" w:rsidP="00534FF5">
            <w:pPr>
              <w:pStyle w:val="NoSpacing"/>
              <w:rPr>
                <w:rFonts w:ascii="Garamond" w:hAnsi="Garamond"/>
                <w:b/>
                <w:bCs/>
                <w:i/>
                <w:sz w:val="24"/>
                <w:szCs w:val="24"/>
              </w:rPr>
            </w:pPr>
            <w:r w:rsidRPr="00FA2D18">
              <w:rPr>
                <w:rFonts w:ascii="Garamond" w:hAnsi="Garamond"/>
                <w:b/>
                <w:bCs/>
                <w:i/>
                <w:sz w:val="24"/>
                <w:szCs w:val="24"/>
              </w:rPr>
              <w:t>Gjedhë, dhen dhe dhi</w:t>
            </w:r>
          </w:p>
        </w:tc>
        <w:tc>
          <w:tcPr>
            <w:tcW w:w="314" w:type="pct"/>
            <w:tcBorders>
              <w:top w:val="single" w:sz="4" w:space="0" w:color="auto"/>
              <w:left w:val="single" w:sz="4" w:space="0" w:color="auto"/>
              <w:bottom w:val="single" w:sz="4" w:space="0" w:color="auto"/>
              <w:right w:val="single" w:sz="4" w:space="0" w:color="auto"/>
            </w:tcBorders>
            <w:textDirection w:val="btLr"/>
            <w:vAlign w:val="center"/>
            <w:hideMark/>
          </w:tcPr>
          <w:p w14:paraId="51A0B092" w14:textId="77777777" w:rsidR="00B04492" w:rsidRPr="00FA2D18" w:rsidRDefault="00B04492" w:rsidP="00534FF5">
            <w:pPr>
              <w:pStyle w:val="NoSpacing"/>
              <w:jc w:val="both"/>
              <w:rPr>
                <w:rFonts w:ascii="Garamond" w:hAnsi="Garamond"/>
                <w:b/>
                <w:bCs/>
                <w:i/>
                <w:sz w:val="24"/>
                <w:szCs w:val="24"/>
              </w:rPr>
            </w:pPr>
            <w:r w:rsidRPr="00FA2D18">
              <w:rPr>
                <w:rFonts w:ascii="Garamond" w:hAnsi="Garamond"/>
                <w:b/>
                <w:bCs/>
                <w:i/>
                <w:sz w:val="24"/>
                <w:szCs w:val="24"/>
              </w:rPr>
              <w:t>Derra</w:t>
            </w:r>
          </w:p>
        </w:tc>
        <w:tc>
          <w:tcPr>
            <w:tcW w:w="393" w:type="pct"/>
            <w:tcBorders>
              <w:top w:val="single" w:sz="4" w:space="0" w:color="auto"/>
              <w:left w:val="single" w:sz="4" w:space="0" w:color="auto"/>
              <w:bottom w:val="single" w:sz="4" w:space="0" w:color="auto"/>
              <w:right w:val="single" w:sz="4" w:space="0" w:color="auto"/>
            </w:tcBorders>
            <w:textDirection w:val="btLr"/>
            <w:vAlign w:val="center"/>
            <w:hideMark/>
          </w:tcPr>
          <w:p w14:paraId="1CA2BAFD" w14:textId="77777777" w:rsidR="00B04492" w:rsidRPr="00FA2D18" w:rsidRDefault="00B04492" w:rsidP="00534FF5">
            <w:pPr>
              <w:pStyle w:val="NoSpacing"/>
              <w:jc w:val="both"/>
              <w:rPr>
                <w:rFonts w:ascii="Garamond" w:hAnsi="Garamond"/>
                <w:b/>
                <w:bCs/>
                <w:i/>
                <w:sz w:val="24"/>
                <w:szCs w:val="24"/>
              </w:rPr>
            </w:pPr>
            <w:r w:rsidRPr="00FA2D18">
              <w:rPr>
                <w:rFonts w:ascii="Garamond" w:hAnsi="Garamond"/>
                <w:b/>
                <w:bCs/>
                <w:i/>
                <w:sz w:val="24"/>
                <w:szCs w:val="24"/>
              </w:rPr>
              <w:t>Njëthundrakë</w:t>
            </w:r>
          </w:p>
        </w:tc>
        <w:tc>
          <w:tcPr>
            <w:tcW w:w="393" w:type="pct"/>
            <w:tcBorders>
              <w:top w:val="single" w:sz="4" w:space="0" w:color="auto"/>
              <w:left w:val="single" w:sz="4" w:space="0" w:color="auto"/>
              <w:bottom w:val="single" w:sz="4" w:space="0" w:color="auto"/>
              <w:right w:val="single" w:sz="4" w:space="0" w:color="auto"/>
            </w:tcBorders>
            <w:textDirection w:val="btLr"/>
            <w:vAlign w:val="center"/>
            <w:hideMark/>
          </w:tcPr>
          <w:p w14:paraId="29EC4F9B" w14:textId="77777777" w:rsidR="00B04492" w:rsidRPr="00FA2D18" w:rsidRDefault="00B04492" w:rsidP="00534FF5">
            <w:pPr>
              <w:pStyle w:val="NoSpacing"/>
              <w:jc w:val="both"/>
              <w:rPr>
                <w:rFonts w:ascii="Garamond" w:hAnsi="Garamond"/>
                <w:b/>
                <w:bCs/>
                <w:i/>
                <w:sz w:val="24"/>
                <w:szCs w:val="24"/>
              </w:rPr>
            </w:pPr>
            <w:r w:rsidRPr="00FA2D18">
              <w:rPr>
                <w:rFonts w:ascii="Garamond" w:hAnsi="Garamond"/>
                <w:b/>
                <w:bCs/>
                <w:i/>
                <w:sz w:val="24"/>
                <w:szCs w:val="24"/>
              </w:rPr>
              <w:t>Pula</w:t>
            </w:r>
          </w:p>
        </w:tc>
        <w:tc>
          <w:tcPr>
            <w:tcW w:w="707" w:type="pct"/>
            <w:tcBorders>
              <w:top w:val="single" w:sz="4" w:space="0" w:color="auto"/>
              <w:left w:val="single" w:sz="4" w:space="0" w:color="auto"/>
              <w:bottom w:val="single" w:sz="4" w:space="0" w:color="auto"/>
              <w:right w:val="single" w:sz="4" w:space="0" w:color="auto"/>
            </w:tcBorders>
            <w:textDirection w:val="btLr"/>
            <w:vAlign w:val="center"/>
            <w:hideMark/>
          </w:tcPr>
          <w:p w14:paraId="69B6C306" w14:textId="77777777" w:rsidR="00B04492" w:rsidRPr="00FA2D18" w:rsidRDefault="00B04492" w:rsidP="00534FF5">
            <w:pPr>
              <w:pStyle w:val="NoSpacing"/>
              <w:rPr>
                <w:rFonts w:ascii="Garamond" w:hAnsi="Garamond"/>
                <w:b/>
                <w:bCs/>
                <w:i/>
                <w:sz w:val="24"/>
                <w:szCs w:val="24"/>
              </w:rPr>
            </w:pPr>
            <w:r w:rsidRPr="00FA2D18">
              <w:rPr>
                <w:rFonts w:ascii="Garamond" w:hAnsi="Garamond"/>
                <w:b/>
                <w:bCs/>
                <w:i/>
                <w:sz w:val="24"/>
                <w:szCs w:val="24"/>
              </w:rPr>
              <w:t>Akuakultura (peshk, krostace, produkte të tjera të akuakulturës</w:t>
            </w:r>
          </w:p>
        </w:tc>
        <w:tc>
          <w:tcPr>
            <w:tcW w:w="708" w:type="pct"/>
            <w:tcBorders>
              <w:top w:val="single" w:sz="4" w:space="0" w:color="auto"/>
              <w:left w:val="single" w:sz="4" w:space="0" w:color="auto"/>
              <w:bottom w:val="single" w:sz="4" w:space="0" w:color="auto"/>
              <w:right w:val="single" w:sz="4" w:space="0" w:color="auto"/>
            </w:tcBorders>
            <w:textDirection w:val="btLr"/>
            <w:vAlign w:val="center"/>
            <w:hideMark/>
          </w:tcPr>
          <w:p w14:paraId="2364B597" w14:textId="77777777" w:rsidR="00B04492" w:rsidRPr="00FA2D18" w:rsidRDefault="00B04492" w:rsidP="00534FF5">
            <w:pPr>
              <w:pStyle w:val="NoSpacing"/>
              <w:rPr>
                <w:rFonts w:ascii="Garamond" w:hAnsi="Garamond"/>
                <w:b/>
                <w:bCs/>
                <w:i/>
                <w:sz w:val="24"/>
                <w:szCs w:val="24"/>
              </w:rPr>
            </w:pPr>
            <w:r w:rsidRPr="00FA2D18">
              <w:rPr>
                <w:rFonts w:ascii="Garamond" w:hAnsi="Garamond"/>
                <w:b/>
                <w:bCs/>
                <w:i/>
                <w:sz w:val="24"/>
                <w:szCs w:val="24"/>
              </w:rPr>
              <w:t>Qumësht i freskët nga gjedhët, dhentë dhe dhitë</w:t>
            </w:r>
          </w:p>
        </w:tc>
        <w:tc>
          <w:tcPr>
            <w:tcW w:w="550" w:type="pct"/>
            <w:tcBorders>
              <w:top w:val="single" w:sz="4" w:space="0" w:color="auto"/>
              <w:left w:val="single" w:sz="4" w:space="0" w:color="auto"/>
              <w:bottom w:val="single" w:sz="4" w:space="0" w:color="auto"/>
              <w:right w:val="single" w:sz="4" w:space="0" w:color="auto"/>
            </w:tcBorders>
            <w:textDirection w:val="btLr"/>
            <w:vAlign w:val="center"/>
            <w:hideMark/>
          </w:tcPr>
          <w:p w14:paraId="699737B9" w14:textId="77777777" w:rsidR="00B04492" w:rsidRPr="00FA2D18" w:rsidRDefault="00B04492" w:rsidP="00534FF5">
            <w:pPr>
              <w:pStyle w:val="NoSpacing"/>
              <w:rPr>
                <w:rFonts w:ascii="Garamond" w:hAnsi="Garamond"/>
                <w:b/>
                <w:bCs/>
                <w:i/>
                <w:sz w:val="24"/>
                <w:szCs w:val="24"/>
              </w:rPr>
            </w:pPr>
            <w:r w:rsidRPr="00FA2D18">
              <w:rPr>
                <w:rFonts w:ascii="Garamond" w:hAnsi="Garamond"/>
                <w:b/>
                <w:bCs/>
                <w:i/>
                <w:sz w:val="24"/>
                <w:szCs w:val="24"/>
              </w:rPr>
              <w:t>Vezë pule dhe vezë të tjera</w:t>
            </w:r>
          </w:p>
        </w:tc>
        <w:tc>
          <w:tcPr>
            <w:tcW w:w="751" w:type="pct"/>
            <w:tcBorders>
              <w:top w:val="single" w:sz="4" w:space="0" w:color="auto"/>
              <w:left w:val="single" w:sz="4" w:space="0" w:color="auto"/>
              <w:bottom w:val="single" w:sz="4" w:space="0" w:color="auto"/>
              <w:right w:val="single" w:sz="4" w:space="0" w:color="auto"/>
            </w:tcBorders>
            <w:textDirection w:val="btLr"/>
            <w:vAlign w:val="center"/>
            <w:hideMark/>
          </w:tcPr>
          <w:p w14:paraId="69419430" w14:textId="77777777" w:rsidR="00B04492" w:rsidRPr="00FA2D18" w:rsidRDefault="00B04492" w:rsidP="00534FF5">
            <w:pPr>
              <w:pStyle w:val="NoSpacing"/>
              <w:rPr>
                <w:rFonts w:ascii="Garamond" w:hAnsi="Garamond"/>
                <w:b/>
                <w:bCs/>
                <w:i/>
                <w:sz w:val="24"/>
                <w:szCs w:val="24"/>
              </w:rPr>
            </w:pPr>
            <w:r w:rsidRPr="00FA2D18">
              <w:rPr>
                <w:rFonts w:ascii="Garamond" w:hAnsi="Garamond"/>
                <w:b/>
                <w:bCs/>
                <w:i/>
                <w:sz w:val="24"/>
                <w:szCs w:val="24"/>
              </w:rPr>
              <w:t>Lepuri, kafshë të egra të mbarështuara, reptilë dhe insekte</w:t>
            </w:r>
          </w:p>
        </w:tc>
        <w:tc>
          <w:tcPr>
            <w:tcW w:w="321" w:type="pct"/>
            <w:tcBorders>
              <w:top w:val="single" w:sz="4" w:space="0" w:color="auto"/>
              <w:left w:val="single" w:sz="4" w:space="0" w:color="auto"/>
              <w:bottom w:val="single" w:sz="4" w:space="0" w:color="auto"/>
              <w:right w:val="single" w:sz="4" w:space="0" w:color="auto"/>
            </w:tcBorders>
            <w:textDirection w:val="btLr"/>
            <w:vAlign w:val="center"/>
            <w:hideMark/>
          </w:tcPr>
          <w:p w14:paraId="13DEE96E" w14:textId="77777777" w:rsidR="00B04492" w:rsidRPr="00FA2D18" w:rsidRDefault="00B04492" w:rsidP="00534FF5">
            <w:pPr>
              <w:pStyle w:val="NoSpacing"/>
              <w:jc w:val="both"/>
              <w:rPr>
                <w:rFonts w:ascii="Garamond" w:hAnsi="Garamond"/>
                <w:b/>
                <w:bCs/>
                <w:i/>
                <w:sz w:val="24"/>
                <w:szCs w:val="24"/>
              </w:rPr>
            </w:pPr>
            <w:r w:rsidRPr="00FA2D18">
              <w:rPr>
                <w:rFonts w:ascii="Garamond" w:hAnsi="Garamond"/>
                <w:b/>
                <w:bCs/>
                <w:i/>
                <w:sz w:val="24"/>
                <w:szCs w:val="24"/>
              </w:rPr>
              <w:t>Mjaltë</w:t>
            </w:r>
          </w:p>
        </w:tc>
      </w:tr>
      <w:tr w:rsidR="00FA2D18" w:rsidRPr="00FA2D18" w14:paraId="1564968B" w14:textId="77777777" w:rsidTr="00534FF5">
        <w:trPr>
          <w:tblCellSpacing w:w="0" w:type="dxa"/>
          <w:jc w:val="center"/>
        </w:trPr>
        <w:tc>
          <w:tcPr>
            <w:tcW w:w="470" w:type="pct"/>
            <w:tcBorders>
              <w:top w:val="single" w:sz="4" w:space="0" w:color="auto"/>
              <w:left w:val="single" w:sz="4" w:space="0" w:color="auto"/>
              <w:bottom w:val="single" w:sz="4" w:space="0" w:color="auto"/>
              <w:right w:val="single" w:sz="4" w:space="0" w:color="auto"/>
            </w:tcBorders>
            <w:hideMark/>
          </w:tcPr>
          <w:p w14:paraId="4DC41276"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B1a</w:t>
            </w:r>
          </w:p>
        </w:tc>
        <w:tc>
          <w:tcPr>
            <w:tcW w:w="393" w:type="pct"/>
            <w:tcBorders>
              <w:top w:val="single" w:sz="4" w:space="0" w:color="auto"/>
              <w:left w:val="single" w:sz="4" w:space="0" w:color="auto"/>
              <w:bottom w:val="single" w:sz="4" w:space="0" w:color="auto"/>
              <w:right w:val="single" w:sz="4" w:space="0" w:color="auto"/>
            </w:tcBorders>
            <w:hideMark/>
          </w:tcPr>
          <w:p w14:paraId="760516C0"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314" w:type="pct"/>
            <w:tcBorders>
              <w:top w:val="single" w:sz="4" w:space="0" w:color="auto"/>
              <w:left w:val="single" w:sz="4" w:space="0" w:color="auto"/>
              <w:bottom w:val="single" w:sz="4" w:space="0" w:color="auto"/>
              <w:right w:val="single" w:sz="4" w:space="0" w:color="auto"/>
            </w:tcBorders>
            <w:hideMark/>
          </w:tcPr>
          <w:p w14:paraId="3C46B471"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393" w:type="pct"/>
            <w:tcBorders>
              <w:top w:val="single" w:sz="4" w:space="0" w:color="auto"/>
              <w:left w:val="single" w:sz="4" w:space="0" w:color="auto"/>
              <w:bottom w:val="single" w:sz="4" w:space="0" w:color="auto"/>
              <w:right w:val="single" w:sz="4" w:space="0" w:color="auto"/>
            </w:tcBorders>
            <w:hideMark/>
          </w:tcPr>
          <w:p w14:paraId="7F853414"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393" w:type="pct"/>
            <w:tcBorders>
              <w:top w:val="single" w:sz="4" w:space="0" w:color="auto"/>
              <w:left w:val="single" w:sz="4" w:space="0" w:color="auto"/>
              <w:bottom w:val="single" w:sz="4" w:space="0" w:color="auto"/>
              <w:right w:val="single" w:sz="4" w:space="0" w:color="auto"/>
            </w:tcBorders>
            <w:hideMark/>
          </w:tcPr>
          <w:p w14:paraId="342BEC16"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707" w:type="pct"/>
            <w:tcBorders>
              <w:top w:val="single" w:sz="4" w:space="0" w:color="auto"/>
              <w:left w:val="single" w:sz="4" w:space="0" w:color="auto"/>
              <w:bottom w:val="single" w:sz="4" w:space="0" w:color="auto"/>
              <w:right w:val="single" w:sz="4" w:space="0" w:color="auto"/>
            </w:tcBorders>
            <w:hideMark/>
          </w:tcPr>
          <w:p w14:paraId="140CD58C"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708" w:type="pct"/>
            <w:tcBorders>
              <w:top w:val="single" w:sz="4" w:space="0" w:color="auto"/>
              <w:left w:val="single" w:sz="4" w:space="0" w:color="auto"/>
              <w:bottom w:val="single" w:sz="4" w:space="0" w:color="auto"/>
              <w:right w:val="single" w:sz="4" w:space="0" w:color="auto"/>
            </w:tcBorders>
            <w:hideMark/>
          </w:tcPr>
          <w:p w14:paraId="4B690F43"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550" w:type="pct"/>
            <w:tcBorders>
              <w:top w:val="single" w:sz="4" w:space="0" w:color="auto"/>
              <w:left w:val="single" w:sz="4" w:space="0" w:color="auto"/>
              <w:bottom w:val="single" w:sz="4" w:space="0" w:color="auto"/>
              <w:right w:val="single" w:sz="4" w:space="0" w:color="auto"/>
            </w:tcBorders>
            <w:hideMark/>
          </w:tcPr>
          <w:p w14:paraId="187B480C"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751" w:type="pct"/>
            <w:tcBorders>
              <w:top w:val="single" w:sz="4" w:space="0" w:color="auto"/>
              <w:left w:val="single" w:sz="4" w:space="0" w:color="auto"/>
              <w:bottom w:val="single" w:sz="4" w:space="0" w:color="auto"/>
              <w:right w:val="single" w:sz="4" w:space="0" w:color="auto"/>
            </w:tcBorders>
            <w:hideMark/>
          </w:tcPr>
          <w:p w14:paraId="4C87AB82"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321" w:type="pct"/>
            <w:tcBorders>
              <w:top w:val="single" w:sz="4" w:space="0" w:color="auto"/>
              <w:left w:val="single" w:sz="4" w:space="0" w:color="auto"/>
              <w:bottom w:val="single" w:sz="4" w:space="0" w:color="auto"/>
              <w:right w:val="single" w:sz="4" w:space="0" w:color="auto"/>
            </w:tcBorders>
            <w:hideMark/>
          </w:tcPr>
          <w:p w14:paraId="0BCB6815"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r>
      <w:tr w:rsidR="00FA2D18" w:rsidRPr="00FA2D18" w14:paraId="68F2B3B8" w14:textId="77777777" w:rsidTr="00534FF5">
        <w:trPr>
          <w:tblCellSpacing w:w="0" w:type="dxa"/>
          <w:jc w:val="center"/>
        </w:trPr>
        <w:tc>
          <w:tcPr>
            <w:tcW w:w="470" w:type="pct"/>
            <w:tcBorders>
              <w:top w:val="single" w:sz="4" w:space="0" w:color="auto"/>
              <w:left w:val="single" w:sz="4" w:space="0" w:color="auto"/>
              <w:bottom w:val="single" w:sz="4" w:space="0" w:color="auto"/>
              <w:right w:val="single" w:sz="4" w:space="0" w:color="auto"/>
            </w:tcBorders>
            <w:hideMark/>
          </w:tcPr>
          <w:p w14:paraId="4EF00CB7"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B1b</w:t>
            </w:r>
          </w:p>
        </w:tc>
        <w:tc>
          <w:tcPr>
            <w:tcW w:w="393" w:type="pct"/>
            <w:tcBorders>
              <w:top w:val="single" w:sz="4" w:space="0" w:color="auto"/>
              <w:left w:val="single" w:sz="4" w:space="0" w:color="auto"/>
              <w:bottom w:val="single" w:sz="4" w:space="0" w:color="auto"/>
              <w:right w:val="single" w:sz="4" w:space="0" w:color="auto"/>
            </w:tcBorders>
            <w:hideMark/>
          </w:tcPr>
          <w:p w14:paraId="6A24A77D"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314" w:type="pct"/>
            <w:tcBorders>
              <w:top w:val="single" w:sz="4" w:space="0" w:color="auto"/>
              <w:left w:val="single" w:sz="4" w:space="0" w:color="auto"/>
              <w:bottom w:val="single" w:sz="4" w:space="0" w:color="auto"/>
              <w:right w:val="single" w:sz="4" w:space="0" w:color="auto"/>
            </w:tcBorders>
            <w:hideMark/>
          </w:tcPr>
          <w:p w14:paraId="1B3A4C8A"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393" w:type="pct"/>
            <w:tcBorders>
              <w:top w:val="single" w:sz="4" w:space="0" w:color="auto"/>
              <w:left w:val="single" w:sz="4" w:space="0" w:color="auto"/>
              <w:bottom w:val="single" w:sz="4" w:space="0" w:color="auto"/>
              <w:right w:val="single" w:sz="4" w:space="0" w:color="auto"/>
            </w:tcBorders>
            <w:hideMark/>
          </w:tcPr>
          <w:p w14:paraId="269713B7"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393" w:type="pct"/>
            <w:tcBorders>
              <w:top w:val="single" w:sz="4" w:space="0" w:color="auto"/>
              <w:left w:val="single" w:sz="4" w:space="0" w:color="auto"/>
              <w:bottom w:val="single" w:sz="4" w:space="0" w:color="auto"/>
              <w:right w:val="single" w:sz="4" w:space="0" w:color="auto"/>
            </w:tcBorders>
            <w:hideMark/>
          </w:tcPr>
          <w:p w14:paraId="0CDC1532"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707" w:type="pct"/>
            <w:tcBorders>
              <w:top w:val="single" w:sz="4" w:space="0" w:color="auto"/>
              <w:left w:val="single" w:sz="4" w:space="0" w:color="auto"/>
              <w:bottom w:val="single" w:sz="4" w:space="0" w:color="auto"/>
              <w:right w:val="single" w:sz="4" w:space="0" w:color="auto"/>
            </w:tcBorders>
            <w:hideMark/>
          </w:tcPr>
          <w:p w14:paraId="7225DE1A"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708" w:type="pct"/>
            <w:tcBorders>
              <w:top w:val="single" w:sz="4" w:space="0" w:color="auto"/>
              <w:left w:val="single" w:sz="4" w:space="0" w:color="auto"/>
              <w:bottom w:val="single" w:sz="4" w:space="0" w:color="auto"/>
              <w:right w:val="single" w:sz="4" w:space="0" w:color="auto"/>
            </w:tcBorders>
            <w:hideMark/>
          </w:tcPr>
          <w:p w14:paraId="31C67B77"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550" w:type="pct"/>
            <w:tcBorders>
              <w:top w:val="single" w:sz="4" w:space="0" w:color="auto"/>
              <w:left w:val="single" w:sz="4" w:space="0" w:color="auto"/>
              <w:bottom w:val="single" w:sz="4" w:space="0" w:color="auto"/>
              <w:right w:val="single" w:sz="4" w:space="0" w:color="auto"/>
            </w:tcBorders>
            <w:hideMark/>
          </w:tcPr>
          <w:p w14:paraId="267B4CFD"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751" w:type="pct"/>
            <w:tcBorders>
              <w:top w:val="single" w:sz="4" w:space="0" w:color="auto"/>
              <w:left w:val="single" w:sz="4" w:space="0" w:color="auto"/>
              <w:bottom w:val="single" w:sz="4" w:space="0" w:color="auto"/>
              <w:right w:val="single" w:sz="4" w:space="0" w:color="auto"/>
            </w:tcBorders>
            <w:hideMark/>
          </w:tcPr>
          <w:p w14:paraId="634547B2"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321" w:type="pct"/>
            <w:tcBorders>
              <w:top w:val="single" w:sz="4" w:space="0" w:color="auto"/>
              <w:left w:val="single" w:sz="4" w:space="0" w:color="auto"/>
              <w:bottom w:val="single" w:sz="4" w:space="0" w:color="auto"/>
              <w:right w:val="single" w:sz="4" w:space="0" w:color="auto"/>
            </w:tcBorders>
            <w:hideMark/>
          </w:tcPr>
          <w:p w14:paraId="73DC63EF"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r>
      <w:tr w:rsidR="00FA2D18" w:rsidRPr="00FA2D18" w14:paraId="133AFC63" w14:textId="77777777" w:rsidTr="00534FF5">
        <w:trPr>
          <w:tblCellSpacing w:w="0" w:type="dxa"/>
          <w:jc w:val="center"/>
        </w:trPr>
        <w:tc>
          <w:tcPr>
            <w:tcW w:w="470" w:type="pct"/>
            <w:tcBorders>
              <w:top w:val="single" w:sz="4" w:space="0" w:color="auto"/>
              <w:left w:val="single" w:sz="4" w:space="0" w:color="auto"/>
              <w:bottom w:val="single" w:sz="4" w:space="0" w:color="auto"/>
              <w:right w:val="single" w:sz="4" w:space="0" w:color="auto"/>
            </w:tcBorders>
            <w:hideMark/>
          </w:tcPr>
          <w:p w14:paraId="41E58943"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B1c</w:t>
            </w:r>
          </w:p>
        </w:tc>
        <w:tc>
          <w:tcPr>
            <w:tcW w:w="393" w:type="pct"/>
            <w:tcBorders>
              <w:top w:val="single" w:sz="4" w:space="0" w:color="auto"/>
              <w:left w:val="single" w:sz="4" w:space="0" w:color="auto"/>
              <w:bottom w:val="single" w:sz="4" w:space="0" w:color="auto"/>
              <w:right w:val="single" w:sz="4" w:space="0" w:color="auto"/>
            </w:tcBorders>
            <w:hideMark/>
          </w:tcPr>
          <w:p w14:paraId="1DCFAD01"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314" w:type="pct"/>
            <w:tcBorders>
              <w:top w:val="single" w:sz="4" w:space="0" w:color="auto"/>
              <w:left w:val="single" w:sz="4" w:space="0" w:color="auto"/>
              <w:bottom w:val="single" w:sz="4" w:space="0" w:color="auto"/>
              <w:right w:val="single" w:sz="4" w:space="0" w:color="auto"/>
            </w:tcBorders>
            <w:hideMark/>
          </w:tcPr>
          <w:p w14:paraId="432CB4CA"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393" w:type="pct"/>
            <w:tcBorders>
              <w:top w:val="single" w:sz="4" w:space="0" w:color="auto"/>
              <w:left w:val="single" w:sz="4" w:space="0" w:color="auto"/>
              <w:bottom w:val="single" w:sz="4" w:space="0" w:color="auto"/>
              <w:right w:val="single" w:sz="4" w:space="0" w:color="auto"/>
            </w:tcBorders>
            <w:hideMark/>
          </w:tcPr>
          <w:p w14:paraId="2520706B"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393" w:type="pct"/>
            <w:tcBorders>
              <w:top w:val="single" w:sz="4" w:space="0" w:color="auto"/>
              <w:left w:val="single" w:sz="4" w:space="0" w:color="auto"/>
              <w:bottom w:val="single" w:sz="4" w:space="0" w:color="auto"/>
              <w:right w:val="single" w:sz="4" w:space="0" w:color="auto"/>
            </w:tcBorders>
            <w:hideMark/>
          </w:tcPr>
          <w:p w14:paraId="688573D6" w14:textId="77777777" w:rsidR="00B04492" w:rsidRPr="00FA2D18" w:rsidRDefault="00B04492" w:rsidP="00534FF5">
            <w:pPr>
              <w:spacing w:after="0" w:line="240" w:lineRule="auto"/>
              <w:jc w:val="center"/>
              <w:rPr>
                <w:rFonts w:ascii="Garamond" w:hAnsi="Garamond" w:cs="Times New Roman"/>
                <w:i/>
                <w:sz w:val="24"/>
                <w:szCs w:val="24"/>
              </w:rPr>
            </w:pPr>
          </w:p>
        </w:tc>
        <w:tc>
          <w:tcPr>
            <w:tcW w:w="707" w:type="pct"/>
            <w:tcBorders>
              <w:top w:val="single" w:sz="4" w:space="0" w:color="auto"/>
              <w:left w:val="single" w:sz="4" w:space="0" w:color="auto"/>
              <w:bottom w:val="single" w:sz="4" w:space="0" w:color="auto"/>
              <w:right w:val="single" w:sz="4" w:space="0" w:color="auto"/>
            </w:tcBorders>
            <w:hideMark/>
          </w:tcPr>
          <w:p w14:paraId="62B9D712"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708" w:type="pct"/>
            <w:tcBorders>
              <w:top w:val="single" w:sz="4" w:space="0" w:color="auto"/>
              <w:left w:val="single" w:sz="4" w:space="0" w:color="auto"/>
              <w:bottom w:val="single" w:sz="4" w:space="0" w:color="auto"/>
              <w:right w:val="single" w:sz="4" w:space="0" w:color="auto"/>
            </w:tcBorders>
            <w:hideMark/>
          </w:tcPr>
          <w:p w14:paraId="0E7CB0D3"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550" w:type="pct"/>
            <w:tcBorders>
              <w:top w:val="single" w:sz="4" w:space="0" w:color="auto"/>
              <w:left w:val="single" w:sz="4" w:space="0" w:color="auto"/>
              <w:bottom w:val="single" w:sz="4" w:space="0" w:color="auto"/>
              <w:right w:val="single" w:sz="4" w:space="0" w:color="auto"/>
            </w:tcBorders>
            <w:hideMark/>
          </w:tcPr>
          <w:p w14:paraId="6098359D" w14:textId="77777777" w:rsidR="00B04492" w:rsidRPr="00FA2D18" w:rsidRDefault="00B04492" w:rsidP="00534FF5">
            <w:pPr>
              <w:spacing w:after="0" w:line="240" w:lineRule="auto"/>
              <w:jc w:val="center"/>
              <w:rPr>
                <w:rFonts w:ascii="Garamond" w:hAnsi="Garamond" w:cs="Times New Roman"/>
                <w:i/>
                <w:sz w:val="24"/>
                <w:szCs w:val="24"/>
                <w:lang w:eastAsia="sq-AL"/>
              </w:rPr>
            </w:pPr>
          </w:p>
        </w:tc>
        <w:tc>
          <w:tcPr>
            <w:tcW w:w="751" w:type="pct"/>
            <w:tcBorders>
              <w:top w:val="single" w:sz="4" w:space="0" w:color="auto"/>
              <w:left w:val="single" w:sz="4" w:space="0" w:color="auto"/>
              <w:bottom w:val="single" w:sz="4" w:space="0" w:color="auto"/>
              <w:right w:val="single" w:sz="4" w:space="0" w:color="auto"/>
            </w:tcBorders>
            <w:hideMark/>
          </w:tcPr>
          <w:p w14:paraId="4A4DB342"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321" w:type="pct"/>
            <w:tcBorders>
              <w:top w:val="single" w:sz="4" w:space="0" w:color="auto"/>
              <w:left w:val="single" w:sz="4" w:space="0" w:color="auto"/>
              <w:bottom w:val="single" w:sz="4" w:space="0" w:color="auto"/>
              <w:right w:val="single" w:sz="4" w:space="0" w:color="auto"/>
            </w:tcBorders>
            <w:hideMark/>
          </w:tcPr>
          <w:p w14:paraId="21E2C20C" w14:textId="77777777" w:rsidR="00B04492" w:rsidRPr="00FA2D18" w:rsidRDefault="00B04492" w:rsidP="00534FF5">
            <w:pPr>
              <w:spacing w:after="0" w:line="240" w:lineRule="auto"/>
              <w:jc w:val="center"/>
              <w:rPr>
                <w:rFonts w:ascii="Garamond" w:hAnsi="Garamond" w:cs="Times New Roman"/>
                <w:i/>
                <w:sz w:val="24"/>
                <w:szCs w:val="24"/>
              </w:rPr>
            </w:pPr>
          </w:p>
        </w:tc>
      </w:tr>
      <w:tr w:rsidR="00FA2D18" w:rsidRPr="00FA2D18" w14:paraId="4827BE11" w14:textId="77777777" w:rsidTr="00534FF5">
        <w:trPr>
          <w:tblCellSpacing w:w="0" w:type="dxa"/>
          <w:jc w:val="center"/>
        </w:trPr>
        <w:tc>
          <w:tcPr>
            <w:tcW w:w="470" w:type="pct"/>
            <w:tcBorders>
              <w:top w:val="single" w:sz="4" w:space="0" w:color="auto"/>
              <w:left w:val="single" w:sz="4" w:space="0" w:color="auto"/>
              <w:bottom w:val="single" w:sz="4" w:space="0" w:color="auto"/>
              <w:right w:val="single" w:sz="4" w:space="0" w:color="auto"/>
            </w:tcBorders>
            <w:hideMark/>
          </w:tcPr>
          <w:p w14:paraId="58F11404"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B1d</w:t>
            </w:r>
          </w:p>
        </w:tc>
        <w:tc>
          <w:tcPr>
            <w:tcW w:w="393" w:type="pct"/>
            <w:tcBorders>
              <w:top w:val="single" w:sz="4" w:space="0" w:color="auto"/>
              <w:left w:val="single" w:sz="4" w:space="0" w:color="auto"/>
              <w:bottom w:val="single" w:sz="4" w:space="0" w:color="auto"/>
              <w:right w:val="single" w:sz="4" w:space="0" w:color="auto"/>
            </w:tcBorders>
            <w:hideMark/>
          </w:tcPr>
          <w:p w14:paraId="3399C42E"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314" w:type="pct"/>
            <w:tcBorders>
              <w:top w:val="single" w:sz="4" w:space="0" w:color="auto"/>
              <w:left w:val="single" w:sz="4" w:space="0" w:color="auto"/>
              <w:bottom w:val="single" w:sz="4" w:space="0" w:color="auto"/>
              <w:right w:val="single" w:sz="4" w:space="0" w:color="auto"/>
            </w:tcBorders>
            <w:hideMark/>
          </w:tcPr>
          <w:p w14:paraId="2D07F3AD"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393" w:type="pct"/>
            <w:tcBorders>
              <w:top w:val="single" w:sz="4" w:space="0" w:color="auto"/>
              <w:left w:val="single" w:sz="4" w:space="0" w:color="auto"/>
              <w:bottom w:val="single" w:sz="4" w:space="0" w:color="auto"/>
              <w:right w:val="single" w:sz="4" w:space="0" w:color="auto"/>
            </w:tcBorders>
            <w:hideMark/>
          </w:tcPr>
          <w:p w14:paraId="251BFAF5"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393" w:type="pct"/>
            <w:tcBorders>
              <w:top w:val="single" w:sz="4" w:space="0" w:color="auto"/>
              <w:left w:val="single" w:sz="4" w:space="0" w:color="auto"/>
              <w:bottom w:val="single" w:sz="4" w:space="0" w:color="auto"/>
              <w:right w:val="single" w:sz="4" w:space="0" w:color="auto"/>
            </w:tcBorders>
            <w:hideMark/>
          </w:tcPr>
          <w:p w14:paraId="3D774AF1"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707" w:type="pct"/>
            <w:tcBorders>
              <w:top w:val="single" w:sz="4" w:space="0" w:color="auto"/>
              <w:left w:val="single" w:sz="4" w:space="0" w:color="auto"/>
              <w:bottom w:val="single" w:sz="4" w:space="0" w:color="auto"/>
              <w:right w:val="single" w:sz="4" w:space="0" w:color="auto"/>
            </w:tcBorders>
            <w:hideMark/>
          </w:tcPr>
          <w:p w14:paraId="2482D366" w14:textId="77777777" w:rsidR="00B04492" w:rsidRPr="00FA2D18" w:rsidRDefault="00B04492" w:rsidP="00534FF5">
            <w:pPr>
              <w:spacing w:after="0" w:line="240" w:lineRule="auto"/>
              <w:jc w:val="center"/>
              <w:rPr>
                <w:rFonts w:ascii="Garamond" w:hAnsi="Garamond" w:cs="Times New Roman"/>
                <w:i/>
                <w:sz w:val="24"/>
                <w:szCs w:val="24"/>
              </w:rPr>
            </w:pPr>
          </w:p>
        </w:tc>
        <w:tc>
          <w:tcPr>
            <w:tcW w:w="708" w:type="pct"/>
            <w:tcBorders>
              <w:top w:val="single" w:sz="4" w:space="0" w:color="auto"/>
              <w:left w:val="single" w:sz="4" w:space="0" w:color="auto"/>
              <w:bottom w:val="single" w:sz="4" w:space="0" w:color="auto"/>
              <w:right w:val="single" w:sz="4" w:space="0" w:color="auto"/>
            </w:tcBorders>
            <w:hideMark/>
          </w:tcPr>
          <w:p w14:paraId="49F4AD59"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550" w:type="pct"/>
            <w:tcBorders>
              <w:top w:val="single" w:sz="4" w:space="0" w:color="auto"/>
              <w:left w:val="single" w:sz="4" w:space="0" w:color="auto"/>
              <w:bottom w:val="single" w:sz="4" w:space="0" w:color="auto"/>
              <w:right w:val="single" w:sz="4" w:space="0" w:color="auto"/>
            </w:tcBorders>
            <w:hideMark/>
          </w:tcPr>
          <w:p w14:paraId="4AAAF923" w14:textId="77777777" w:rsidR="00B04492" w:rsidRPr="00FA2D18" w:rsidRDefault="00B04492" w:rsidP="00534FF5">
            <w:pPr>
              <w:spacing w:after="0" w:line="240" w:lineRule="auto"/>
              <w:jc w:val="center"/>
              <w:rPr>
                <w:rFonts w:ascii="Garamond" w:hAnsi="Garamond" w:cs="Times New Roman"/>
                <w:i/>
                <w:sz w:val="24"/>
                <w:szCs w:val="24"/>
              </w:rPr>
            </w:pPr>
          </w:p>
        </w:tc>
        <w:tc>
          <w:tcPr>
            <w:tcW w:w="751" w:type="pct"/>
            <w:tcBorders>
              <w:top w:val="single" w:sz="4" w:space="0" w:color="auto"/>
              <w:left w:val="single" w:sz="4" w:space="0" w:color="auto"/>
              <w:bottom w:val="single" w:sz="4" w:space="0" w:color="auto"/>
              <w:right w:val="single" w:sz="4" w:space="0" w:color="auto"/>
            </w:tcBorders>
            <w:hideMark/>
          </w:tcPr>
          <w:p w14:paraId="1C248A56"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321" w:type="pct"/>
            <w:tcBorders>
              <w:top w:val="single" w:sz="4" w:space="0" w:color="auto"/>
              <w:left w:val="single" w:sz="4" w:space="0" w:color="auto"/>
              <w:bottom w:val="single" w:sz="4" w:space="0" w:color="auto"/>
              <w:right w:val="single" w:sz="4" w:space="0" w:color="auto"/>
            </w:tcBorders>
            <w:hideMark/>
          </w:tcPr>
          <w:p w14:paraId="40DBB7D2" w14:textId="77777777" w:rsidR="00B04492" w:rsidRPr="00FA2D18" w:rsidRDefault="00B04492" w:rsidP="00534FF5">
            <w:pPr>
              <w:spacing w:after="0" w:line="240" w:lineRule="auto"/>
              <w:jc w:val="center"/>
              <w:rPr>
                <w:rFonts w:ascii="Garamond" w:hAnsi="Garamond" w:cs="Times New Roman"/>
                <w:i/>
                <w:sz w:val="24"/>
                <w:szCs w:val="24"/>
              </w:rPr>
            </w:pPr>
          </w:p>
        </w:tc>
      </w:tr>
      <w:tr w:rsidR="00FA2D18" w:rsidRPr="00FA2D18" w14:paraId="7AF3DA29" w14:textId="77777777" w:rsidTr="00534FF5">
        <w:trPr>
          <w:tblCellSpacing w:w="0" w:type="dxa"/>
          <w:jc w:val="center"/>
        </w:trPr>
        <w:tc>
          <w:tcPr>
            <w:tcW w:w="470" w:type="pct"/>
            <w:tcBorders>
              <w:top w:val="single" w:sz="4" w:space="0" w:color="auto"/>
              <w:left w:val="single" w:sz="4" w:space="0" w:color="auto"/>
              <w:bottom w:val="single" w:sz="4" w:space="0" w:color="auto"/>
              <w:right w:val="single" w:sz="4" w:space="0" w:color="auto"/>
            </w:tcBorders>
            <w:hideMark/>
          </w:tcPr>
          <w:p w14:paraId="37B376A8"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lastRenderedPageBreak/>
              <w:t>B1e</w:t>
            </w:r>
          </w:p>
        </w:tc>
        <w:tc>
          <w:tcPr>
            <w:tcW w:w="393" w:type="pct"/>
            <w:tcBorders>
              <w:top w:val="single" w:sz="4" w:space="0" w:color="auto"/>
              <w:left w:val="single" w:sz="4" w:space="0" w:color="auto"/>
              <w:bottom w:val="single" w:sz="4" w:space="0" w:color="auto"/>
              <w:right w:val="single" w:sz="4" w:space="0" w:color="auto"/>
            </w:tcBorders>
            <w:hideMark/>
          </w:tcPr>
          <w:p w14:paraId="7ADBD4C2" w14:textId="77777777" w:rsidR="00B04492" w:rsidRPr="00FA2D18" w:rsidRDefault="00B04492" w:rsidP="00534FF5">
            <w:pPr>
              <w:pStyle w:val="NoSpacing"/>
              <w:jc w:val="center"/>
              <w:rPr>
                <w:rFonts w:ascii="Garamond" w:hAnsi="Garamond"/>
                <w:i/>
                <w:sz w:val="24"/>
                <w:szCs w:val="24"/>
              </w:rPr>
            </w:pPr>
          </w:p>
        </w:tc>
        <w:tc>
          <w:tcPr>
            <w:tcW w:w="314" w:type="pct"/>
            <w:tcBorders>
              <w:top w:val="single" w:sz="4" w:space="0" w:color="auto"/>
              <w:left w:val="single" w:sz="4" w:space="0" w:color="auto"/>
              <w:bottom w:val="single" w:sz="4" w:space="0" w:color="auto"/>
              <w:right w:val="single" w:sz="4" w:space="0" w:color="auto"/>
            </w:tcBorders>
            <w:hideMark/>
          </w:tcPr>
          <w:p w14:paraId="5E7E0C7D" w14:textId="77777777" w:rsidR="00B04492" w:rsidRPr="00FA2D18" w:rsidRDefault="00B04492" w:rsidP="00534FF5">
            <w:pPr>
              <w:pStyle w:val="NoSpacing"/>
              <w:jc w:val="center"/>
              <w:rPr>
                <w:rFonts w:ascii="Garamond" w:hAnsi="Garamond"/>
                <w:i/>
                <w:sz w:val="24"/>
                <w:szCs w:val="24"/>
              </w:rPr>
            </w:pPr>
          </w:p>
        </w:tc>
        <w:tc>
          <w:tcPr>
            <w:tcW w:w="393" w:type="pct"/>
            <w:tcBorders>
              <w:top w:val="single" w:sz="4" w:space="0" w:color="auto"/>
              <w:left w:val="single" w:sz="4" w:space="0" w:color="auto"/>
              <w:bottom w:val="single" w:sz="4" w:space="0" w:color="auto"/>
              <w:right w:val="single" w:sz="4" w:space="0" w:color="auto"/>
            </w:tcBorders>
            <w:hideMark/>
          </w:tcPr>
          <w:p w14:paraId="24B1F48C" w14:textId="77777777" w:rsidR="00B04492" w:rsidRPr="00FA2D18" w:rsidRDefault="00B04492" w:rsidP="00534FF5">
            <w:pPr>
              <w:pStyle w:val="NoSpacing"/>
              <w:jc w:val="center"/>
              <w:rPr>
                <w:rFonts w:ascii="Garamond" w:hAnsi="Garamond"/>
                <w:i/>
                <w:sz w:val="24"/>
                <w:szCs w:val="24"/>
              </w:rPr>
            </w:pPr>
          </w:p>
        </w:tc>
        <w:tc>
          <w:tcPr>
            <w:tcW w:w="393" w:type="pct"/>
            <w:tcBorders>
              <w:top w:val="single" w:sz="4" w:space="0" w:color="auto"/>
              <w:left w:val="single" w:sz="4" w:space="0" w:color="auto"/>
              <w:bottom w:val="single" w:sz="4" w:space="0" w:color="auto"/>
              <w:right w:val="single" w:sz="4" w:space="0" w:color="auto"/>
            </w:tcBorders>
            <w:hideMark/>
          </w:tcPr>
          <w:p w14:paraId="59FF703B" w14:textId="77777777" w:rsidR="00B04492" w:rsidRPr="00FA2D18" w:rsidRDefault="00B04492" w:rsidP="00534FF5">
            <w:pPr>
              <w:pStyle w:val="NoSpacing"/>
              <w:jc w:val="center"/>
              <w:rPr>
                <w:rFonts w:ascii="Garamond" w:hAnsi="Garamond"/>
                <w:i/>
                <w:sz w:val="24"/>
                <w:szCs w:val="24"/>
              </w:rPr>
            </w:pPr>
          </w:p>
        </w:tc>
        <w:tc>
          <w:tcPr>
            <w:tcW w:w="707" w:type="pct"/>
            <w:tcBorders>
              <w:top w:val="single" w:sz="4" w:space="0" w:color="auto"/>
              <w:left w:val="single" w:sz="4" w:space="0" w:color="auto"/>
              <w:bottom w:val="single" w:sz="4" w:space="0" w:color="auto"/>
              <w:right w:val="single" w:sz="4" w:space="0" w:color="auto"/>
            </w:tcBorders>
            <w:hideMark/>
          </w:tcPr>
          <w:p w14:paraId="37816B50" w14:textId="77777777" w:rsidR="00B04492" w:rsidRPr="00FA2D18" w:rsidRDefault="00B04492" w:rsidP="00534FF5">
            <w:pPr>
              <w:pStyle w:val="NoSpacing"/>
              <w:jc w:val="center"/>
              <w:rPr>
                <w:rFonts w:ascii="Garamond" w:hAnsi="Garamond"/>
                <w:i/>
                <w:sz w:val="24"/>
                <w:szCs w:val="24"/>
              </w:rPr>
            </w:pPr>
          </w:p>
        </w:tc>
        <w:tc>
          <w:tcPr>
            <w:tcW w:w="708" w:type="pct"/>
            <w:tcBorders>
              <w:top w:val="single" w:sz="4" w:space="0" w:color="auto"/>
              <w:left w:val="single" w:sz="4" w:space="0" w:color="auto"/>
              <w:bottom w:val="single" w:sz="4" w:space="0" w:color="auto"/>
              <w:right w:val="single" w:sz="4" w:space="0" w:color="auto"/>
            </w:tcBorders>
            <w:hideMark/>
          </w:tcPr>
          <w:p w14:paraId="7AFEBAC5" w14:textId="77777777" w:rsidR="00B04492" w:rsidRPr="00FA2D18" w:rsidRDefault="00B04492" w:rsidP="00534FF5">
            <w:pPr>
              <w:pStyle w:val="NoSpacing"/>
              <w:jc w:val="center"/>
              <w:rPr>
                <w:rFonts w:ascii="Garamond" w:hAnsi="Garamond"/>
                <w:i/>
                <w:sz w:val="24"/>
                <w:szCs w:val="24"/>
              </w:rPr>
            </w:pPr>
          </w:p>
        </w:tc>
        <w:tc>
          <w:tcPr>
            <w:tcW w:w="550" w:type="pct"/>
            <w:tcBorders>
              <w:top w:val="single" w:sz="4" w:space="0" w:color="auto"/>
              <w:left w:val="single" w:sz="4" w:space="0" w:color="auto"/>
              <w:bottom w:val="single" w:sz="4" w:space="0" w:color="auto"/>
              <w:right w:val="single" w:sz="4" w:space="0" w:color="auto"/>
            </w:tcBorders>
            <w:hideMark/>
          </w:tcPr>
          <w:p w14:paraId="19500830" w14:textId="77777777" w:rsidR="00B04492" w:rsidRPr="00FA2D18" w:rsidRDefault="00B04492" w:rsidP="00534FF5">
            <w:pPr>
              <w:pStyle w:val="NoSpacing"/>
              <w:jc w:val="center"/>
              <w:rPr>
                <w:rFonts w:ascii="Garamond" w:hAnsi="Garamond"/>
                <w:i/>
                <w:sz w:val="24"/>
                <w:szCs w:val="24"/>
              </w:rPr>
            </w:pPr>
          </w:p>
        </w:tc>
        <w:tc>
          <w:tcPr>
            <w:tcW w:w="751" w:type="pct"/>
            <w:tcBorders>
              <w:top w:val="single" w:sz="4" w:space="0" w:color="auto"/>
              <w:left w:val="single" w:sz="4" w:space="0" w:color="auto"/>
              <w:bottom w:val="single" w:sz="4" w:space="0" w:color="auto"/>
              <w:right w:val="single" w:sz="4" w:space="0" w:color="auto"/>
            </w:tcBorders>
            <w:hideMark/>
          </w:tcPr>
          <w:p w14:paraId="2E56CD37" w14:textId="77777777" w:rsidR="00B04492" w:rsidRPr="00FA2D18" w:rsidRDefault="00B04492" w:rsidP="00534FF5">
            <w:pPr>
              <w:pStyle w:val="NoSpacing"/>
              <w:jc w:val="center"/>
              <w:rPr>
                <w:rFonts w:ascii="Garamond" w:hAnsi="Garamond"/>
                <w:i/>
                <w:sz w:val="24"/>
                <w:szCs w:val="24"/>
              </w:rPr>
            </w:pPr>
          </w:p>
        </w:tc>
        <w:tc>
          <w:tcPr>
            <w:tcW w:w="321" w:type="pct"/>
            <w:tcBorders>
              <w:top w:val="single" w:sz="4" w:space="0" w:color="auto"/>
              <w:left w:val="single" w:sz="4" w:space="0" w:color="auto"/>
              <w:bottom w:val="single" w:sz="4" w:space="0" w:color="auto"/>
              <w:right w:val="single" w:sz="4" w:space="0" w:color="auto"/>
            </w:tcBorders>
            <w:hideMark/>
          </w:tcPr>
          <w:p w14:paraId="530B7E29" w14:textId="77777777" w:rsidR="00B04492" w:rsidRPr="00FA2D18" w:rsidRDefault="00B04492" w:rsidP="00534FF5">
            <w:pPr>
              <w:pStyle w:val="NoSpacing"/>
              <w:jc w:val="center"/>
              <w:rPr>
                <w:rFonts w:ascii="Garamond" w:hAnsi="Garamond"/>
                <w:i/>
                <w:sz w:val="24"/>
                <w:szCs w:val="24"/>
              </w:rPr>
            </w:pPr>
          </w:p>
        </w:tc>
      </w:tr>
      <w:tr w:rsidR="00FA2D18" w:rsidRPr="00FA2D18" w14:paraId="7C523959" w14:textId="77777777" w:rsidTr="00534FF5">
        <w:trPr>
          <w:tblCellSpacing w:w="0" w:type="dxa"/>
          <w:jc w:val="center"/>
        </w:trPr>
        <w:tc>
          <w:tcPr>
            <w:tcW w:w="470" w:type="pct"/>
            <w:tcBorders>
              <w:top w:val="single" w:sz="4" w:space="0" w:color="auto"/>
              <w:left w:val="single" w:sz="4" w:space="0" w:color="auto"/>
              <w:bottom w:val="single" w:sz="4" w:space="0" w:color="auto"/>
              <w:right w:val="single" w:sz="4" w:space="0" w:color="auto"/>
            </w:tcBorders>
            <w:hideMark/>
          </w:tcPr>
          <w:p w14:paraId="78054CFA"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B2</w:t>
            </w:r>
          </w:p>
        </w:tc>
        <w:tc>
          <w:tcPr>
            <w:tcW w:w="393" w:type="pct"/>
            <w:tcBorders>
              <w:top w:val="single" w:sz="4" w:space="0" w:color="auto"/>
              <w:left w:val="single" w:sz="4" w:space="0" w:color="auto"/>
              <w:bottom w:val="single" w:sz="4" w:space="0" w:color="auto"/>
              <w:right w:val="single" w:sz="4" w:space="0" w:color="auto"/>
            </w:tcBorders>
            <w:hideMark/>
          </w:tcPr>
          <w:p w14:paraId="7E671D36"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314" w:type="pct"/>
            <w:tcBorders>
              <w:top w:val="single" w:sz="4" w:space="0" w:color="auto"/>
              <w:left w:val="single" w:sz="4" w:space="0" w:color="auto"/>
              <w:bottom w:val="single" w:sz="4" w:space="0" w:color="auto"/>
              <w:right w:val="single" w:sz="4" w:space="0" w:color="auto"/>
            </w:tcBorders>
            <w:hideMark/>
          </w:tcPr>
          <w:p w14:paraId="54D88D56"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393" w:type="pct"/>
            <w:tcBorders>
              <w:top w:val="single" w:sz="4" w:space="0" w:color="auto"/>
              <w:left w:val="single" w:sz="4" w:space="0" w:color="auto"/>
              <w:bottom w:val="single" w:sz="4" w:space="0" w:color="auto"/>
              <w:right w:val="single" w:sz="4" w:space="0" w:color="auto"/>
            </w:tcBorders>
            <w:hideMark/>
          </w:tcPr>
          <w:p w14:paraId="12B30BAA"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393" w:type="pct"/>
            <w:tcBorders>
              <w:top w:val="single" w:sz="4" w:space="0" w:color="auto"/>
              <w:left w:val="single" w:sz="4" w:space="0" w:color="auto"/>
              <w:bottom w:val="single" w:sz="4" w:space="0" w:color="auto"/>
              <w:right w:val="single" w:sz="4" w:space="0" w:color="auto"/>
            </w:tcBorders>
            <w:hideMark/>
          </w:tcPr>
          <w:p w14:paraId="79D3300D"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707" w:type="pct"/>
            <w:tcBorders>
              <w:top w:val="single" w:sz="4" w:space="0" w:color="auto"/>
              <w:left w:val="single" w:sz="4" w:space="0" w:color="auto"/>
              <w:bottom w:val="single" w:sz="4" w:space="0" w:color="auto"/>
              <w:right w:val="single" w:sz="4" w:space="0" w:color="auto"/>
            </w:tcBorders>
            <w:hideMark/>
          </w:tcPr>
          <w:p w14:paraId="35E764E0" w14:textId="77777777" w:rsidR="00B04492" w:rsidRPr="00FA2D18" w:rsidRDefault="00B04492" w:rsidP="00534FF5">
            <w:pPr>
              <w:spacing w:after="0" w:line="240" w:lineRule="auto"/>
              <w:jc w:val="center"/>
              <w:rPr>
                <w:rFonts w:ascii="Garamond" w:hAnsi="Garamond" w:cs="Times New Roman"/>
                <w:i/>
                <w:sz w:val="24"/>
                <w:szCs w:val="24"/>
              </w:rPr>
            </w:pPr>
          </w:p>
        </w:tc>
        <w:tc>
          <w:tcPr>
            <w:tcW w:w="708" w:type="pct"/>
            <w:tcBorders>
              <w:top w:val="single" w:sz="4" w:space="0" w:color="auto"/>
              <w:left w:val="single" w:sz="4" w:space="0" w:color="auto"/>
              <w:bottom w:val="single" w:sz="4" w:space="0" w:color="auto"/>
              <w:right w:val="single" w:sz="4" w:space="0" w:color="auto"/>
            </w:tcBorders>
            <w:hideMark/>
          </w:tcPr>
          <w:p w14:paraId="0915AC7C" w14:textId="77777777" w:rsidR="00B04492" w:rsidRPr="00FA2D18" w:rsidRDefault="00B04492" w:rsidP="00534FF5">
            <w:pPr>
              <w:pStyle w:val="NoSpacing"/>
              <w:jc w:val="center"/>
              <w:rPr>
                <w:rFonts w:ascii="Garamond" w:hAnsi="Garamond"/>
                <w:i/>
                <w:sz w:val="24"/>
                <w:szCs w:val="24"/>
              </w:rPr>
            </w:pPr>
          </w:p>
        </w:tc>
        <w:tc>
          <w:tcPr>
            <w:tcW w:w="550" w:type="pct"/>
            <w:tcBorders>
              <w:top w:val="single" w:sz="4" w:space="0" w:color="auto"/>
              <w:left w:val="single" w:sz="4" w:space="0" w:color="auto"/>
              <w:bottom w:val="single" w:sz="4" w:space="0" w:color="auto"/>
              <w:right w:val="single" w:sz="4" w:space="0" w:color="auto"/>
            </w:tcBorders>
            <w:hideMark/>
          </w:tcPr>
          <w:p w14:paraId="1F86D2FC"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751" w:type="pct"/>
            <w:tcBorders>
              <w:top w:val="single" w:sz="4" w:space="0" w:color="auto"/>
              <w:left w:val="single" w:sz="4" w:space="0" w:color="auto"/>
              <w:bottom w:val="single" w:sz="4" w:space="0" w:color="auto"/>
              <w:right w:val="single" w:sz="4" w:space="0" w:color="auto"/>
            </w:tcBorders>
            <w:hideMark/>
          </w:tcPr>
          <w:p w14:paraId="1258E165" w14:textId="77777777" w:rsidR="00B04492" w:rsidRPr="00FA2D18" w:rsidRDefault="00B04492" w:rsidP="00534FF5">
            <w:pPr>
              <w:pStyle w:val="NoSpacing"/>
              <w:jc w:val="center"/>
              <w:rPr>
                <w:rFonts w:ascii="Garamond" w:hAnsi="Garamond"/>
                <w:i/>
                <w:sz w:val="24"/>
                <w:szCs w:val="24"/>
              </w:rPr>
            </w:pPr>
            <w:r w:rsidRPr="00FA2D18">
              <w:rPr>
                <w:rFonts w:ascii="Garamond" w:hAnsi="Garamond"/>
                <w:i/>
                <w:sz w:val="24"/>
                <w:szCs w:val="24"/>
              </w:rPr>
              <w:t>X</w:t>
            </w:r>
          </w:p>
        </w:tc>
        <w:tc>
          <w:tcPr>
            <w:tcW w:w="321" w:type="pct"/>
            <w:tcBorders>
              <w:top w:val="single" w:sz="4" w:space="0" w:color="auto"/>
              <w:left w:val="single" w:sz="4" w:space="0" w:color="auto"/>
              <w:bottom w:val="single" w:sz="4" w:space="0" w:color="auto"/>
              <w:right w:val="single" w:sz="4" w:space="0" w:color="auto"/>
            </w:tcBorders>
            <w:hideMark/>
          </w:tcPr>
          <w:p w14:paraId="76CB9CFB" w14:textId="77777777" w:rsidR="00B04492" w:rsidRPr="00FA2D18" w:rsidRDefault="00B04492" w:rsidP="00534FF5">
            <w:pPr>
              <w:spacing w:after="0" w:line="240" w:lineRule="auto"/>
              <w:jc w:val="center"/>
              <w:rPr>
                <w:rFonts w:ascii="Garamond" w:hAnsi="Garamond" w:cs="Times New Roman"/>
                <w:i/>
                <w:sz w:val="24"/>
                <w:szCs w:val="24"/>
              </w:rPr>
            </w:pPr>
          </w:p>
        </w:tc>
      </w:tr>
    </w:tbl>
    <w:p w14:paraId="796F0862" w14:textId="77777777" w:rsidR="00B04492" w:rsidRPr="00FA2D18" w:rsidRDefault="00B04492" w:rsidP="00B04492">
      <w:pPr>
        <w:pStyle w:val="NoSpacing"/>
        <w:rPr>
          <w:rFonts w:ascii="Garamond" w:hAnsi="Garamond"/>
          <w:i/>
          <w:sz w:val="24"/>
          <w:szCs w:val="24"/>
        </w:rPr>
      </w:pPr>
    </w:p>
    <w:p w14:paraId="33A19DF3" w14:textId="77777777" w:rsidR="00B04492" w:rsidRPr="00FA2D18" w:rsidRDefault="00B04492" w:rsidP="00B04492">
      <w:pPr>
        <w:pStyle w:val="NoSpacing"/>
        <w:ind w:firstLine="284"/>
        <w:jc w:val="both"/>
        <w:rPr>
          <w:rFonts w:ascii="Garamond" w:hAnsi="Garamond"/>
          <w:i/>
          <w:sz w:val="24"/>
          <w:szCs w:val="24"/>
        </w:rPr>
      </w:pPr>
      <w:r w:rsidRPr="00FA2D18">
        <w:rPr>
          <w:rFonts w:ascii="Garamond" w:hAnsi="Garamond"/>
          <w:i/>
          <w:sz w:val="24"/>
          <w:szCs w:val="24"/>
        </w:rPr>
        <w:t xml:space="preserve">Çdo kampion për një lloj të caktuar kafshe ose produkti specifik analizohet duke përfshirë një numër sa më të madh të mundshëm të substancave, në grupet e listuara në tabelën e përfshirë në këtë aneks. </w:t>
      </w:r>
    </w:p>
    <w:p w14:paraId="62A20CC0" w14:textId="5A3540FA" w:rsidR="008D702A" w:rsidRPr="00FA2D18" w:rsidRDefault="00B04492" w:rsidP="00B04492">
      <w:pPr>
        <w:pStyle w:val="NoSpacing"/>
        <w:ind w:firstLine="284"/>
        <w:jc w:val="both"/>
        <w:rPr>
          <w:rFonts w:ascii="Garamond" w:hAnsi="Garamond"/>
          <w:i/>
          <w:iCs/>
          <w:sz w:val="24"/>
          <w:szCs w:val="24"/>
          <w:lang w:val="sq-AL"/>
        </w:rPr>
      </w:pPr>
      <w:r w:rsidRPr="00FA2D18">
        <w:rPr>
          <w:rFonts w:ascii="Garamond" w:hAnsi="Garamond"/>
          <w:i/>
          <w:sz w:val="24"/>
          <w:szCs w:val="24"/>
        </w:rPr>
        <w:t xml:space="preserve">Duhet të sigurohet që për një lloj të caktuar kafshe ose produkt të caktuar, plani i survejancës të përfshijë të gjitha grupet e substancave të listuara në tabelë. Kontrollet kryhen për sa më shumë substanca farmakologjikisht aktive që të jetë e mundur, për të cilat kufijtë maksimalë të mbetjeve janë përcaktuar në shtojcën I, të urdhrit. </w:t>
      </w:r>
      <w:r w:rsidRPr="00FA2D18">
        <w:rPr>
          <w:rFonts w:ascii="Garamond" w:eastAsia="Aptos" w:hAnsi="Garamond"/>
          <w:i/>
          <w:sz w:val="24"/>
          <w:szCs w:val="24"/>
        </w:rPr>
        <w:t>nr. 991, datë 13.10.2025, “Mbi substancat farmakologjikisht aktive dhe klasifikimin e tyre, në lidhje me kufijtë maksimalë të mbetjeve në produktet ushqimore me origjinë shtazore”</w:t>
      </w:r>
      <w:r w:rsidRPr="00FA2D18">
        <w:rPr>
          <w:rFonts w:ascii="Garamond" w:hAnsi="Garamond"/>
          <w:i/>
          <w:iCs/>
          <w:sz w:val="24"/>
          <w:szCs w:val="24"/>
        </w:rPr>
        <w:t xml:space="preserve"> dhe legjislacionit mbi aditivët për përdorim në ushqimin e kafshëve.</w:t>
      </w:r>
    </w:p>
    <w:p w14:paraId="41BF7E7F" w14:textId="77777777" w:rsidR="008D702A" w:rsidRPr="00FA2D18" w:rsidRDefault="008D702A" w:rsidP="006B6C51">
      <w:pPr>
        <w:pStyle w:val="NoSpacing"/>
        <w:ind w:firstLine="284"/>
        <w:jc w:val="center"/>
        <w:rPr>
          <w:rFonts w:ascii="Garamond" w:hAnsi="Garamond"/>
          <w:b/>
          <w:i/>
          <w:sz w:val="24"/>
          <w:szCs w:val="24"/>
          <w:lang w:val="sq-AL"/>
        </w:rPr>
      </w:pPr>
    </w:p>
    <w:p w14:paraId="3A6D483F" w14:textId="77777777" w:rsidR="006B6C51" w:rsidRPr="00FA2D18" w:rsidRDefault="006B6C51" w:rsidP="006B6C51">
      <w:pPr>
        <w:autoSpaceDE w:val="0"/>
        <w:autoSpaceDN w:val="0"/>
        <w:adjustRightInd w:val="0"/>
        <w:spacing w:after="0" w:line="240" w:lineRule="auto"/>
        <w:ind w:firstLine="284"/>
        <w:jc w:val="center"/>
        <w:rPr>
          <w:rFonts w:ascii="Garamond" w:eastAsiaTheme="minorHAnsi" w:hAnsi="Garamond" w:cs="Times New Roman"/>
          <w:bCs/>
          <w:iCs/>
          <w:sz w:val="24"/>
          <w:szCs w:val="24"/>
        </w:rPr>
      </w:pPr>
      <w:r w:rsidRPr="00FA2D18">
        <w:rPr>
          <w:rFonts w:ascii="Garamond" w:eastAsiaTheme="minorHAnsi" w:hAnsi="Garamond" w:cs="Times New Roman"/>
          <w:bCs/>
          <w:iCs/>
          <w:sz w:val="24"/>
          <w:szCs w:val="24"/>
        </w:rPr>
        <w:t>ANEKSI V</w:t>
      </w:r>
    </w:p>
    <w:p w14:paraId="012DB82C" w14:textId="77777777" w:rsidR="00F140AB" w:rsidRPr="00FA2D18" w:rsidRDefault="00F140AB" w:rsidP="006B6C51">
      <w:pPr>
        <w:autoSpaceDE w:val="0"/>
        <w:autoSpaceDN w:val="0"/>
        <w:adjustRightInd w:val="0"/>
        <w:spacing w:after="0" w:line="240" w:lineRule="auto"/>
        <w:ind w:firstLine="284"/>
        <w:jc w:val="center"/>
        <w:rPr>
          <w:rFonts w:ascii="Garamond" w:eastAsiaTheme="minorHAnsi" w:hAnsi="Garamond" w:cs="Times New Roman"/>
          <w:b/>
          <w:bCs/>
          <w:i/>
          <w:iCs/>
          <w:sz w:val="24"/>
          <w:szCs w:val="24"/>
        </w:rPr>
      </w:pPr>
    </w:p>
    <w:p w14:paraId="0D797820" w14:textId="58B4D299" w:rsidR="006B6C51" w:rsidRPr="00FA2D18" w:rsidRDefault="006B6C51" w:rsidP="00F140AB">
      <w:pPr>
        <w:autoSpaceDE w:val="0"/>
        <w:autoSpaceDN w:val="0"/>
        <w:adjustRightInd w:val="0"/>
        <w:spacing w:after="0" w:line="240" w:lineRule="auto"/>
        <w:ind w:firstLine="284"/>
        <w:jc w:val="both"/>
        <w:rPr>
          <w:rFonts w:ascii="Garamond" w:eastAsiaTheme="minorHAnsi" w:hAnsi="Garamond" w:cs="Times New Roman"/>
          <w:b/>
          <w:bCs/>
          <w:i/>
          <w:iCs/>
          <w:sz w:val="24"/>
          <w:szCs w:val="24"/>
        </w:rPr>
      </w:pPr>
      <w:r w:rsidRPr="00FA2D18">
        <w:rPr>
          <w:rFonts w:ascii="Garamond" w:eastAsiaTheme="minorHAnsi" w:hAnsi="Garamond" w:cs="Times New Roman"/>
          <w:b/>
          <w:bCs/>
          <w:i/>
          <w:iCs/>
          <w:sz w:val="24"/>
          <w:szCs w:val="24"/>
        </w:rPr>
        <w:t>Kriteret për strategjinë e kampionimit për planin kombëtar të mbikëqyrjes së rastësishme të prodhimit sipas kërkesave të pikës 3</w:t>
      </w:r>
      <w:r w:rsidR="0093069F" w:rsidRPr="00FA2D18">
        <w:rPr>
          <w:rFonts w:ascii="Garamond" w:eastAsiaTheme="minorHAnsi" w:hAnsi="Garamond" w:cs="Times New Roman"/>
          <w:b/>
          <w:bCs/>
          <w:i/>
          <w:iCs/>
          <w:sz w:val="24"/>
          <w:szCs w:val="24"/>
        </w:rPr>
        <w:t>, nenit 2 të kësaj Rregulloreje</w:t>
      </w:r>
    </w:p>
    <w:p w14:paraId="5276BB0A" w14:textId="13F36115"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1.</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 xml:space="preserve">Kampionimi duhet të jetë i rastësishëm dhe duhet të kryhet në momentin ose sa më afër pas momentit të therjes, të zënies ose </w:t>
      </w:r>
      <w:r w:rsidR="0093069F" w:rsidRPr="00FA2D18">
        <w:rPr>
          <w:rFonts w:ascii="Garamond" w:eastAsiaTheme="minorHAnsi" w:hAnsi="Garamond" w:cs="Times New Roman"/>
          <w:sz w:val="24"/>
          <w:szCs w:val="24"/>
        </w:rPr>
        <w:t xml:space="preserve">të </w:t>
      </w:r>
      <w:r w:rsidRPr="00FA2D18">
        <w:rPr>
          <w:rFonts w:ascii="Garamond" w:eastAsiaTheme="minorHAnsi" w:hAnsi="Garamond" w:cs="Times New Roman"/>
          <w:sz w:val="24"/>
          <w:szCs w:val="24"/>
        </w:rPr>
        <w:t>mbledhjes së prodhimit dhe duhet të jetë përfaqësues i modelit të prodhimit ose/dhe konsumit:</w:t>
      </w:r>
    </w:p>
    <w:p w14:paraId="2FF257D5" w14:textId="68EE3DA7"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për substancat e grupit A, kampionimi do të kryhet gjatë gjithë procesit të prodhimit të kafshëve të destinuara për prodhimin e us</w:t>
      </w:r>
      <w:r w:rsidR="0093069F" w:rsidRPr="00FA2D18">
        <w:rPr>
          <w:rFonts w:ascii="Garamond" w:eastAsiaTheme="minorHAnsi" w:hAnsi="Garamond" w:cs="Times New Roman"/>
          <w:sz w:val="24"/>
          <w:szCs w:val="24"/>
        </w:rPr>
        <w:t>hqimeve dhe të produkteve të pa</w:t>
      </w:r>
      <w:r w:rsidRPr="00FA2D18">
        <w:rPr>
          <w:rFonts w:ascii="Garamond" w:eastAsiaTheme="minorHAnsi" w:hAnsi="Garamond" w:cs="Times New Roman"/>
          <w:sz w:val="24"/>
          <w:szCs w:val="24"/>
        </w:rPr>
        <w:t>përpunuara me origjinë shtazore në kafshët e gjalla të destinuara për prodhimin e ushqimeve, në pjesët e trupit të tyre, në ekskrementet dhe lëngjet trupore, si dhe në inde, produkte dhe nënprodukte me origjinë shtazore, në ujin e pijshëm dhe ushqimin e tyre</w:t>
      </w:r>
      <w:r w:rsidR="0093069F"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sipas rastit përcaktohet se cila është matrica më e përshtatshme;</w:t>
      </w:r>
    </w:p>
    <w:p w14:paraId="7F20611D" w14:textId="16C0271C"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për substancat e grupit B, kampionimi duhet të kryhet vetëm në mishin e freskët ose të ngrirë, të brendshme të konsumushme, vezë, qumësht ose mjaltë (në një datë sa më të afër me atë të prodhimit)</w:t>
      </w:r>
      <w:r w:rsidR="0093069F"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të cilat nuk kanë pësuar transformime të mëtejshme ose përzierje. </w:t>
      </w:r>
    </w:p>
    <w:p w14:paraId="183A9477" w14:textId="6A8CEBC6"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2.</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 xml:space="preserve">Atëherë kur kategori të ndryshme të substancave duhet të analizohen me një kampion të vetëm, madhësia/vëllimi i kampionit duhet të jenë të përshtatshëm për kryerjen e analizave. </w:t>
      </w:r>
    </w:p>
    <w:p w14:paraId="51FF1539" w14:textId="77777777" w:rsidR="00F140AB" w:rsidRPr="00FA2D18" w:rsidRDefault="00F140AB" w:rsidP="006B6C51">
      <w:pPr>
        <w:autoSpaceDE w:val="0"/>
        <w:autoSpaceDN w:val="0"/>
        <w:adjustRightInd w:val="0"/>
        <w:spacing w:after="0" w:line="240" w:lineRule="auto"/>
        <w:ind w:firstLine="284"/>
        <w:jc w:val="center"/>
        <w:rPr>
          <w:rFonts w:ascii="Garamond" w:eastAsiaTheme="minorHAnsi" w:hAnsi="Garamond" w:cs="Times New Roman"/>
          <w:b/>
          <w:bCs/>
          <w:i/>
          <w:iCs/>
          <w:sz w:val="24"/>
          <w:szCs w:val="24"/>
        </w:rPr>
      </w:pPr>
    </w:p>
    <w:p w14:paraId="2EA78222" w14:textId="77777777" w:rsidR="006B6C51" w:rsidRPr="00FA2D18" w:rsidRDefault="006B6C51" w:rsidP="006B6C51">
      <w:pPr>
        <w:autoSpaceDE w:val="0"/>
        <w:autoSpaceDN w:val="0"/>
        <w:adjustRightInd w:val="0"/>
        <w:spacing w:after="0" w:line="240" w:lineRule="auto"/>
        <w:ind w:firstLine="284"/>
        <w:jc w:val="center"/>
        <w:rPr>
          <w:rFonts w:ascii="Garamond" w:eastAsiaTheme="minorHAnsi" w:hAnsi="Garamond" w:cs="Times New Roman"/>
          <w:bCs/>
          <w:iCs/>
          <w:sz w:val="24"/>
          <w:szCs w:val="24"/>
        </w:rPr>
      </w:pPr>
      <w:r w:rsidRPr="00FA2D18">
        <w:rPr>
          <w:rFonts w:ascii="Garamond" w:eastAsiaTheme="minorHAnsi" w:hAnsi="Garamond" w:cs="Times New Roman"/>
          <w:bCs/>
          <w:iCs/>
          <w:sz w:val="24"/>
          <w:szCs w:val="24"/>
        </w:rPr>
        <w:t>ANEKSI VI</w:t>
      </w:r>
    </w:p>
    <w:p w14:paraId="41DE101D" w14:textId="77777777" w:rsidR="00F140AB" w:rsidRPr="00FA2D18" w:rsidRDefault="00F140AB" w:rsidP="006B6C51">
      <w:pPr>
        <w:autoSpaceDE w:val="0"/>
        <w:autoSpaceDN w:val="0"/>
        <w:adjustRightInd w:val="0"/>
        <w:spacing w:after="0" w:line="240" w:lineRule="auto"/>
        <w:ind w:firstLine="284"/>
        <w:jc w:val="center"/>
        <w:rPr>
          <w:rFonts w:ascii="Garamond" w:eastAsiaTheme="minorHAnsi" w:hAnsi="Garamond" w:cs="Times New Roman"/>
          <w:b/>
          <w:bCs/>
          <w:i/>
          <w:iCs/>
          <w:sz w:val="24"/>
          <w:szCs w:val="24"/>
        </w:rPr>
      </w:pPr>
    </w:p>
    <w:p w14:paraId="6B381AF4" w14:textId="1AE6FD40" w:rsidR="006B6C51" w:rsidRPr="00FA2D18" w:rsidRDefault="006B6C51" w:rsidP="00F140AB">
      <w:pPr>
        <w:autoSpaceDE w:val="0"/>
        <w:autoSpaceDN w:val="0"/>
        <w:adjustRightInd w:val="0"/>
        <w:spacing w:after="0" w:line="240" w:lineRule="auto"/>
        <w:ind w:firstLine="284"/>
        <w:jc w:val="both"/>
        <w:rPr>
          <w:rFonts w:ascii="Garamond" w:eastAsiaTheme="minorHAnsi" w:hAnsi="Garamond" w:cs="Times New Roman"/>
          <w:b/>
          <w:bCs/>
          <w:i/>
          <w:iCs/>
          <w:sz w:val="24"/>
          <w:szCs w:val="24"/>
        </w:rPr>
      </w:pPr>
      <w:r w:rsidRPr="00FA2D18">
        <w:rPr>
          <w:rFonts w:ascii="Garamond" w:eastAsiaTheme="minorHAnsi" w:hAnsi="Garamond" w:cs="Times New Roman"/>
          <w:b/>
          <w:bCs/>
          <w:i/>
          <w:iCs/>
          <w:sz w:val="24"/>
          <w:szCs w:val="24"/>
        </w:rPr>
        <w:t>Kriteret për përzgjedhjen e kombinimeve specifike të grupeve të substancave dhe grupeve të produkteve</w:t>
      </w:r>
      <w:r w:rsidR="0093069F" w:rsidRPr="00FA2D18">
        <w:rPr>
          <w:rFonts w:ascii="Garamond" w:eastAsiaTheme="minorHAnsi" w:hAnsi="Garamond" w:cs="Times New Roman"/>
          <w:b/>
          <w:bCs/>
          <w:i/>
          <w:iCs/>
          <w:sz w:val="24"/>
          <w:szCs w:val="24"/>
        </w:rPr>
        <w:t>,</w:t>
      </w:r>
      <w:r w:rsidRPr="00FA2D18">
        <w:rPr>
          <w:rFonts w:ascii="Garamond" w:eastAsiaTheme="minorHAnsi" w:hAnsi="Garamond" w:cs="Times New Roman"/>
          <w:b/>
          <w:bCs/>
          <w:i/>
          <w:iCs/>
          <w:sz w:val="24"/>
          <w:szCs w:val="24"/>
        </w:rPr>
        <w:t xml:space="preserve"> për qëllimet e planeve kombëtare të kontrolleve të importit nga vendet e tjera</w:t>
      </w:r>
      <w:r w:rsidR="0093069F" w:rsidRPr="00FA2D18">
        <w:rPr>
          <w:rFonts w:ascii="Garamond" w:eastAsiaTheme="minorHAnsi" w:hAnsi="Garamond" w:cs="Times New Roman"/>
          <w:b/>
          <w:bCs/>
          <w:i/>
          <w:iCs/>
          <w:sz w:val="24"/>
          <w:szCs w:val="24"/>
        </w:rPr>
        <w:t>,</w:t>
      </w:r>
      <w:r w:rsidRPr="00FA2D18">
        <w:rPr>
          <w:rFonts w:ascii="Garamond" w:eastAsiaTheme="minorHAnsi" w:hAnsi="Garamond" w:cs="Times New Roman"/>
          <w:b/>
          <w:bCs/>
          <w:i/>
          <w:iCs/>
          <w:sz w:val="24"/>
          <w:szCs w:val="24"/>
        </w:rPr>
        <w:t xml:space="preserve"> sipas marrëveshjeve përkatëse bazuar në risk</w:t>
      </w:r>
      <w:r w:rsidR="0093069F" w:rsidRPr="00FA2D18">
        <w:rPr>
          <w:rFonts w:ascii="Garamond" w:eastAsiaTheme="minorHAnsi" w:hAnsi="Garamond" w:cs="Times New Roman"/>
          <w:b/>
          <w:bCs/>
          <w:i/>
          <w:iCs/>
          <w:sz w:val="24"/>
          <w:szCs w:val="24"/>
        </w:rPr>
        <w:t>,</w:t>
      </w:r>
      <w:r w:rsidRPr="00FA2D18">
        <w:rPr>
          <w:rFonts w:ascii="Garamond" w:eastAsiaTheme="minorHAnsi" w:hAnsi="Garamond" w:cs="Times New Roman"/>
          <w:b/>
          <w:bCs/>
          <w:i/>
          <w:iCs/>
          <w:sz w:val="24"/>
          <w:szCs w:val="24"/>
        </w:rPr>
        <w:t xml:space="preserve"> sipas kërkesave të nenit </w:t>
      </w:r>
      <w:r w:rsidR="0093069F" w:rsidRPr="00FA2D18">
        <w:rPr>
          <w:rFonts w:ascii="Garamond" w:eastAsiaTheme="minorHAnsi" w:hAnsi="Garamond" w:cs="Times New Roman"/>
          <w:b/>
          <w:bCs/>
          <w:i/>
          <w:iCs/>
          <w:sz w:val="24"/>
          <w:szCs w:val="24"/>
        </w:rPr>
        <w:t>2, pika 4 të kësaj Rregulloreje</w:t>
      </w:r>
    </w:p>
    <w:p w14:paraId="57DB497E" w14:textId="529A92ED"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1.</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Kritere të listuara në aneksin II.</w:t>
      </w:r>
    </w:p>
    <w:p w14:paraId="129F51ED" w14:textId="0F868192"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2.</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Informacione, aty ku janë të disponushme dhe të nevojshme rreth:</w:t>
      </w:r>
    </w:p>
    <w:p w14:paraId="05169AD6" w14:textId="57A88DCB"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njoftimit të sistemit RASFF për mbetjet në ushqimet e importuara;</w:t>
      </w:r>
    </w:p>
    <w:p w14:paraId="4F3EBDE3" w14:textId="656F021F" w:rsidR="006B6C51" w:rsidRPr="00FA2D18" w:rsidRDefault="006B6C51" w:rsidP="0093069F">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rezultatet e kontrolleve të organizmave ndërkombëtar</w:t>
      </w:r>
      <w:r w:rsidR="0093069F" w:rsidRPr="00FA2D18">
        <w:rPr>
          <w:rFonts w:ascii="Garamond" w:eastAsiaTheme="minorHAnsi" w:hAnsi="Garamond" w:cs="Times New Roman"/>
          <w:sz w:val="24"/>
          <w:szCs w:val="24"/>
        </w:rPr>
        <w:t>ë</w:t>
      </w:r>
      <w:r w:rsidRPr="00FA2D18">
        <w:rPr>
          <w:rFonts w:ascii="Garamond" w:eastAsiaTheme="minorHAnsi" w:hAnsi="Garamond" w:cs="Times New Roman"/>
          <w:sz w:val="24"/>
          <w:szCs w:val="24"/>
        </w:rPr>
        <w:t xml:space="preserve"> sipas marrëveshjeve përkatëse;</w:t>
      </w:r>
    </w:p>
    <w:p w14:paraId="35078582" w14:textId="6960ACF3"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iii.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niveli i garancive të dhëna nga importuesi për</w:t>
      </w:r>
      <w:r w:rsidR="0093069F"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 xml:space="preserve">sa i përket përputhshmërisë së ushqimeve me origjinë shtazore me legjislacionin </w:t>
      </w:r>
      <w:r w:rsidR="0093069F" w:rsidRPr="00FA2D18">
        <w:rPr>
          <w:rFonts w:ascii="Garamond" w:eastAsiaTheme="minorHAnsi" w:hAnsi="Garamond" w:cs="Times New Roman"/>
          <w:sz w:val="24"/>
          <w:szCs w:val="24"/>
        </w:rPr>
        <w:t xml:space="preserve">kombëtar </w:t>
      </w:r>
      <w:r w:rsidRPr="00FA2D18">
        <w:rPr>
          <w:rFonts w:ascii="Garamond" w:eastAsiaTheme="minorHAnsi" w:hAnsi="Garamond" w:cs="Times New Roman"/>
          <w:sz w:val="24"/>
          <w:szCs w:val="24"/>
        </w:rPr>
        <w:t>në fushën e substancave farmakologjikisht aktive, përfshirë respektimin e limiteve maksimale të mbetjeve dhe të niveleve maksimale</w:t>
      </w:r>
      <w:r w:rsidR="0093069F"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si dhe </w:t>
      </w:r>
      <w:r w:rsidR="0093069F" w:rsidRPr="00FA2D18">
        <w:rPr>
          <w:rFonts w:ascii="Garamond" w:eastAsiaTheme="minorHAnsi" w:hAnsi="Garamond" w:cs="Times New Roman"/>
          <w:sz w:val="24"/>
          <w:szCs w:val="24"/>
        </w:rPr>
        <w:t>dokumente që vërtetojnë mos</w:t>
      </w:r>
      <w:r w:rsidRPr="00FA2D18">
        <w:rPr>
          <w:rFonts w:ascii="Garamond" w:eastAsiaTheme="minorHAnsi" w:hAnsi="Garamond" w:cs="Times New Roman"/>
          <w:sz w:val="24"/>
          <w:szCs w:val="24"/>
        </w:rPr>
        <w:t xml:space="preserve">përdorimin e substancave të caktuara; </w:t>
      </w:r>
    </w:p>
    <w:p w14:paraId="7C99901C" w14:textId="3D340216"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iv.</w:t>
      </w:r>
      <w:r w:rsidR="000E0E9D" w:rsidRPr="00FA2D18">
        <w:rPr>
          <w:rFonts w:ascii="Garamond" w:eastAsiaTheme="minorHAnsi" w:hAnsi="Garamond" w:cs="Times New Roman"/>
          <w:sz w:val="24"/>
          <w:szCs w:val="24"/>
        </w:rPr>
        <w:t xml:space="preserve"> </w:t>
      </w:r>
      <w:r w:rsidR="0093069F" w:rsidRPr="00FA2D18">
        <w:rPr>
          <w:rFonts w:ascii="Garamond" w:eastAsiaTheme="minorHAnsi" w:hAnsi="Garamond" w:cs="Times New Roman"/>
          <w:sz w:val="24"/>
          <w:szCs w:val="24"/>
        </w:rPr>
        <w:t>njoftimet e rasteve të pa</w:t>
      </w:r>
      <w:r w:rsidRPr="00FA2D18">
        <w:rPr>
          <w:rFonts w:ascii="Garamond" w:eastAsiaTheme="minorHAnsi" w:hAnsi="Garamond" w:cs="Times New Roman"/>
          <w:sz w:val="24"/>
          <w:szCs w:val="24"/>
        </w:rPr>
        <w:t xml:space="preserve">përputhshmërisë të secilit operator të biznesit ushqimor ose të importuesve të dokumentuar gjatë kontrolleve të mëparshme të importeve. </w:t>
      </w:r>
    </w:p>
    <w:p w14:paraId="2A3A71BE" w14:textId="0F40DE30"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3.</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Informacionet përkatëse të dhëna nga organizmat ndërkombëtare</w:t>
      </w:r>
      <w:r w:rsidR="0093069F"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sipas marrëveshjeve përkatëse, atëherë kur janë të disponushme rreth: </w:t>
      </w:r>
    </w:p>
    <w:p w14:paraId="1F2A4B56" w14:textId="50E67C30" w:rsidR="006B6C51" w:rsidRPr="00FA2D18" w:rsidRDefault="006B6C51" w:rsidP="0093069F">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lastRenderedPageBreak/>
        <w:t>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përdorimit të substancave farmakologjikis</w:t>
      </w:r>
      <w:r w:rsidR="0093069F" w:rsidRPr="00FA2D18">
        <w:rPr>
          <w:rFonts w:ascii="Garamond" w:eastAsiaTheme="minorHAnsi" w:hAnsi="Garamond" w:cs="Times New Roman"/>
          <w:sz w:val="24"/>
          <w:szCs w:val="24"/>
        </w:rPr>
        <w:t>ht aktive të ndaluara ose të pa</w:t>
      </w:r>
      <w:r w:rsidRPr="00FA2D18">
        <w:rPr>
          <w:rFonts w:ascii="Garamond" w:eastAsiaTheme="minorHAnsi" w:hAnsi="Garamond" w:cs="Times New Roman"/>
          <w:sz w:val="24"/>
          <w:szCs w:val="24"/>
        </w:rPr>
        <w:t>autorizuara, prezencës s</w:t>
      </w:r>
      <w:r w:rsidR="0093069F" w:rsidRPr="00FA2D18">
        <w:rPr>
          <w:rFonts w:ascii="Garamond" w:eastAsiaTheme="minorHAnsi" w:hAnsi="Garamond" w:cs="Times New Roman"/>
          <w:sz w:val="24"/>
          <w:szCs w:val="24"/>
        </w:rPr>
        <w:t>ë</w:t>
      </w:r>
      <w:r w:rsidRPr="00FA2D18">
        <w:rPr>
          <w:rFonts w:ascii="Garamond" w:eastAsiaTheme="minorHAnsi" w:hAnsi="Garamond" w:cs="Times New Roman"/>
          <w:sz w:val="24"/>
          <w:szCs w:val="24"/>
        </w:rPr>
        <w:t xml:space="preserve"> informacioneve që i përkasin kufizimit të këtyre përdorimeve dhe praktikat e administrimit të produkteve mjekësorë veterinare (p.sh. me ose pa përfshirjen e profesionistëve të autorizuar të sektorit veterinar);</w:t>
      </w:r>
    </w:p>
    <w:p w14:paraId="3498D665" w14:textId="090E6ED4" w:rsidR="006B6C51" w:rsidRPr="00FA2D18" w:rsidRDefault="006B6C51" w:rsidP="0093069F">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shpërndarjes së produkteve mjekësorë veterinare dhe tipologjisë së shpërndarjes së tyre, gjetja e produkteve mjekësorë në shitje të lirë ose të tregtimit vetëm me recet</w:t>
      </w:r>
      <w:r w:rsidR="0093069F" w:rsidRPr="00FA2D18">
        <w:rPr>
          <w:rFonts w:ascii="Garamond" w:eastAsiaTheme="minorHAnsi" w:hAnsi="Garamond" w:cs="Times New Roman"/>
          <w:sz w:val="24"/>
          <w:szCs w:val="24"/>
        </w:rPr>
        <w:t xml:space="preserve">ë </w:t>
      </w:r>
      <w:r w:rsidRPr="00FA2D18">
        <w:rPr>
          <w:rFonts w:ascii="Garamond" w:eastAsiaTheme="minorHAnsi" w:hAnsi="Garamond" w:cs="Times New Roman"/>
          <w:sz w:val="24"/>
          <w:szCs w:val="24"/>
        </w:rPr>
        <w:t xml:space="preserve">veterinare; </w:t>
      </w:r>
    </w:p>
    <w:p w14:paraId="6665A45A" w14:textId="09BE5FF5" w:rsidR="006B6C51" w:rsidRPr="00FA2D18" w:rsidRDefault="006B6C51" w:rsidP="0093069F">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iii.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detyrimin e mundshëm të regjistrimit të trajtimeve të kryera nëpërmjet përdorimit të produkteve mjekësore veterinare në fermat e vendit joanëtar të origjinës;</w:t>
      </w:r>
    </w:p>
    <w:p w14:paraId="645EEB5B" w14:textId="3C12F457" w:rsidR="006B6C51" w:rsidRPr="00FA2D18" w:rsidRDefault="006B6C51" w:rsidP="00941784">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iv.</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identifikimi i mundshëm i kafshëve dhe mënyrat e kryerjes s</w:t>
      </w:r>
      <w:r w:rsidR="00941784" w:rsidRPr="00FA2D18">
        <w:rPr>
          <w:rFonts w:ascii="Garamond" w:eastAsiaTheme="minorHAnsi" w:hAnsi="Garamond" w:cs="Times New Roman"/>
          <w:sz w:val="24"/>
          <w:szCs w:val="24"/>
        </w:rPr>
        <w:t>ë</w:t>
      </w:r>
      <w:r w:rsidRPr="00FA2D18">
        <w:rPr>
          <w:rFonts w:ascii="Garamond" w:eastAsiaTheme="minorHAnsi" w:hAnsi="Garamond" w:cs="Times New Roman"/>
          <w:sz w:val="24"/>
          <w:szCs w:val="24"/>
        </w:rPr>
        <w:t xml:space="preserve"> tij (për të përcaktuar kafshët e trajtuara).</w:t>
      </w:r>
    </w:p>
    <w:p w14:paraId="75E58411" w14:textId="77777777" w:rsidR="006B6C51" w:rsidRPr="00FA2D18" w:rsidRDefault="006B6C51" w:rsidP="006B6C51">
      <w:pPr>
        <w:autoSpaceDE w:val="0"/>
        <w:autoSpaceDN w:val="0"/>
        <w:adjustRightInd w:val="0"/>
        <w:spacing w:after="0" w:line="240" w:lineRule="auto"/>
        <w:ind w:firstLine="284"/>
        <w:jc w:val="center"/>
        <w:rPr>
          <w:rFonts w:ascii="Garamond" w:eastAsiaTheme="minorHAnsi" w:hAnsi="Garamond" w:cs="Times New Roman"/>
          <w:b/>
          <w:bCs/>
          <w:i/>
          <w:iCs/>
          <w:sz w:val="24"/>
          <w:szCs w:val="24"/>
        </w:rPr>
      </w:pPr>
    </w:p>
    <w:p w14:paraId="010865EF" w14:textId="77777777" w:rsidR="006B6C51" w:rsidRPr="00FA2D18" w:rsidRDefault="006B6C51" w:rsidP="006B6C51">
      <w:pPr>
        <w:autoSpaceDE w:val="0"/>
        <w:autoSpaceDN w:val="0"/>
        <w:adjustRightInd w:val="0"/>
        <w:spacing w:after="0" w:line="240" w:lineRule="auto"/>
        <w:ind w:firstLine="284"/>
        <w:jc w:val="center"/>
        <w:rPr>
          <w:rFonts w:ascii="Garamond" w:eastAsiaTheme="minorHAnsi" w:hAnsi="Garamond" w:cs="Times New Roman"/>
          <w:bCs/>
          <w:iCs/>
          <w:sz w:val="24"/>
          <w:szCs w:val="24"/>
        </w:rPr>
      </w:pPr>
      <w:r w:rsidRPr="00FA2D18">
        <w:rPr>
          <w:rFonts w:ascii="Garamond" w:eastAsiaTheme="minorHAnsi" w:hAnsi="Garamond" w:cs="Times New Roman"/>
          <w:bCs/>
          <w:iCs/>
          <w:sz w:val="24"/>
          <w:szCs w:val="24"/>
        </w:rPr>
        <w:t>ANEKSI VII</w:t>
      </w:r>
    </w:p>
    <w:p w14:paraId="7F1CF6C2" w14:textId="77777777" w:rsidR="00F140AB" w:rsidRPr="00FA2D18" w:rsidRDefault="00F140AB" w:rsidP="006B6C51">
      <w:pPr>
        <w:autoSpaceDE w:val="0"/>
        <w:autoSpaceDN w:val="0"/>
        <w:adjustRightInd w:val="0"/>
        <w:spacing w:after="0" w:line="240" w:lineRule="auto"/>
        <w:ind w:firstLine="284"/>
        <w:jc w:val="center"/>
        <w:rPr>
          <w:rFonts w:ascii="Garamond" w:eastAsiaTheme="minorHAnsi" w:hAnsi="Garamond" w:cs="Times New Roman"/>
          <w:bCs/>
          <w:iCs/>
          <w:sz w:val="24"/>
          <w:szCs w:val="24"/>
        </w:rPr>
      </w:pPr>
    </w:p>
    <w:p w14:paraId="3A3B28B6" w14:textId="0C1DFFFC" w:rsidR="006B6C51" w:rsidRPr="00FA2D18" w:rsidRDefault="006B6C51" w:rsidP="0093069F">
      <w:pPr>
        <w:autoSpaceDE w:val="0"/>
        <w:autoSpaceDN w:val="0"/>
        <w:adjustRightInd w:val="0"/>
        <w:spacing w:after="0" w:line="240" w:lineRule="auto"/>
        <w:ind w:firstLine="284"/>
        <w:jc w:val="both"/>
        <w:rPr>
          <w:rFonts w:ascii="Garamond" w:eastAsiaTheme="minorHAnsi" w:hAnsi="Garamond" w:cs="Times New Roman"/>
          <w:b/>
          <w:bCs/>
          <w:i/>
          <w:iCs/>
          <w:sz w:val="24"/>
          <w:szCs w:val="24"/>
        </w:rPr>
      </w:pPr>
      <w:r w:rsidRPr="00FA2D18">
        <w:rPr>
          <w:rFonts w:ascii="Garamond" w:eastAsiaTheme="minorHAnsi" w:hAnsi="Garamond" w:cs="Times New Roman"/>
          <w:b/>
          <w:bCs/>
          <w:i/>
          <w:iCs/>
          <w:sz w:val="24"/>
          <w:szCs w:val="24"/>
        </w:rPr>
        <w:t>Kritere për hartimin e strategjisë së kampionimit për qëllimet të planeve kombëtare të kontrolleve të importeve nga vendet e tjera</w:t>
      </w:r>
      <w:r w:rsidR="0093069F" w:rsidRPr="00FA2D18">
        <w:rPr>
          <w:rFonts w:ascii="Garamond" w:eastAsiaTheme="minorHAnsi" w:hAnsi="Garamond" w:cs="Times New Roman"/>
          <w:b/>
          <w:bCs/>
          <w:i/>
          <w:iCs/>
          <w:sz w:val="24"/>
          <w:szCs w:val="24"/>
        </w:rPr>
        <w:t>,</w:t>
      </w:r>
      <w:r w:rsidRPr="00FA2D18">
        <w:rPr>
          <w:rFonts w:ascii="Garamond" w:eastAsiaTheme="minorHAnsi" w:hAnsi="Garamond" w:cs="Times New Roman"/>
          <w:b/>
          <w:bCs/>
          <w:i/>
          <w:iCs/>
          <w:sz w:val="24"/>
          <w:szCs w:val="24"/>
        </w:rPr>
        <w:t xml:space="preserve"> sipas marrëveshjeve përkatëse bazuar në risk</w:t>
      </w:r>
      <w:r w:rsidR="0093069F" w:rsidRPr="00FA2D18">
        <w:rPr>
          <w:rFonts w:ascii="Garamond" w:eastAsiaTheme="minorHAnsi" w:hAnsi="Garamond" w:cs="Times New Roman"/>
          <w:b/>
          <w:bCs/>
          <w:i/>
          <w:iCs/>
          <w:sz w:val="24"/>
          <w:szCs w:val="24"/>
        </w:rPr>
        <w:t>,</w:t>
      </w:r>
      <w:r w:rsidRPr="00FA2D18">
        <w:rPr>
          <w:rFonts w:ascii="Garamond" w:eastAsiaTheme="minorHAnsi" w:hAnsi="Garamond" w:cs="Times New Roman"/>
          <w:b/>
          <w:bCs/>
          <w:i/>
          <w:iCs/>
          <w:sz w:val="24"/>
          <w:szCs w:val="24"/>
        </w:rPr>
        <w:t xml:space="preserve"> sipas kërkesave të nenit 2, pika 4</w:t>
      </w:r>
      <w:r w:rsidR="0093069F" w:rsidRPr="00FA2D18">
        <w:rPr>
          <w:rFonts w:ascii="Garamond" w:eastAsiaTheme="minorHAnsi" w:hAnsi="Garamond" w:cs="Times New Roman"/>
          <w:b/>
          <w:bCs/>
          <w:i/>
          <w:iCs/>
          <w:sz w:val="24"/>
          <w:szCs w:val="24"/>
        </w:rPr>
        <w:t>,</w:t>
      </w:r>
      <w:r w:rsidRPr="00FA2D18">
        <w:rPr>
          <w:rFonts w:ascii="Garamond" w:eastAsiaTheme="minorHAnsi" w:hAnsi="Garamond" w:cs="Times New Roman"/>
          <w:b/>
          <w:bCs/>
          <w:i/>
          <w:iCs/>
          <w:sz w:val="24"/>
          <w:szCs w:val="24"/>
        </w:rPr>
        <w:t xml:space="preserve"> të kësaj Rregulloreje</w:t>
      </w:r>
    </w:p>
    <w:p w14:paraId="0A95B260" w14:textId="19D8D359" w:rsidR="006B6C51" w:rsidRPr="00FA2D18" w:rsidRDefault="006B6C51" w:rsidP="00C67172">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1.</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Kampionimi duhet të kryhet në përputhje me normat të përcaktuara në aneksin VI dhe përfshin normat përkatëse</w:t>
      </w:r>
      <w:r w:rsidR="00C67172"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sipas përshkrimeve të aneksit III.</w:t>
      </w:r>
    </w:p>
    <w:p w14:paraId="2BE8CD2A" w14:textId="711B4E2B" w:rsidR="006B6C51" w:rsidRPr="00FA2D18" w:rsidRDefault="006B6C51" w:rsidP="00C67172">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w:t>
      </w:r>
      <w:r w:rsidR="000E0E9D" w:rsidRPr="00FA2D18">
        <w:rPr>
          <w:rFonts w:ascii="Garamond" w:eastAsiaTheme="minorHAnsi" w:hAnsi="Garamond" w:cs="Times New Roman"/>
          <w:sz w:val="24"/>
          <w:szCs w:val="24"/>
        </w:rPr>
        <w:t xml:space="preserve"> </w:t>
      </w:r>
      <w:r w:rsidR="00C67172" w:rsidRPr="00FA2D18">
        <w:rPr>
          <w:rFonts w:ascii="Garamond" w:eastAsiaTheme="minorHAnsi" w:hAnsi="Garamond" w:cs="Times New Roman"/>
          <w:sz w:val="24"/>
          <w:szCs w:val="24"/>
        </w:rPr>
        <w:t xml:space="preserve">për </w:t>
      </w:r>
      <w:r w:rsidRPr="00FA2D18">
        <w:rPr>
          <w:rFonts w:ascii="Garamond" w:eastAsiaTheme="minorHAnsi" w:hAnsi="Garamond" w:cs="Times New Roman"/>
          <w:sz w:val="24"/>
          <w:szCs w:val="24"/>
        </w:rPr>
        <w:t>substancat e grupit A, kampionimi duhet të ketë si qëllim gjetjen e trajtimeve të jashtëligjshme të kryera me përdorimin e substancave të ndaluara ose të paautorizuara.</w:t>
      </w:r>
    </w:p>
    <w:p w14:paraId="1D139841" w14:textId="3F92B444"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ii.</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Për substancat e grupit B, kampionimi duhet të ketë qëllim verifikimin e përputhshmërisë me limitet maksimale të mbetjeve ose nivelet maksimale të mbetjeve të substanca farmakologjikisht aktive</w:t>
      </w:r>
      <w:r w:rsidR="00C67172" w:rsidRPr="00FA2D18">
        <w:rPr>
          <w:rFonts w:ascii="Garamond" w:eastAsiaTheme="minorHAnsi" w:hAnsi="Garamond" w:cs="Times New Roman"/>
          <w:sz w:val="24"/>
          <w:szCs w:val="24"/>
        </w:rPr>
        <w:t>,</w:t>
      </w:r>
      <w:r w:rsidRPr="00FA2D18">
        <w:rPr>
          <w:rFonts w:ascii="Garamond" w:eastAsiaTheme="minorHAnsi" w:hAnsi="Garamond" w:cs="Times New Roman"/>
          <w:sz w:val="24"/>
          <w:szCs w:val="24"/>
        </w:rPr>
        <w:t xml:space="preserve"> sipas normave ligjore kombëtare.</w:t>
      </w:r>
    </w:p>
    <w:p w14:paraId="13C4C0D8" w14:textId="061223CD" w:rsidR="006B6C51" w:rsidRPr="00FA2D18"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FA2D18">
        <w:rPr>
          <w:rFonts w:ascii="Garamond" w:eastAsiaTheme="minorHAnsi" w:hAnsi="Garamond" w:cs="Times New Roman"/>
          <w:sz w:val="24"/>
          <w:szCs w:val="24"/>
        </w:rPr>
        <w:t>2.</w:t>
      </w:r>
      <w:r w:rsidR="000E0E9D" w:rsidRPr="00FA2D18">
        <w:rPr>
          <w:rFonts w:ascii="Garamond" w:eastAsiaTheme="minorHAnsi" w:hAnsi="Garamond" w:cs="Times New Roman"/>
          <w:sz w:val="24"/>
          <w:szCs w:val="24"/>
        </w:rPr>
        <w:t xml:space="preserve"> </w:t>
      </w:r>
      <w:r w:rsidRPr="00FA2D18">
        <w:rPr>
          <w:rFonts w:ascii="Garamond" w:eastAsiaTheme="minorHAnsi" w:hAnsi="Garamond" w:cs="Times New Roman"/>
          <w:sz w:val="24"/>
          <w:szCs w:val="24"/>
        </w:rPr>
        <w:t xml:space="preserve">Kampionet duhet të merren në </w:t>
      </w:r>
      <w:r w:rsidR="00C67172" w:rsidRPr="00FA2D18">
        <w:rPr>
          <w:rFonts w:ascii="Garamond" w:eastAsiaTheme="minorHAnsi" w:hAnsi="Garamond" w:cs="Times New Roman"/>
          <w:sz w:val="24"/>
          <w:szCs w:val="24"/>
        </w:rPr>
        <w:t xml:space="preserve">pikat e inspektimit kufitar </w:t>
      </w:r>
      <w:r w:rsidRPr="00FA2D18">
        <w:rPr>
          <w:rFonts w:ascii="Garamond" w:eastAsiaTheme="minorHAnsi" w:hAnsi="Garamond" w:cs="Times New Roman"/>
          <w:sz w:val="24"/>
          <w:szCs w:val="24"/>
        </w:rPr>
        <w:t>ose në destinacionin përfundimtar.</w:t>
      </w:r>
    </w:p>
    <w:sectPr w:rsidR="006B6C51" w:rsidRPr="00FA2D18" w:rsidSect="00372727">
      <w:footerReference w:type="default" r:id="rId13"/>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03044D" w14:textId="77777777" w:rsidR="00F303B9" w:rsidRDefault="00F303B9" w:rsidP="00730E90">
      <w:pPr>
        <w:spacing w:after="0" w:line="240" w:lineRule="auto"/>
      </w:pPr>
      <w:r>
        <w:separator/>
      </w:r>
    </w:p>
  </w:endnote>
  <w:endnote w:type="continuationSeparator" w:id="0">
    <w:p w14:paraId="1FBF5548" w14:textId="77777777" w:rsidR="00F303B9" w:rsidRDefault="00F303B9" w:rsidP="00730E90">
      <w:pPr>
        <w:spacing w:after="0" w:line="240" w:lineRule="auto"/>
      </w:pPr>
      <w:r>
        <w:continuationSeparator/>
      </w:r>
    </w:p>
  </w:endnote>
  <w:endnote w:type="continuationNotice" w:id="1">
    <w:p w14:paraId="0AE28B42" w14:textId="77777777" w:rsidR="00F303B9" w:rsidRDefault="00F303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0469721"/>
      <w:docPartObj>
        <w:docPartGallery w:val="Page Numbers (Bottom of Page)"/>
        <w:docPartUnique/>
      </w:docPartObj>
    </w:sdtPr>
    <w:sdtEndPr>
      <w:rPr>
        <w:noProof/>
      </w:rPr>
    </w:sdtEndPr>
    <w:sdtContent>
      <w:p w14:paraId="46FBD884" w14:textId="21064813" w:rsidR="00C35C1E" w:rsidRDefault="00C35C1E">
        <w:pPr>
          <w:pStyle w:val="Footer"/>
          <w:jc w:val="right"/>
        </w:pPr>
        <w:r>
          <w:fldChar w:fldCharType="begin"/>
        </w:r>
        <w:r>
          <w:instrText xml:space="preserve"> PAGE   \* MERGEFORMAT </w:instrText>
        </w:r>
        <w:r>
          <w:fldChar w:fldCharType="separate"/>
        </w:r>
        <w:r w:rsidR="00FA2D18">
          <w:rPr>
            <w:noProof/>
          </w:rPr>
          <w:t>1</w:t>
        </w:r>
        <w:r>
          <w:rPr>
            <w:noProof/>
          </w:rPr>
          <w:fldChar w:fldCharType="end"/>
        </w:r>
      </w:p>
    </w:sdtContent>
  </w:sdt>
  <w:p w14:paraId="39E2DC28" w14:textId="77777777" w:rsidR="00C35C1E" w:rsidRDefault="00C35C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1D321F" w14:textId="77777777" w:rsidR="00F303B9" w:rsidRDefault="00F303B9" w:rsidP="00730E90">
      <w:pPr>
        <w:spacing w:after="0" w:line="240" w:lineRule="auto"/>
      </w:pPr>
      <w:r>
        <w:separator/>
      </w:r>
    </w:p>
  </w:footnote>
  <w:footnote w:type="continuationSeparator" w:id="0">
    <w:p w14:paraId="533818EE" w14:textId="77777777" w:rsidR="00F303B9" w:rsidRDefault="00F303B9" w:rsidP="00730E90">
      <w:pPr>
        <w:spacing w:after="0" w:line="240" w:lineRule="auto"/>
      </w:pPr>
      <w:r>
        <w:continuationSeparator/>
      </w:r>
    </w:p>
  </w:footnote>
  <w:footnote w:type="continuationNotice" w:id="1">
    <w:p w14:paraId="59DAC31C" w14:textId="77777777" w:rsidR="00F303B9" w:rsidRDefault="00F303B9">
      <w:pPr>
        <w:spacing w:after="0" w:line="240" w:lineRule="auto"/>
      </w:pPr>
    </w:p>
  </w:footnote>
  <w:footnote w:id="2">
    <w:p w14:paraId="7DCC65B1" w14:textId="303B38F6" w:rsidR="00AC7A56" w:rsidRPr="006B6C51" w:rsidRDefault="00AC7A56" w:rsidP="000E0E9D">
      <w:pPr>
        <w:autoSpaceDE w:val="0"/>
        <w:autoSpaceDN w:val="0"/>
        <w:adjustRightInd w:val="0"/>
        <w:spacing w:after="0" w:line="240" w:lineRule="auto"/>
        <w:jc w:val="both"/>
        <w:rPr>
          <w:rFonts w:ascii="Garamond" w:eastAsiaTheme="minorHAnsi" w:hAnsi="Garamond" w:cs="Times New Roman"/>
          <w:sz w:val="20"/>
          <w:szCs w:val="20"/>
        </w:rPr>
      </w:pPr>
      <w:r w:rsidRPr="000E0E9D">
        <w:rPr>
          <w:rStyle w:val="FootnoteReference"/>
          <w:rFonts w:ascii="Garamond" w:hAnsi="Garamond"/>
          <w:sz w:val="20"/>
          <w:szCs w:val="20"/>
        </w:rPr>
        <w:footnoteRef/>
      </w:r>
      <w:r w:rsidRPr="000E0E9D">
        <w:rPr>
          <w:rFonts w:ascii="Garamond" w:hAnsi="Garamond"/>
          <w:sz w:val="20"/>
          <w:szCs w:val="20"/>
        </w:rPr>
        <w:t xml:space="preserve"> </w:t>
      </w:r>
      <w:r w:rsidRPr="006B6C51">
        <w:rPr>
          <w:rFonts w:ascii="Garamond" w:eastAsiaTheme="minorHAnsi" w:hAnsi="Garamond" w:cs="Times New Roman"/>
          <w:i/>
          <w:iCs/>
          <w:color w:val="000000"/>
          <w:sz w:val="20"/>
          <w:szCs w:val="20"/>
        </w:rPr>
        <w:t xml:space="preserve">Ky urdhër përafron </w:t>
      </w:r>
      <w:r w:rsidR="00690CE5" w:rsidRPr="006B6C51">
        <w:rPr>
          <w:rFonts w:ascii="Garamond" w:eastAsiaTheme="minorHAnsi" w:hAnsi="Garamond" w:cs="Times New Roman"/>
          <w:i/>
          <w:iCs/>
          <w:color w:val="000000"/>
          <w:sz w:val="20"/>
          <w:szCs w:val="20"/>
        </w:rPr>
        <w:t xml:space="preserve">rregulloren e deleguar </w:t>
      </w:r>
      <w:r w:rsidRPr="006B6C51">
        <w:rPr>
          <w:rFonts w:ascii="Garamond" w:eastAsiaTheme="minorHAnsi" w:hAnsi="Garamond" w:cs="Times New Roman"/>
          <w:i/>
          <w:iCs/>
          <w:color w:val="000000"/>
          <w:sz w:val="20"/>
          <w:szCs w:val="20"/>
        </w:rPr>
        <w:t>(BE) 2022/1644, të Komisionit, datë 7 korrik 2022</w:t>
      </w:r>
      <w:r w:rsidR="00690CE5">
        <w:rPr>
          <w:rFonts w:ascii="Garamond" w:eastAsiaTheme="minorHAnsi" w:hAnsi="Garamond" w:cs="Times New Roman"/>
          <w:i/>
          <w:iCs/>
          <w:color w:val="000000"/>
          <w:sz w:val="20"/>
          <w:szCs w:val="20"/>
        </w:rPr>
        <w:t>,</w:t>
      </w:r>
      <w:r w:rsidRPr="006B6C51">
        <w:rPr>
          <w:rFonts w:ascii="Garamond" w:eastAsiaTheme="minorHAnsi" w:hAnsi="Garamond" w:cs="Times New Roman"/>
          <w:i/>
          <w:iCs/>
          <w:color w:val="000000"/>
          <w:sz w:val="20"/>
          <w:szCs w:val="20"/>
        </w:rPr>
        <w:t xml:space="preserve"> “Për kryerjen e kontrolleve zyrtare mbi përdorimin e substancave farmakologjikisht aktive të autorizuara si produkte mjekësore veterinare ose si aditivë për ushqimet për kafshë dhe mbetjet e tyre</w:t>
      </w:r>
      <w:r w:rsidR="00690CE5">
        <w:rPr>
          <w:rFonts w:ascii="Garamond" w:eastAsiaTheme="minorHAnsi" w:hAnsi="Garamond" w:cs="Times New Roman"/>
          <w:i/>
          <w:iCs/>
          <w:color w:val="000000"/>
          <w:sz w:val="20"/>
          <w:szCs w:val="20"/>
        </w:rPr>
        <w:t>,</w:t>
      </w:r>
      <w:r w:rsidRPr="006B6C51">
        <w:rPr>
          <w:rFonts w:ascii="Garamond" w:eastAsiaTheme="minorHAnsi" w:hAnsi="Garamond" w:cs="Times New Roman"/>
          <w:i/>
          <w:iCs/>
          <w:color w:val="000000"/>
          <w:sz w:val="20"/>
          <w:szCs w:val="20"/>
        </w:rPr>
        <w:t xml:space="preserve"> si dhe mbi përdorimin e substancave farmakologjikisht aktive të ndaluara që përdoren në kafshët që prodhojnë ushqim dhe mbetjet e tyre”. Cel</w:t>
      </w:r>
      <w:r w:rsidR="000A00A6">
        <w:rPr>
          <w:rFonts w:ascii="Garamond" w:eastAsiaTheme="minorHAnsi" w:hAnsi="Garamond" w:cs="Times New Roman"/>
          <w:i/>
          <w:iCs/>
          <w:color w:val="000000"/>
          <w:sz w:val="20"/>
          <w:szCs w:val="20"/>
        </w:rPr>
        <w:t xml:space="preserve">ex: 32022R1646, Gazeta Zyrtare </w:t>
      </w:r>
      <w:r w:rsidRPr="006B6C51">
        <w:rPr>
          <w:rFonts w:ascii="Garamond" w:eastAsiaTheme="minorHAnsi" w:hAnsi="Garamond" w:cs="Times New Roman"/>
          <w:i/>
          <w:iCs/>
          <w:color w:val="000000"/>
          <w:sz w:val="20"/>
          <w:szCs w:val="20"/>
        </w:rPr>
        <w:t>248, faqe 32.</w:t>
      </w:r>
    </w:p>
    <w:p w14:paraId="1CEBC765" w14:textId="592BBBB1" w:rsidR="00AC7A56" w:rsidRPr="000E0E9D" w:rsidRDefault="00AC7A56" w:rsidP="000E0E9D">
      <w:pPr>
        <w:pStyle w:val="FootnoteText"/>
        <w:rPr>
          <w:rFonts w:ascii="Garamond" w:hAnsi="Garamond"/>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90972"/>
    <w:multiLevelType w:val="hybridMultilevel"/>
    <w:tmpl w:val="A6103886"/>
    <w:lvl w:ilvl="0" w:tplc="F9EEAA26">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 w15:restartNumberingAfterBreak="0">
    <w:nsid w:val="1A6B3CBA"/>
    <w:multiLevelType w:val="hybridMultilevel"/>
    <w:tmpl w:val="13F01F56"/>
    <w:lvl w:ilvl="0" w:tplc="BD306020">
      <w:start w:val="1"/>
      <w:numFmt w:val="decimal"/>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2" w15:restartNumberingAfterBreak="0">
    <w:nsid w:val="26497C9F"/>
    <w:multiLevelType w:val="hybridMultilevel"/>
    <w:tmpl w:val="5A063438"/>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 w15:restartNumberingAfterBreak="0">
    <w:nsid w:val="341B401F"/>
    <w:multiLevelType w:val="hybridMultilevel"/>
    <w:tmpl w:val="9D7C4FB4"/>
    <w:lvl w:ilvl="0" w:tplc="041C001B">
      <w:start w:val="1"/>
      <w:numFmt w:val="lowerRoman"/>
      <w:lvlText w:val="%1."/>
      <w:lvlJc w:val="right"/>
      <w:pPr>
        <w:ind w:left="1440" w:hanging="360"/>
      </w:p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4" w15:restartNumberingAfterBreak="0">
    <w:nsid w:val="3680023C"/>
    <w:multiLevelType w:val="hybridMultilevel"/>
    <w:tmpl w:val="EF38C25C"/>
    <w:lvl w:ilvl="0" w:tplc="041C0017">
      <w:start w:val="1"/>
      <w:numFmt w:val="lowerLetter"/>
      <w:lvlText w:val="%1)"/>
      <w:lvlJc w:val="left"/>
      <w:pPr>
        <w:ind w:left="720" w:hanging="360"/>
      </w:pPr>
    </w:lvl>
    <w:lvl w:ilvl="1" w:tplc="041C0017">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5" w15:restartNumberingAfterBreak="0">
    <w:nsid w:val="36A46417"/>
    <w:multiLevelType w:val="hybridMultilevel"/>
    <w:tmpl w:val="24ECD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B74A87"/>
    <w:multiLevelType w:val="hybridMultilevel"/>
    <w:tmpl w:val="750EFF80"/>
    <w:lvl w:ilvl="0" w:tplc="041C001B">
      <w:start w:val="1"/>
      <w:numFmt w:val="lowerRoman"/>
      <w:lvlText w:val="%1."/>
      <w:lvlJc w:val="right"/>
      <w:pPr>
        <w:ind w:left="1440" w:hanging="360"/>
      </w:p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7" w15:restartNumberingAfterBreak="0">
    <w:nsid w:val="397B64CB"/>
    <w:multiLevelType w:val="hybridMultilevel"/>
    <w:tmpl w:val="7BFCD2D0"/>
    <w:lvl w:ilvl="0" w:tplc="FEFC8F90">
      <w:start w:val="1"/>
      <w:numFmt w:val="decimal"/>
      <w:lvlText w:val="%1."/>
      <w:lvlJc w:val="left"/>
      <w:pPr>
        <w:ind w:left="720" w:hanging="360"/>
      </w:pPr>
      <w:rPr>
        <w:rFonts w:ascii="Times New Roman" w:eastAsiaTheme="minorHAnsi" w:hAnsi="Times New Roman" w:cstheme="minorBidi"/>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8" w15:restartNumberingAfterBreak="0">
    <w:nsid w:val="42516A34"/>
    <w:multiLevelType w:val="hybridMultilevel"/>
    <w:tmpl w:val="7682CCE6"/>
    <w:lvl w:ilvl="0" w:tplc="041C000F">
      <w:start w:val="1"/>
      <w:numFmt w:val="decimal"/>
      <w:lvlText w:val="%1."/>
      <w:lvlJc w:val="left"/>
      <w:pPr>
        <w:ind w:left="720" w:hanging="360"/>
      </w:pPr>
    </w:lvl>
    <w:lvl w:ilvl="1" w:tplc="041C001B">
      <w:start w:val="1"/>
      <w:numFmt w:val="lowerRoman"/>
      <w:lvlText w:val="%2."/>
      <w:lvlJc w:val="right"/>
      <w:pPr>
        <w:ind w:left="1440" w:hanging="360"/>
      </w:pPr>
    </w:lvl>
    <w:lvl w:ilvl="2" w:tplc="32FEB81A">
      <w:start w:val="2"/>
      <w:numFmt w:val="bullet"/>
      <w:lvlText w:val="-"/>
      <w:lvlJc w:val="left"/>
      <w:pPr>
        <w:ind w:left="2340" w:hanging="360"/>
      </w:pPr>
      <w:rPr>
        <w:rFonts w:ascii="Times New Roman" w:eastAsiaTheme="minorHAnsi" w:hAnsi="Times New Roman" w:cs="Times New Roman" w:hint="default"/>
      </w:rPr>
    </w:lvl>
    <w:lvl w:ilvl="3" w:tplc="4C001022">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9" w15:restartNumberingAfterBreak="0">
    <w:nsid w:val="4F257F10"/>
    <w:multiLevelType w:val="hybridMultilevel"/>
    <w:tmpl w:val="BF7A3D88"/>
    <w:lvl w:ilvl="0" w:tplc="041C000F">
      <w:start w:val="1"/>
      <w:numFmt w:val="decimal"/>
      <w:lvlText w:val="%1."/>
      <w:lvlJc w:val="left"/>
      <w:pPr>
        <w:ind w:left="720" w:hanging="360"/>
      </w:pPr>
    </w:lvl>
    <w:lvl w:ilvl="1" w:tplc="041C001B">
      <w:start w:val="1"/>
      <w:numFmt w:val="lowerRoman"/>
      <w:lvlText w:val="%2."/>
      <w:lvlJc w:val="right"/>
      <w:pPr>
        <w:ind w:left="1440" w:hanging="360"/>
      </w:pPr>
    </w:lvl>
    <w:lvl w:ilvl="2" w:tplc="32FEB81A">
      <w:start w:val="2"/>
      <w:numFmt w:val="bullet"/>
      <w:lvlText w:val="-"/>
      <w:lvlJc w:val="left"/>
      <w:pPr>
        <w:ind w:left="2340" w:hanging="360"/>
      </w:pPr>
      <w:rPr>
        <w:rFonts w:ascii="Times New Roman" w:eastAsiaTheme="minorHAnsi" w:hAnsi="Times New Roman" w:cs="Times New Roman" w:hint="default"/>
      </w:rPr>
    </w:lvl>
    <w:lvl w:ilvl="3" w:tplc="4C001022">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0" w15:restartNumberingAfterBreak="0">
    <w:nsid w:val="5BFB73B0"/>
    <w:multiLevelType w:val="hybridMultilevel"/>
    <w:tmpl w:val="BAA0002C"/>
    <w:lvl w:ilvl="0" w:tplc="041C000F">
      <w:start w:val="1"/>
      <w:numFmt w:val="decimal"/>
      <w:lvlText w:val="%1."/>
      <w:lvlJc w:val="left"/>
      <w:pPr>
        <w:ind w:left="720" w:hanging="360"/>
      </w:pPr>
    </w:lvl>
    <w:lvl w:ilvl="1" w:tplc="041C001B">
      <w:start w:val="1"/>
      <w:numFmt w:val="lowerRoman"/>
      <w:lvlText w:val="%2."/>
      <w:lvlJc w:val="right"/>
      <w:pPr>
        <w:ind w:left="1440" w:hanging="360"/>
      </w:pPr>
    </w:lvl>
    <w:lvl w:ilvl="2" w:tplc="32FEB81A">
      <w:start w:val="2"/>
      <w:numFmt w:val="bullet"/>
      <w:lvlText w:val="-"/>
      <w:lvlJc w:val="left"/>
      <w:pPr>
        <w:ind w:left="2340" w:hanging="360"/>
      </w:pPr>
      <w:rPr>
        <w:rFonts w:ascii="Times New Roman" w:eastAsiaTheme="minorHAnsi" w:hAnsi="Times New Roman" w:cs="Times New Roman" w:hint="default"/>
      </w:rPr>
    </w:lvl>
    <w:lvl w:ilvl="3" w:tplc="4C001022">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1" w15:restartNumberingAfterBreak="0">
    <w:nsid w:val="606B394C"/>
    <w:multiLevelType w:val="hybridMultilevel"/>
    <w:tmpl w:val="0A1042F2"/>
    <w:lvl w:ilvl="0" w:tplc="9F0C4052">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2" w15:restartNumberingAfterBreak="0">
    <w:nsid w:val="6A087ECC"/>
    <w:multiLevelType w:val="hybridMultilevel"/>
    <w:tmpl w:val="6F4A0C94"/>
    <w:lvl w:ilvl="0" w:tplc="041C000F">
      <w:start w:val="1"/>
      <w:numFmt w:val="decimal"/>
      <w:lvlText w:val="%1."/>
      <w:lvlJc w:val="left"/>
      <w:pPr>
        <w:ind w:left="720" w:hanging="360"/>
      </w:pPr>
    </w:lvl>
    <w:lvl w:ilvl="1" w:tplc="041C0017">
      <w:start w:val="1"/>
      <w:numFmt w:val="lowerLetter"/>
      <w:lvlText w:val="%2)"/>
      <w:lvlJc w:val="left"/>
      <w:pPr>
        <w:ind w:left="1440" w:hanging="360"/>
      </w:pPr>
    </w:lvl>
    <w:lvl w:ilvl="2" w:tplc="32FEB81A">
      <w:start w:val="2"/>
      <w:numFmt w:val="bullet"/>
      <w:lvlText w:val="-"/>
      <w:lvlJc w:val="left"/>
      <w:pPr>
        <w:ind w:left="2340" w:hanging="360"/>
      </w:pPr>
      <w:rPr>
        <w:rFonts w:ascii="Times New Roman" w:eastAsiaTheme="minorHAnsi" w:hAnsi="Times New Roman" w:cs="Times New Roman" w:hint="default"/>
      </w:rPr>
    </w:lvl>
    <w:lvl w:ilvl="3" w:tplc="4C001022">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3" w15:restartNumberingAfterBreak="0">
    <w:nsid w:val="6D6D2BC3"/>
    <w:multiLevelType w:val="hybridMultilevel"/>
    <w:tmpl w:val="44FE5550"/>
    <w:lvl w:ilvl="0" w:tplc="041C001B">
      <w:start w:val="1"/>
      <w:numFmt w:val="lowerRoman"/>
      <w:lvlText w:val="%1."/>
      <w:lvlJc w:val="right"/>
      <w:pPr>
        <w:ind w:left="1440" w:hanging="360"/>
      </w:p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14" w15:restartNumberingAfterBreak="0">
    <w:nsid w:val="729A5F52"/>
    <w:multiLevelType w:val="hybridMultilevel"/>
    <w:tmpl w:val="56568F0A"/>
    <w:lvl w:ilvl="0" w:tplc="041C0017">
      <w:start w:val="1"/>
      <w:numFmt w:val="lowerLetter"/>
      <w:lvlText w:val="%1)"/>
      <w:lvlJc w:val="left"/>
      <w:pPr>
        <w:ind w:left="786" w:hanging="360"/>
      </w:pPr>
    </w:lvl>
    <w:lvl w:ilvl="1" w:tplc="041C0017">
      <w:start w:val="1"/>
      <w:numFmt w:val="lowerLetter"/>
      <w:lvlText w:val="%2)"/>
      <w:lvlJc w:val="left"/>
      <w:pPr>
        <w:ind w:left="1506" w:hanging="360"/>
      </w:pPr>
    </w:lvl>
    <w:lvl w:ilvl="2" w:tplc="041C001B">
      <w:start w:val="1"/>
      <w:numFmt w:val="lowerRoman"/>
      <w:lvlText w:val="%3."/>
      <w:lvlJc w:val="right"/>
      <w:pPr>
        <w:ind w:left="2226" w:hanging="180"/>
      </w:pPr>
    </w:lvl>
    <w:lvl w:ilvl="3" w:tplc="041C000F">
      <w:start w:val="1"/>
      <w:numFmt w:val="decimal"/>
      <w:lvlText w:val="%4."/>
      <w:lvlJc w:val="left"/>
      <w:pPr>
        <w:ind w:left="2946" w:hanging="360"/>
      </w:pPr>
    </w:lvl>
    <w:lvl w:ilvl="4" w:tplc="041C0019">
      <w:start w:val="1"/>
      <w:numFmt w:val="lowerLetter"/>
      <w:lvlText w:val="%5."/>
      <w:lvlJc w:val="left"/>
      <w:pPr>
        <w:ind w:left="3666" w:hanging="360"/>
      </w:pPr>
    </w:lvl>
    <w:lvl w:ilvl="5" w:tplc="041C001B">
      <w:start w:val="1"/>
      <w:numFmt w:val="lowerRoman"/>
      <w:lvlText w:val="%6."/>
      <w:lvlJc w:val="right"/>
      <w:pPr>
        <w:ind w:left="4386" w:hanging="180"/>
      </w:pPr>
    </w:lvl>
    <w:lvl w:ilvl="6" w:tplc="041C000F">
      <w:start w:val="1"/>
      <w:numFmt w:val="decimal"/>
      <w:lvlText w:val="%7."/>
      <w:lvlJc w:val="left"/>
      <w:pPr>
        <w:ind w:left="5106" w:hanging="360"/>
      </w:pPr>
    </w:lvl>
    <w:lvl w:ilvl="7" w:tplc="041C0019">
      <w:start w:val="1"/>
      <w:numFmt w:val="lowerLetter"/>
      <w:lvlText w:val="%8."/>
      <w:lvlJc w:val="left"/>
      <w:pPr>
        <w:ind w:left="5826" w:hanging="360"/>
      </w:pPr>
    </w:lvl>
    <w:lvl w:ilvl="8" w:tplc="041C001B">
      <w:start w:val="1"/>
      <w:numFmt w:val="lowerRoman"/>
      <w:lvlText w:val="%9."/>
      <w:lvlJc w:val="right"/>
      <w:pPr>
        <w:ind w:left="6546" w:hanging="180"/>
      </w:pPr>
    </w:lvl>
  </w:abstractNum>
  <w:abstractNum w:abstractNumId="15" w15:restartNumberingAfterBreak="0">
    <w:nsid w:val="72B3128C"/>
    <w:multiLevelType w:val="hybridMultilevel"/>
    <w:tmpl w:val="5D887C9E"/>
    <w:lvl w:ilvl="0" w:tplc="5108F8E0">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6" w15:restartNumberingAfterBreak="0">
    <w:nsid w:val="7326397E"/>
    <w:multiLevelType w:val="hybridMultilevel"/>
    <w:tmpl w:val="B91E4636"/>
    <w:lvl w:ilvl="0" w:tplc="0409000F">
      <w:start w:val="1"/>
      <w:numFmt w:val="decimal"/>
      <w:lvlText w:val="%1."/>
      <w:lvlJc w:val="left"/>
      <w:pPr>
        <w:ind w:left="720" w:hanging="360"/>
      </w:pPr>
    </w:lvl>
    <w:lvl w:ilvl="1" w:tplc="DA44DF22">
      <w:start w:val="1"/>
      <w:numFmt w:val="lowerLetter"/>
      <w:lvlText w:val="(%2)"/>
      <w:lvlJc w:val="left"/>
      <w:pPr>
        <w:ind w:left="1440" w:hanging="360"/>
      </w:pPr>
    </w:lvl>
    <w:lvl w:ilvl="2" w:tplc="AFFA986C">
      <w:start w:val="1"/>
      <w:numFmt w:val="lowerLetter"/>
      <w:lvlText w:val="%3)"/>
      <w:lvlJc w:val="left"/>
      <w:pPr>
        <w:ind w:left="2340" w:hanging="36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7" w15:restartNumberingAfterBreak="0">
    <w:nsid w:val="7611308C"/>
    <w:multiLevelType w:val="hybridMultilevel"/>
    <w:tmpl w:val="A1CCBFAE"/>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8" w15:restartNumberingAfterBreak="0">
    <w:nsid w:val="7B5B1C39"/>
    <w:multiLevelType w:val="hybridMultilevel"/>
    <w:tmpl w:val="830A7CBE"/>
    <w:lvl w:ilvl="0" w:tplc="0409001B">
      <w:start w:val="1"/>
      <w:numFmt w:val="lowerRoman"/>
      <w:lvlText w:val="%1."/>
      <w:lvlJc w:val="right"/>
      <w:pPr>
        <w:ind w:left="1440" w:hanging="360"/>
      </w:p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19" w15:restartNumberingAfterBreak="0">
    <w:nsid w:val="7BB9405C"/>
    <w:multiLevelType w:val="multilevel"/>
    <w:tmpl w:val="8426187E"/>
    <w:lvl w:ilvl="0">
      <w:start w:val="1"/>
      <w:numFmt w:val="decimal"/>
      <w:lvlText w:val="%1."/>
      <w:lvlJc w:val="left"/>
      <w:pPr>
        <w:ind w:left="720" w:hanging="360"/>
      </w:pPr>
      <w:rPr>
        <w:rFonts w:hint="default"/>
        <w:b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DC53C0D"/>
    <w:multiLevelType w:val="hybridMultilevel"/>
    <w:tmpl w:val="D06C4284"/>
    <w:lvl w:ilvl="0" w:tplc="041C0017">
      <w:start w:val="1"/>
      <w:numFmt w:val="lowerLetter"/>
      <w:lvlText w:val="%1)"/>
      <w:lvlJc w:val="left"/>
      <w:pPr>
        <w:ind w:left="720" w:hanging="360"/>
      </w:pPr>
    </w:lvl>
    <w:lvl w:ilvl="1" w:tplc="041C0017">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1" w15:restartNumberingAfterBreak="0">
    <w:nsid w:val="7F606D31"/>
    <w:multiLevelType w:val="hybridMultilevel"/>
    <w:tmpl w:val="1F985006"/>
    <w:lvl w:ilvl="0" w:tplc="041C000F">
      <w:start w:val="1"/>
      <w:numFmt w:val="decimal"/>
      <w:lvlText w:val="%1."/>
      <w:lvlJc w:val="left"/>
      <w:pPr>
        <w:ind w:left="720" w:hanging="360"/>
      </w:pPr>
    </w:lvl>
    <w:lvl w:ilvl="1" w:tplc="041C001B">
      <w:start w:val="1"/>
      <w:numFmt w:val="lowerRoman"/>
      <w:lvlText w:val="%2."/>
      <w:lvlJc w:val="right"/>
      <w:pPr>
        <w:ind w:left="1440" w:hanging="360"/>
      </w:pPr>
    </w:lvl>
    <w:lvl w:ilvl="2" w:tplc="32FEB81A">
      <w:start w:val="2"/>
      <w:numFmt w:val="bullet"/>
      <w:lvlText w:val="-"/>
      <w:lvlJc w:val="left"/>
      <w:pPr>
        <w:ind w:left="2340" w:hanging="360"/>
      </w:pPr>
      <w:rPr>
        <w:rFonts w:ascii="Times New Roman" w:eastAsiaTheme="minorHAnsi" w:hAnsi="Times New Roman" w:cs="Times New Roman" w:hint="default"/>
      </w:rPr>
    </w:lvl>
    <w:lvl w:ilvl="3" w:tplc="4C001022">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2" w15:restartNumberingAfterBreak="0">
    <w:nsid w:val="7F953F64"/>
    <w:multiLevelType w:val="hybridMultilevel"/>
    <w:tmpl w:val="24065252"/>
    <w:lvl w:ilvl="0" w:tplc="041C001B">
      <w:start w:val="1"/>
      <w:numFmt w:val="lowerRoman"/>
      <w:lvlText w:val="%1."/>
      <w:lvlJc w:val="right"/>
      <w:pPr>
        <w:ind w:left="1440" w:hanging="360"/>
      </w:p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num w:numId="1">
    <w:abstractNumId w:val="19"/>
  </w:num>
  <w:num w:numId="2">
    <w:abstractNumId w:val="16"/>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13"/>
  </w:num>
  <w:num w:numId="13">
    <w:abstractNumId w:val="18"/>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6"/>
  </w:num>
  <w:num w:numId="17">
    <w:abstractNumId w:val="21"/>
  </w:num>
  <w:num w:numId="18">
    <w:abstractNumId w:val="9"/>
  </w:num>
  <w:num w:numId="19">
    <w:abstractNumId w:val="10"/>
  </w:num>
  <w:num w:numId="20">
    <w:abstractNumId w:val="8"/>
  </w:num>
  <w:num w:numId="21">
    <w:abstractNumId w:val="17"/>
  </w:num>
  <w:num w:numId="22">
    <w:abstractNumId w:val="5"/>
  </w:num>
  <w:num w:numId="23">
    <w:abstractNumId w:val="16"/>
  </w:num>
  <w:num w:numId="24">
    <w:abstractNumId w:val="3"/>
  </w:num>
  <w:num w:numId="25">
    <w:abstractNumId w:val="0"/>
  </w:num>
  <w:num w:numId="26">
    <w:abstractNumId w:val="4"/>
  </w:num>
  <w:num w:numId="27">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DAC"/>
    <w:rsid w:val="0000404A"/>
    <w:rsid w:val="000107D3"/>
    <w:rsid w:val="00012DD0"/>
    <w:rsid w:val="00020D24"/>
    <w:rsid w:val="00031AFF"/>
    <w:rsid w:val="00042A7E"/>
    <w:rsid w:val="0004768F"/>
    <w:rsid w:val="00051F53"/>
    <w:rsid w:val="00053EA3"/>
    <w:rsid w:val="000576B6"/>
    <w:rsid w:val="00061B9C"/>
    <w:rsid w:val="00062A4C"/>
    <w:rsid w:val="00074B17"/>
    <w:rsid w:val="000816A3"/>
    <w:rsid w:val="000816BB"/>
    <w:rsid w:val="000839A6"/>
    <w:rsid w:val="000860FA"/>
    <w:rsid w:val="000925D8"/>
    <w:rsid w:val="000A00A6"/>
    <w:rsid w:val="000A6BB2"/>
    <w:rsid w:val="000B2D68"/>
    <w:rsid w:val="000C4F95"/>
    <w:rsid w:val="000E0E9D"/>
    <w:rsid w:val="000E3B46"/>
    <w:rsid w:val="000F1F96"/>
    <w:rsid w:val="000F6CAF"/>
    <w:rsid w:val="00100948"/>
    <w:rsid w:val="001015E6"/>
    <w:rsid w:val="00104E10"/>
    <w:rsid w:val="00115C4C"/>
    <w:rsid w:val="001210EA"/>
    <w:rsid w:val="001249C5"/>
    <w:rsid w:val="00141A37"/>
    <w:rsid w:val="00146F67"/>
    <w:rsid w:val="00151668"/>
    <w:rsid w:val="001517DA"/>
    <w:rsid w:val="00151BDC"/>
    <w:rsid w:val="00160288"/>
    <w:rsid w:val="00161F1E"/>
    <w:rsid w:val="00162979"/>
    <w:rsid w:val="0017447D"/>
    <w:rsid w:val="001808DD"/>
    <w:rsid w:val="001834C0"/>
    <w:rsid w:val="00185323"/>
    <w:rsid w:val="00185CBA"/>
    <w:rsid w:val="001932EE"/>
    <w:rsid w:val="00193CFC"/>
    <w:rsid w:val="001975C7"/>
    <w:rsid w:val="001A0C3D"/>
    <w:rsid w:val="001A17E6"/>
    <w:rsid w:val="001A3768"/>
    <w:rsid w:val="001B43DA"/>
    <w:rsid w:val="001C2210"/>
    <w:rsid w:val="001C298F"/>
    <w:rsid w:val="001C5410"/>
    <w:rsid w:val="001D497A"/>
    <w:rsid w:val="001D561C"/>
    <w:rsid w:val="001D7331"/>
    <w:rsid w:val="001E2EEA"/>
    <w:rsid w:val="001E4119"/>
    <w:rsid w:val="001E4555"/>
    <w:rsid w:val="001F7F94"/>
    <w:rsid w:val="0020549A"/>
    <w:rsid w:val="00205512"/>
    <w:rsid w:val="002079F0"/>
    <w:rsid w:val="00211548"/>
    <w:rsid w:val="00213BBC"/>
    <w:rsid w:val="0022030B"/>
    <w:rsid w:val="00226453"/>
    <w:rsid w:val="00235758"/>
    <w:rsid w:val="00242421"/>
    <w:rsid w:val="00252052"/>
    <w:rsid w:val="00256605"/>
    <w:rsid w:val="00261653"/>
    <w:rsid w:val="00266C0D"/>
    <w:rsid w:val="0026730D"/>
    <w:rsid w:val="0026751B"/>
    <w:rsid w:val="00273A4C"/>
    <w:rsid w:val="00274DB7"/>
    <w:rsid w:val="00283689"/>
    <w:rsid w:val="00284AA1"/>
    <w:rsid w:val="00293EE2"/>
    <w:rsid w:val="002B2460"/>
    <w:rsid w:val="002C4397"/>
    <w:rsid w:val="002D71D1"/>
    <w:rsid w:val="002E3099"/>
    <w:rsid w:val="002E602A"/>
    <w:rsid w:val="002F02A8"/>
    <w:rsid w:val="002F1570"/>
    <w:rsid w:val="002F48A4"/>
    <w:rsid w:val="002F6897"/>
    <w:rsid w:val="00320EFA"/>
    <w:rsid w:val="003231D0"/>
    <w:rsid w:val="00323318"/>
    <w:rsid w:val="00323D12"/>
    <w:rsid w:val="003262B4"/>
    <w:rsid w:val="00327AEB"/>
    <w:rsid w:val="003364FC"/>
    <w:rsid w:val="0035099B"/>
    <w:rsid w:val="00351C9F"/>
    <w:rsid w:val="00364BA7"/>
    <w:rsid w:val="00372727"/>
    <w:rsid w:val="003921EE"/>
    <w:rsid w:val="00392455"/>
    <w:rsid w:val="00396060"/>
    <w:rsid w:val="003B4587"/>
    <w:rsid w:val="003B5C1A"/>
    <w:rsid w:val="003C13CF"/>
    <w:rsid w:val="003C3182"/>
    <w:rsid w:val="003C65B1"/>
    <w:rsid w:val="003C7699"/>
    <w:rsid w:val="003C7AA3"/>
    <w:rsid w:val="003D3A7E"/>
    <w:rsid w:val="003D4556"/>
    <w:rsid w:val="003E2782"/>
    <w:rsid w:val="003E3F24"/>
    <w:rsid w:val="003E4B85"/>
    <w:rsid w:val="003F1A34"/>
    <w:rsid w:val="003F6EB9"/>
    <w:rsid w:val="00400FBB"/>
    <w:rsid w:val="00406409"/>
    <w:rsid w:val="00410270"/>
    <w:rsid w:val="004121DA"/>
    <w:rsid w:val="004133B5"/>
    <w:rsid w:val="00415889"/>
    <w:rsid w:val="00416299"/>
    <w:rsid w:val="0042185A"/>
    <w:rsid w:val="004247A1"/>
    <w:rsid w:val="004320FA"/>
    <w:rsid w:val="00433A17"/>
    <w:rsid w:val="00440022"/>
    <w:rsid w:val="004418BC"/>
    <w:rsid w:val="00441A2A"/>
    <w:rsid w:val="00452F69"/>
    <w:rsid w:val="004558BF"/>
    <w:rsid w:val="004613C0"/>
    <w:rsid w:val="00462044"/>
    <w:rsid w:val="00466F62"/>
    <w:rsid w:val="004710F4"/>
    <w:rsid w:val="00474C96"/>
    <w:rsid w:val="0048136C"/>
    <w:rsid w:val="00482FF2"/>
    <w:rsid w:val="004869CA"/>
    <w:rsid w:val="00493A0B"/>
    <w:rsid w:val="004A0C5A"/>
    <w:rsid w:val="004A7AA6"/>
    <w:rsid w:val="004D6FCB"/>
    <w:rsid w:val="004E0E7F"/>
    <w:rsid w:val="004E5C2B"/>
    <w:rsid w:val="004F1AA8"/>
    <w:rsid w:val="004F227F"/>
    <w:rsid w:val="004F7300"/>
    <w:rsid w:val="00505FAE"/>
    <w:rsid w:val="005132E3"/>
    <w:rsid w:val="005336B7"/>
    <w:rsid w:val="00541206"/>
    <w:rsid w:val="00541CBE"/>
    <w:rsid w:val="005561B4"/>
    <w:rsid w:val="005606A4"/>
    <w:rsid w:val="00571392"/>
    <w:rsid w:val="00580453"/>
    <w:rsid w:val="00593EAB"/>
    <w:rsid w:val="005A0DBA"/>
    <w:rsid w:val="005A4153"/>
    <w:rsid w:val="005B50EE"/>
    <w:rsid w:val="005C3952"/>
    <w:rsid w:val="005D07B9"/>
    <w:rsid w:val="005D49CE"/>
    <w:rsid w:val="005E0F6F"/>
    <w:rsid w:val="005E684E"/>
    <w:rsid w:val="005F279D"/>
    <w:rsid w:val="005F3AF2"/>
    <w:rsid w:val="005F77C9"/>
    <w:rsid w:val="00604E93"/>
    <w:rsid w:val="00610EDC"/>
    <w:rsid w:val="0061202B"/>
    <w:rsid w:val="0061690E"/>
    <w:rsid w:val="00617265"/>
    <w:rsid w:val="00622693"/>
    <w:rsid w:val="00633DAC"/>
    <w:rsid w:val="00635750"/>
    <w:rsid w:val="006357AC"/>
    <w:rsid w:val="006368FB"/>
    <w:rsid w:val="00655898"/>
    <w:rsid w:val="00656307"/>
    <w:rsid w:val="006677AA"/>
    <w:rsid w:val="00672A37"/>
    <w:rsid w:val="006800AD"/>
    <w:rsid w:val="00690CE5"/>
    <w:rsid w:val="006A7A79"/>
    <w:rsid w:val="006B6C51"/>
    <w:rsid w:val="006C795C"/>
    <w:rsid w:val="006D4D40"/>
    <w:rsid w:val="006D5909"/>
    <w:rsid w:val="006D6654"/>
    <w:rsid w:val="006E1233"/>
    <w:rsid w:val="006F239E"/>
    <w:rsid w:val="006F4999"/>
    <w:rsid w:val="00705601"/>
    <w:rsid w:val="0071778A"/>
    <w:rsid w:val="00730E90"/>
    <w:rsid w:val="007348A0"/>
    <w:rsid w:val="007357F6"/>
    <w:rsid w:val="0075223A"/>
    <w:rsid w:val="00753D1E"/>
    <w:rsid w:val="00757FBB"/>
    <w:rsid w:val="00763D3F"/>
    <w:rsid w:val="007702D1"/>
    <w:rsid w:val="0077329D"/>
    <w:rsid w:val="00773E71"/>
    <w:rsid w:val="007740DC"/>
    <w:rsid w:val="00774B89"/>
    <w:rsid w:val="00782D28"/>
    <w:rsid w:val="0078432A"/>
    <w:rsid w:val="00784845"/>
    <w:rsid w:val="00791346"/>
    <w:rsid w:val="00793ECB"/>
    <w:rsid w:val="007974BF"/>
    <w:rsid w:val="00797CF8"/>
    <w:rsid w:val="007A4205"/>
    <w:rsid w:val="007A5C3D"/>
    <w:rsid w:val="007A5F78"/>
    <w:rsid w:val="007A6491"/>
    <w:rsid w:val="007B04DA"/>
    <w:rsid w:val="007B1AED"/>
    <w:rsid w:val="007B390D"/>
    <w:rsid w:val="007B3F0F"/>
    <w:rsid w:val="007B5B3C"/>
    <w:rsid w:val="007C6445"/>
    <w:rsid w:val="007D3D12"/>
    <w:rsid w:val="00800898"/>
    <w:rsid w:val="00804063"/>
    <w:rsid w:val="00807471"/>
    <w:rsid w:val="00815A3D"/>
    <w:rsid w:val="008165D4"/>
    <w:rsid w:val="008274C9"/>
    <w:rsid w:val="00831CE4"/>
    <w:rsid w:val="00833CDF"/>
    <w:rsid w:val="00841454"/>
    <w:rsid w:val="00844227"/>
    <w:rsid w:val="0085062F"/>
    <w:rsid w:val="00856528"/>
    <w:rsid w:val="008643B2"/>
    <w:rsid w:val="00870E7B"/>
    <w:rsid w:val="008770A6"/>
    <w:rsid w:val="0087749F"/>
    <w:rsid w:val="0088552C"/>
    <w:rsid w:val="00887ABD"/>
    <w:rsid w:val="0089078D"/>
    <w:rsid w:val="008A09D3"/>
    <w:rsid w:val="008B753E"/>
    <w:rsid w:val="008B77A3"/>
    <w:rsid w:val="008C0505"/>
    <w:rsid w:val="008C08C4"/>
    <w:rsid w:val="008C1097"/>
    <w:rsid w:val="008C311B"/>
    <w:rsid w:val="008D5D76"/>
    <w:rsid w:val="008D702A"/>
    <w:rsid w:val="008E13EA"/>
    <w:rsid w:val="008E14DE"/>
    <w:rsid w:val="008E1DF0"/>
    <w:rsid w:val="008F611D"/>
    <w:rsid w:val="008F7B29"/>
    <w:rsid w:val="00902E98"/>
    <w:rsid w:val="00924081"/>
    <w:rsid w:val="009245D2"/>
    <w:rsid w:val="0093069F"/>
    <w:rsid w:val="00935DB0"/>
    <w:rsid w:val="00941784"/>
    <w:rsid w:val="0094422A"/>
    <w:rsid w:val="00945961"/>
    <w:rsid w:val="0095673B"/>
    <w:rsid w:val="00961C88"/>
    <w:rsid w:val="00963148"/>
    <w:rsid w:val="00965373"/>
    <w:rsid w:val="009757C9"/>
    <w:rsid w:val="00975A58"/>
    <w:rsid w:val="00986F94"/>
    <w:rsid w:val="009A4365"/>
    <w:rsid w:val="009A527E"/>
    <w:rsid w:val="009A696A"/>
    <w:rsid w:val="009B3461"/>
    <w:rsid w:val="009C1E61"/>
    <w:rsid w:val="009C7C69"/>
    <w:rsid w:val="009D75F9"/>
    <w:rsid w:val="009E2E01"/>
    <w:rsid w:val="009E6DBA"/>
    <w:rsid w:val="009F23C2"/>
    <w:rsid w:val="009F2906"/>
    <w:rsid w:val="009F5D70"/>
    <w:rsid w:val="00A01D91"/>
    <w:rsid w:val="00A04352"/>
    <w:rsid w:val="00A06D79"/>
    <w:rsid w:val="00A139CE"/>
    <w:rsid w:val="00A2604E"/>
    <w:rsid w:val="00A27C8B"/>
    <w:rsid w:val="00A30B5C"/>
    <w:rsid w:val="00A31808"/>
    <w:rsid w:val="00A45533"/>
    <w:rsid w:val="00A518FE"/>
    <w:rsid w:val="00A558BE"/>
    <w:rsid w:val="00A7155A"/>
    <w:rsid w:val="00A75749"/>
    <w:rsid w:val="00A76D30"/>
    <w:rsid w:val="00A81AFE"/>
    <w:rsid w:val="00AA1700"/>
    <w:rsid w:val="00AA2699"/>
    <w:rsid w:val="00AA70A8"/>
    <w:rsid w:val="00AB70E9"/>
    <w:rsid w:val="00AC1DDE"/>
    <w:rsid w:val="00AC7A56"/>
    <w:rsid w:val="00AD1527"/>
    <w:rsid w:val="00AD3CF5"/>
    <w:rsid w:val="00AE2535"/>
    <w:rsid w:val="00AF3B03"/>
    <w:rsid w:val="00B03B8D"/>
    <w:rsid w:val="00B04492"/>
    <w:rsid w:val="00B05FFF"/>
    <w:rsid w:val="00B1062E"/>
    <w:rsid w:val="00B113C6"/>
    <w:rsid w:val="00B1422C"/>
    <w:rsid w:val="00B16775"/>
    <w:rsid w:val="00B20506"/>
    <w:rsid w:val="00B32DCA"/>
    <w:rsid w:val="00B351B9"/>
    <w:rsid w:val="00B35B21"/>
    <w:rsid w:val="00B5232F"/>
    <w:rsid w:val="00B53165"/>
    <w:rsid w:val="00B563B5"/>
    <w:rsid w:val="00B62738"/>
    <w:rsid w:val="00B976E2"/>
    <w:rsid w:val="00B979AB"/>
    <w:rsid w:val="00BB039E"/>
    <w:rsid w:val="00BB1994"/>
    <w:rsid w:val="00BC3126"/>
    <w:rsid w:val="00BD05EA"/>
    <w:rsid w:val="00BD48EE"/>
    <w:rsid w:val="00BD6697"/>
    <w:rsid w:val="00BE0D66"/>
    <w:rsid w:val="00BE39CC"/>
    <w:rsid w:val="00BE4179"/>
    <w:rsid w:val="00BF41FD"/>
    <w:rsid w:val="00BF45FD"/>
    <w:rsid w:val="00BF5900"/>
    <w:rsid w:val="00C1797B"/>
    <w:rsid w:val="00C226F5"/>
    <w:rsid w:val="00C317F6"/>
    <w:rsid w:val="00C35C1E"/>
    <w:rsid w:val="00C42DD1"/>
    <w:rsid w:val="00C50C5B"/>
    <w:rsid w:val="00C54504"/>
    <w:rsid w:val="00C6427D"/>
    <w:rsid w:val="00C64E5F"/>
    <w:rsid w:val="00C67172"/>
    <w:rsid w:val="00C7195F"/>
    <w:rsid w:val="00C7403D"/>
    <w:rsid w:val="00C75F14"/>
    <w:rsid w:val="00C80499"/>
    <w:rsid w:val="00C8204A"/>
    <w:rsid w:val="00C825EC"/>
    <w:rsid w:val="00C9127E"/>
    <w:rsid w:val="00C93767"/>
    <w:rsid w:val="00C95F35"/>
    <w:rsid w:val="00CA2B41"/>
    <w:rsid w:val="00CA3F94"/>
    <w:rsid w:val="00CB0189"/>
    <w:rsid w:val="00CB14EF"/>
    <w:rsid w:val="00CB1DCE"/>
    <w:rsid w:val="00CB3960"/>
    <w:rsid w:val="00CB4D82"/>
    <w:rsid w:val="00CC2197"/>
    <w:rsid w:val="00CC3BE9"/>
    <w:rsid w:val="00CC536D"/>
    <w:rsid w:val="00CD2573"/>
    <w:rsid w:val="00CD3053"/>
    <w:rsid w:val="00CF30CE"/>
    <w:rsid w:val="00D007AF"/>
    <w:rsid w:val="00D13570"/>
    <w:rsid w:val="00D161D5"/>
    <w:rsid w:val="00D2344D"/>
    <w:rsid w:val="00D268E3"/>
    <w:rsid w:val="00D27A23"/>
    <w:rsid w:val="00D31F46"/>
    <w:rsid w:val="00D37F08"/>
    <w:rsid w:val="00D46AF0"/>
    <w:rsid w:val="00D630A6"/>
    <w:rsid w:val="00D65612"/>
    <w:rsid w:val="00D6708D"/>
    <w:rsid w:val="00D67B74"/>
    <w:rsid w:val="00D709AB"/>
    <w:rsid w:val="00D85A69"/>
    <w:rsid w:val="00D907EE"/>
    <w:rsid w:val="00D910FC"/>
    <w:rsid w:val="00D93854"/>
    <w:rsid w:val="00DA5093"/>
    <w:rsid w:val="00DC3C49"/>
    <w:rsid w:val="00DC4675"/>
    <w:rsid w:val="00DD0940"/>
    <w:rsid w:val="00DD632B"/>
    <w:rsid w:val="00DD7A81"/>
    <w:rsid w:val="00DE5202"/>
    <w:rsid w:val="00DF6077"/>
    <w:rsid w:val="00DF6F5B"/>
    <w:rsid w:val="00E047B7"/>
    <w:rsid w:val="00E1338C"/>
    <w:rsid w:val="00E14AAD"/>
    <w:rsid w:val="00E24430"/>
    <w:rsid w:val="00E443AB"/>
    <w:rsid w:val="00E60606"/>
    <w:rsid w:val="00E9169B"/>
    <w:rsid w:val="00E93E2A"/>
    <w:rsid w:val="00E94683"/>
    <w:rsid w:val="00EB20C5"/>
    <w:rsid w:val="00EB368A"/>
    <w:rsid w:val="00EB58E0"/>
    <w:rsid w:val="00EC04D5"/>
    <w:rsid w:val="00EC513C"/>
    <w:rsid w:val="00ED2778"/>
    <w:rsid w:val="00ED4090"/>
    <w:rsid w:val="00ED497D"/>
    <w:rsid w:val="00EE64C6"/>
    <w:rsid w:val="00EF3D51"/>
    <w:rsid w:val="00EF4DC2"/>
    <w:rsid w:val="00F06156"/>
    <w:rsid w:val="00F13E9C"/>
    <w:rsid w:val="00F140AB"/>
    <w:rsid w:val="00F144AA"/>
    <w:rsid w:val="00F154C2"/>
    <w:rsid w:val="00F20F20"/>
    <w:rsid w:val="00F25953"/>
    <w:rsid w:val="00F25B01"/>
    <w:rsid w:val="00F27C89"/>
    <w:rsid w:val="00F303B9"/>
    <w:rsid w:val="00F3196D"/>
    <w:rsid w:val="00F3360F"/>
    <w:rsid w:val="00F51E89"/>
    <w:rsid w:val="00F62C4C"/>
    <w:rsid w:val="00F634DB"/>
    <w:rsid w:val="00F70EEF"/>
    <w:rsid w:val="00F75EA4"/>
    <w:rsid w:val="00F80457"/>
    <w:rsid w:val="00F869C7"/>
    <w:rsid w:val="00F96BDB"/>
    <w:rsid w:val="00FA2D18"/>
    <w:rsid w:val="00FA6516"/>
    <w:rsid w:val="00FB12FB"/>
    <w:rsid w:val="00FB55B7"/>
    <w:rsid w:val="00FD10A4"/>
    <w:rsid w:val="00FE19CD"/>
    <w:rsid w:val="00FE3E64"/>
    <w:rsid w:val="00FF355E"/>
    <w:rsid w:val="00FF525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B22F82"/>
  <w15:docId w15:val="{2116AAE1-359B-4ACB-B81F-AF2C98FD7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DAC"/>
    <w:rPr>
      <w:rFonts w:eastAsia="MS Mincho"/>
      <w:lang w:val="sq-AL"/>
    </w:rPr>
  </w:style>
  <w:style w:type="paragraph" w:styleId="Heading8">
    <w:name w:val="heading 8"/>
    <w:basedOn w:val="Normal"/>
    <w:next w:val="Normal"/>
    <w:link w:val="Heading8Char"/>
    <w:uiPriority w:val="9"/>
    <w:semiHidden/>
    <w:unhideWhenUsed/>
    <w:qFormat/>
    <w:rsid w:val="00B04492"/>
    <w:pPr>
      <w:keepNext/>
      <w:keepLines/>
      <w:spacing w:after="0" w:line="278" w:lineRule="auto"/>
      <w:outlineLvl w:val="7"/>
    </w:pPr>
    <w:rPr>
      <w:rFonts w:eastAsiaTheme="majorEastAsia" w:cstheme="majorBidi"/>
      <w:i/>
      <w:iCs/>
      <w:color w:val="272727" w:themeColor="text1" w:themeTint="D8"/>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0898"/>
    <w:pPr>
      <w:ind w:left="720"/>
      <w:contextualSpacing/>
    </w:pPr>
  </w:style>
  <w:style w:type="paragraph" w:styleId="Header">
    <w:name w:val="header"/>
    <w:basedOn w:val="Normal"/>
    <w:link w:val="HeaderChar"/>
    <w:uiPriority w:val="99"/>
    <w:unhideWhenUsed/>
    <w:rsid w:val="00730E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E90"/>
    <w:rPr>
      <w:rFonts w:eastAsia="MS Mincho"/>
    </w:rPr>
  </w:style>
  <w:style w:type="paragraph" w:styleId="Footer">
    <w:name w:val="footer"/>
    <w:basedOn w:val="Normal"/>
    <w:link w:val="FooterChar"/>
    <w:uiPriority w:val="99"/>
    <w:unhideWhenUsed/>
    <w:rsid w:val="00730E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E90"/>
    <w:rPr>
      <w:rFonts w:eastAsia="MS Mincho"/>
    </w:rPr>
  </w:style>
  <w:style w:type="paragraph" w:customStyle="1" w:styleId="TableParagraph">
    <w:name w:val="Table Paragraph"/>
    <w:basedOn w:val="Normal"/>
    <w:uiPriority w:val="1"/>
    <w:qFormat/>
    <w:rsid w:val="00C7403D"/>
    <w:pPr>
      <w:widowControl w:val="0"/>
      <w:autoSpaceDE w:val="0"/>
      <w:autoSpaceDN w:val="0"/>
      <w:spacing w:after="0" w:line="240" w:lineRule="auto"/>
      <w:ind w:left="89"/>
    </w:pPr>
    <w:rPr>
      <w:rFonts w:ascii="Cambria" w:eastAsia="Cambria" w:hAnsi="Cambria" w:cs="Cambria"/>
    </w:rPr>
  </w:style>
  <w:style w:type="numbering" w:customStyle="1" w:styleId="NoList1">
    <w:name w:val="No List1"/>
    <w:next w:val="NoList"/>
    <w:uiPriority w:val="99"/>
    <w:semiHidden/>
    <w:unhideWhenUsed/>
    <w:rsid w:val="004613C0"/>
  </w:style>
  <w:style w:type="paragraph" w:styleId="NoSpacing">
    <w:name w:val="No Spacing"/>
    <w:uiPriority w:val="1"/>
    <w:qFormat/>
    <w:rsid w:val="004613C0"/>
    <w:pPr>
      <w:widowControl w:val="0"/>
      <w:autoSpaceDE w:val="0"/>
      <w:autoSpaceDN w:val="0"/>
      <w:spacing w:after="0" w:line="240" w:lineRule="auto"/>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6E12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233"/>
    <w:rPr>
      <w:rFonts w:ascii="Segoe UI" w:eastAsia="MS Mincho" w:hAnsi="Segoe UI" w:cs="Segoe UI"/>
      <w:sz w:val="18"/>
      <w:szCs w:val="18"/>
    </w:rPr>
  </w:style>
  <w:style w:type="character" w:customStyle="1" w:styleId="oj-bold">
    <w:name w:val="oj-bold"/>
    <w:basedOn w:val="DefaultParagraphFont"/>
    <w:rsid w:val="006F4999"/>
  </w:style>
  <w:style w:type="paragraph" w:styleId="FootnoteText">
    <w:name w:val="footnote text"/>
    <w:basedOn w:val="Normal"/>
    <w:link w:val="FootnoteTextChar"/>
    <w:uiPriority w:val="99"/>
    <w:semiHidden/>
    <w:unhideWhenUsed/>
    <w:rsid w:val="001D497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497A"/>
    <w:rPr>
      <w:rFonts w:eastAsia="MS Mincho"/>
      <w:sz w:val="20"/>
      <w:szCs w:val="20"/>
      <w:lang w:val="sq-AL"/>
    </w:rPr>
  </w:style>
  <w:style w:type="character" w:styleId="FootnoteReference">
    <w:name w:val="footnote reference"/>
    <w:basedOn w:val="DefaultParagraphFont"/>
    <w:uiPriority w:val="99"/>
    <w:semiHidden/>
    <w:unhideWhenUsed/>
    <w:rsid w:val="001D497A"/>
    <w:rPr>
      <w:vertAlign w:val="superscript"/>
    </w:rPr>
  </w:style>
  <w:style w:type="character" w:styleId="CommentReference">
    <w:name w:val="annotation reference"/>
    <w:basedOn w:val="DefaultParagraphFont"/>
    <w:uiPriority w:val="99"/>
    <w:semiHidden/>
    <w:unhideWhenUsed/>
    <w:rsid w:val="00BE4179"/>
    <w:rPr>
      <w:sz w:val="16"/>
      <w:szCs w:val="16"/>
    </w:rPr>
  </w:style>
  <w:style w:type="paragraph" w:styleId="CommentText">
    <w:name w:val="annotation text"/>
    <w:basedOn w:val="Normal"/>
    <w:link w:val="CommentTextChar"/>
    <w:uiPriority w:val="99"/>
    <w:semiHidden/>
    <w:unhideWhenUsed/>
    <w:rsid w:val="00BE4179"/>
    <w:pPr>
      <w:spacing w:line="240" w:lineRule="auto"/>
    </w:pPr>
    <w:rPr>
      <w:sz w:val="20"/>
      <w:szCs w:val="20"/>
    </w:rPr>
  </w:style>
  <w:style w:type="character" w:customStyle="1" w:styleId="CommentTextChar">
    <w:name w:val="Comment Text Char"/>
    <w:basedOn w:val="DefaultParagraphFont"/>
    <w:link w:val="CommentText"/>
    <w:uiPriority w:val="99"/>
    <w:semiHidden/>
    <w:rsid w:val="00BE4179"/>
    <w:rPr>
      <w:rFonts w:eastAsia="MS Mincho"/>
      <w:sz w:val="20"/>
      <w:szCs w:val="20"/>
      <w:lang w:val="sq-AL"/>
    </w:rPr>
  </w:style>
  <w:style w:type="paragraph" w:styleId="CommentSubject">
    <w:name w:val="annotation subject"/>
    <w:basedOn w:val="CommentText"/>
    <w:next w:val="CommentText"/>
    <w:link w:val="CommentSubjectChar"/>
    <w:uiPriority w:val="99"/>
    <w:semiHidden/>
    <w:unhideWhenUsed/>
    <w:rsid w:val="00BE4179"/>
    <w:rPr>
      <w:b/>
      <w:bCs/>
    </w:rPr>
  </w:style>
  <w:style w:type="character" w:customStyle="1" w:styleId="CommentSubjectChar">
    <w:name w:val="Comment Subject Char"/>
    <w:basedOn w:val="CommentTextChar"/>
    <w:link w:val="CommentSubject"/>
    <w:uiPriority w:val="99"/>
    <w:semiHidden/>
    <w:rsid w:val="00BE4179"/>
    <w:rPr>
      <w:rFonts w:eastAsia="MS Mincho"/>
      <w:b/>
      <w:bCs/>
      <w:sz w:val="20"/>
      <w:szCs w:val="20"/>
      <w:lang w:val="sq-AL"/>
    </w:rPr>
  </w:style>
  <w:style w:type="character" w:customStyle="1" w:styleId="tlid-translation">
    <w:name w:val="tlid-translation"/>
    <w:basedOn w:val="DefaultParagraphFont"/>
    <w:rsid w:val="00505FAE"/>
  </w:style>
  <w:style w:type="character" w:customStyle="1" w:styleId="Heading8Char">
    <w:name w:val="Heading 8 Char"/>
    <w:basedOn w:val="DefaultParagraphFont"/>
    <w:link w:val="Heading8"/>
    <w:uiPriority w:val="9"/>
    <w:semiHidden/>
    <w:rsid w:val="00B04492"/>
    <w:rPr>
      <w:rFonts w:eastAsiaTheme="majorEastAsia" w:cstheme="majorBidi"/>
      <w:i/>
      <w:iCs/>
      <w:color w:val="272727" w:themeColor="text1" w:themeTint="D8"/>
      <w:sz w:val="24"/>
      <w:szCs w:val="24"/>
      <w:lang w:val="sq-A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168863">
      <w:bodyDiv w:val="1"/>
      <w:marLeft w:val="0"/>
      <w:marRight w:val="0"/>
      <w:marTop w:val="0"/>
      <w:marBottom w:val="0"/>
      <w:divBdr>
        <w:top w:val="none" w:sz="0" w:space="0" w:color="auto"/>
        <w:left w:val="none" w:sz="0" w:space="0" w:color="auto"/>
        <w:bottom w:val="none" w:sz="0" w:space="0" w:color="auto"/>
        <w:right w:val="none" w:sz="0" w:space="0" w:color="auto"/>
      </w:divBdr>
      <w:divsChild>
        <w:div w:id="1365062657">
          <w:marLeft w:val="0"/>
          <w:marRight w:val="0"/>
          <w:marTop w:val="0"/>
          <w:marBottom w:val="0"/>
          <w:divBdr>
            <w:top w:val="none" w:sz="0" w:space="0" w:color="auto"/>
            <w:left w:val="none" w:sz="0" w:space="0" w:color="auto"/>
            <w:bottom w:val="none" w:sz="0" w:space="0" w:color="auto"/>
            <w:right w:val="none" w:sz="0" w:space="0" w:color="auto"/>
          </w:divBdr>
        </w:div>
        <w:div w:id="2138208762">
          <w:marLeft w:val="0"/>
          <w:marRight w:val="0"/>
          <w:marTop w:val="0"/>
          <w:marBottom w:val="0"/>
          <w:divBdr>
            <w:top w:val="none" w:sz="0" w:space="0" w:color="auto"/>
            <w:left w:val="none" w:sz="0" w:space="0" w:color="auto"/>
            <w:bottom w:val="none" w:sz="0" w:space="0" w:color="auto"/>
            <w:right w:val="none" w:sz="0" w:space="0" w:color="auto"/>
          </w:divBdr>
          <w:divsChild>
            <w:div w:id="1527063925">
              <w:marLeft w:val="0"/>
              <w:marRight w:val="0"/>
              <w:marTop w:val="0"/>
              <w:marBottom w:val="0"/>
              <w:divBdr>
                <w:top w:val="none" w:sz="0" w:space="0" w:color="auto"/>
                <w:left w:val="none" w:sz="0" w:space="0" w:color="auto"/>
                <w:bottom w:val="none" w:sz="0" w:space="0" w:color="auto"/>
                <w:right w:val="none" w:sz="0" w:space="0" w:color="auto"/>
              </w:divBdr>
              <w:divsChild>
                <w:div w:id="39474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634180">
          <w:marLeft w:val="0"/>
          <w:marRight w:val="0"/>
          <w:marTop w:val="100"/>
          <w:marBottom w:val="0"/>
          <w:divBdr>
            <w:top w:val="none" w:sz="0" w:space="0" w:color="auto"/>
            <w:left w:val="none" w:sz="0" w:space="0" w:color="auto"/>
            <w:bottom w:val="none" w:sz="0" w:space="0" w:color="auto"/>
            <w:right w:val="none" w:sz="0" w:space="0" w:color="auto"/>
          </w:divBdr>
          <w:divsChild>
            <w:div w:id="1731803776">
              <w:marLeft w:val="0"/>
              <w:marRight w:val="0"/>
              <w:marTop w:val="0"/>
              <w:marBottom w:val="0"/>
              <w:divBdr>
                <w:top w:val="none" w:sz="0" w:space="0" w:color="auto"/>
                <w:left w:val="none" w:sz="0" w:space="0" w:color="auto"/>
                <w:bottom w:val="none" w:sz="0" w:space="0" w:color="auto"/>
                <w:right w:val="none" w:sz="0" w:space="0" w:color="auto"/>
              </w:divBdr>
              <w:divsChild>
                <w:div w:id="1080520664">
                  <w:marLeft w:val="0"/>
                  <w:marRight w:val="0"/>
                  <w:marTop w:val="0"/>
                  <w:marBottom w:val="0"/>
                  <w:divBdr>
                    <w:top w:val="none" w:sz="0" w:space="0" w:color="auto"/>
                    <w:left w:val="none" w:sz="0" w:space="0" w:color="auto"/>
                    <w:bottom w:val="none" w:sz="0" w:space="0" w:color="auto"/>
                    <w:right w:val="none" w:sz="0" w:space="0" w:color="auto"/>
                  </w:divBdr>
                  <w:divsChild>
                    <w:div w:id="2035837734">
                      <w:marLeft w:val="0"/>
                      <w:marRight w:val="0"/>
                      <w:marTop w:val="0"/>
                      <w:marBottom w:val="0"/>
                      <w:divBdr>
                        <w:top w:val="none" w:sz="0" w:space="0" w:color="auto"/>
                        <w:left w:val="none" w:sz="0" w:space="0" w:color="auto"/>
                        <w:bottom w:val="none" w:sz="0" w:space="0" w:color="auto"/>
                        <w:right w:val="none" w:sz="0" w:space="0" w:color="auto"/>
                      </w:divBdr>
                      <w:divsChild>
                        <w:div w:id="29795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26300">
          <w:marLeft w:val="0"/>
          <w:marRight w:val="0"/>
          <w:marTop w:val="0"/>
          <w:marBottom w:val="0"/>
          <w:divBdr>
            <w:top w:val="none" w:sz="0" w:space="0" w:color="auto"/>
            <w:left w:val="none" w:sz="0" w:space="0" w:color="auto"/>
            <w:bottom w:val="none" w:sz="0" w:space="0" w:color="auto"/>
            <w:right w:val="none" w:sz="0" w:space="0" w:color="auto"/>
          </w:divBdr>
          <w:divsChild>
            <w:div w:id="2076854507">
              <w:marLeft w:val="0"/>
              <w:marRight w:val="0"/>
              <w:marTop w:val="0"/>
              <w:marBottom w:val="0"/>
              <w:divBdr>
                <w:top w:val="none" w:sz="0" w:space="0" w:color="auto"/>
                <w:left w:val="none" w:sz="0" w:space="0" w:color="auto"/>
                <w:bottom w:val="none" w:sz="0" w:space="0" w:color="auto"/>
                <w:right w:val="none" w:sz="0" w:space="0" w:color="auto"/>
              </w:divBdr>
              <w:divsChild>
                <w:div w:id="117272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824614">
      <w:bodyDiv w:val="1"/>
      <w:marLeft w:val="0"/>
      <w:marRight w:val="0"/>
      <w:marTop w:val="0"/>
      <w:marBottom w:val="0"/>
      <w:divBdr>
        <w:top w:val="none" w:sz="0" w:space="0" w:color="auto"/>
        <w:left w:val="none" w:sz="0" w:space="0" w:color="auto"/>
        <w:bottom w:val="none" w:sz="0" w:space="0" w:color="auto"/>
        <w:right w:val="none" w:sz="0" w:space="0" w:color="auto"/>
      </w:divBdr>
    </w:div>
    <w:div w:id="1477140782">
      <w:bodyDiv w:val="1"/>
      <w:marLeft w:val="0"/>
      <w:marRight w:val="0"/>
      <w:marTop w:val="0"/>
      <w:marBottom w:val="0"/>
      <w:divBdr>
        <w:top w:val="none" w:sz="0" w:space="0" w:color="auto"/>
        <w:left w:val="none" w:sz="0" w:space="0" w:color="auto"/>
        <w:bottom w:val="none" w:sz="0" w:space="0" w:color="auto"/>
        <w:right w:val="none" w:sz="0" w:space="0" w:color="auto"/>
      </w:divBdr>
    </w:div>
    <w:div w:id="188822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85</Nr_x002e__x0020_akti>
    <Data_x0020_e_x0020_Krijimit xmlns="0e656187-b300-4fb0-8bf4-3a50f872073c">2023-03-01T10:10:34Z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2023-02-28T23:00:00Z</Date_x0020_protokolli>
    <Titulli xmlns="0e656187-b300-4fb0-8bf4-3a50f872073c">Për miratimin e rregullores "Për kontrollin zyrtar mbi përdorimin e substancave farmakologjikisht aktive të autorizuara si produkte mjekësore veterinare ose si aditivë për ushqimet për kafshë dhe mbetjet e tyre si dhe mbi përdorimin e substancave farmakologjikisht aktive të ndaluara, që përdoren në kafshët që prodhojnë ushqim dhe mbetjet e tyre, për zbatimin e Planit Kombëtar të Monitorimit të Mbetjeve"</Titulli>
    <Modifikuesi xmlns="0e656187-b300-4fb0-8bf4-3a50f872073c">alma.lisaku</Modifikuesi>
    <Nr_x002e__x0020_prot_x0020_QBZ xmlns="0e656187-b300-4fb0-8bf4-3a50f872073c">327/1</Nr_x002e__x0020_prot_x0020_QBZ>
    <Data_x0020_e_x0020_Modifikimit xmlns="0e656187-b300-4fb0-8bf4-3a50f872073c">2023-03-01T11:51:04Z</Data_x0020_e_x0020_Modifikimit>
    <Dekretuar xmlns="0e656187-b300-4fb0-8bf4-3a50f872073c">false</Dekretuar>
    <Data xmlns="0e656187-b300-4fb0-8bf4-3a50f872073c">2023-03-16T23:00:00Z</Data>
    <Nr_x002e__x0020_protokolli_x0020_i_x0020_aktit xmlns="0e656187-b300-4fb0-8bf4-3a50f872073c">1123/2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81F930B618D468D9B54EA885B683EC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081F930B618D468D9B54EA885B683EC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0247D-D0A1-423A-8EC5-E9C74B121B32}">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936166BB-E284-481A-A883-D0E1E09951A1}">
  <ds:schemaRefs>
    <ds:schemaRef ds:uri="http://schemas.microsoft.com/sharepoint/v3/contenttype/forms"/>
  </ds:schemaRefs>
</ds:datastoreItem>
</file>

<file path=customXml/itemProps3.xml><?xml version="1.0" encoding="utf-8"?>
<ds:datastoreItem xmlns:ds="http://schemas.openxmlformats.org/officeDocument/2006/customXml" ds:itemID="{D3C9A20C-8006-4F47-AA22-B3F02A7E0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EABC5C5-DF1B-4B7C-8BFB-D7CDA8B7C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6B44E0A-05D8-4753-B2AD-7FD000EC4346}">
  <ds:schemaRefs>
    <ds:schemaRef ds:uri="http://schemas.microsoft.com/sharepoint/v3/contenttype/forms"/>
  </ds:schemaRefs>
</ds:datastoreItem>
</file>

<file path=customXml/itemProps6.xml><?xml version="1.0" encoding="utf-8"?>
<ds:datastoreItem xmlns:ds="http://schemas.openxmlformats.org/officeDocument/2006/customXml" ds:itemID="{DC25007D-FD0C-432D-B19A-DEBE26CD5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3982</Words>
  <Characters>22699</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Për miratimin e rregullores "Për kontrollin zyrtar mbi përdorimin e substancave farmakologjikisht aktive të autorizuara si produkte mjekësore veterinare ose si aditivë për ushqimet për kafshë dhe mbetjet e tyre si dhe mbi përdorimin e substancave farmakol</vt:lpstr>
    </vt:vector>
  </TitlesOfParts>
  <Company/>
  <LinksUpToDate>false</LinksUpToDate>
  <CharactersWithSpaces>26628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kontrollin zyrtar mbi përdorimin e substancave farmakologjikisht aktive të autorizuara si produkte mjekësore veterinare ose si aditivë për ushqimet për kafshë dhe mbetjet e tyre si dhe mbi përdorimin e substancave farmakologjikisht aktive të ndaluara, që përdoren në kafshët që prodhojnë ushqim dhe mbetjet e tyre, për zbatimin e Planit Kombëtar të Monitorimit të Mbetjeve"</dc:title>
  <dc:creator>Blerina Luke</dc:creator>
  <cp:lastModifiedBy>Sara Mborja</cp:lastModifiedBy>
  <cp:revision>3</cp:revision>
  <cp:lastPrinted>2023-02-08T11:59:00Z</cp:lastPrinted>
  <dcterms:created xsi:type="dcterms:W3CDTF">2026-04-15T09:33:00Z</dcterms:created>
  <dcterms:modified xsi:type="dcterms:W3CDTF">2026-04-15T09:33:00Z</dcterms:modified>
</cp:coreProperties>
</file>