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554AB" w14:textId="54D19992" w:rsidR="00B70B6D" w:rsidRPr="00CC63C2" w:rsidRDefault="00B70B6D" w:rsidP="00CC63C2">
      <w:pPr>
        <w:spacing w:after="0" w:line="240" w:lineRule="auto"/>
        <w:ind w:firstLine="284"/>
        <w:jc w:val="center"/>
        <w:rPr>
          <w:rFonts w:ascii="Garamond" w:hAnsi="Garamond"/>
          <w:b/>
          <w:sz w:val="24"/>
        </w:rPr>
      </w:pPr>
      <w:r w:rsidRPr="00CC63C2">
        <w:rPr>
          <w:rFonts w:ascii="Garamond" w:hAnsi="Garamond"/>
          <w:b/>
          <w:sz w:val="24"/>
        </w:rPr>
        <w:t>URDHËR</w:t>
      </w:r>
    </w:p>
    <w:p w14:paraId="366554AC" w14:textId="07C390B0" w:rsidR="00B70B6D" w:rsidRPr="00CC63C2" w:rsidRDefault="00B70B6D" w:rsidP="00CC63C2">
      <w:pPr>
        <w:spacing w:after="0" w:line="240" w:lineRule="auto"/>
        <w:ind w:firstLine="284"/>
        <w:jc w:val="center"/>
        <w:rPr>
          <w:rFonts w:ascii="Garamond" w:hAnsi="Garamond"/>
          <w:b/>
          <w:sz w:val="24"/>
        </w:rPr>
      </w:pPr>
      <w:r w:rsidRPr="00CC63C2">
        <w:rPr>
          <w:rFonts w:ascii="Garamond" w:hAnsi="Garamond"/>
          <w:b/>
          <w:sz w:val="24"/>
        </w:rPr>
        <w:t xml:space="preserve">Nr. </w:t>
      </w:r>
      <w:r w:rsidR="00185EC5" w:rsidRPr="00CC63C2">
        <w:rPr>
          <w:rFonts w:ascii="Garamond" w:hAnsi="Garamond"/>
          <w:b/>
          <w:sz w:val="24"/>
        </w:rPr>
        <w:t>399</w:t>
      </w:r>
      <w:r w:rsidRPr="00CC63C2">
        <w:rPr>
          <w:rFonts w:ascii="Garamond" w:hAnsi="Garamond"/>
          <w:b/>
          <w:sz w:val="24"/>
        </w:rPr>
        <w:t xml:space="preserve">, datë </w:t>
      </w:r>
      <w:r w:rsidR="00185EC5" w:rsidRPr="00CC63C2">
        <w:rPr>
          <w:rFonts w:ascii="Garamond" w:hAnsi="Garamond"/>
          <w:b/>
          <w:sz w:val="24"/>
        </w:rPr>
        <w:t>6.7</w:t>
      </w:r>
      <w:r w:rsidRPr="00CC63C2">
        <w:rPr>
          <w:rFonts w:ascii="Garamond" w:hAnsi="Garamond"/>
          <w:b/>
          <w:sz w:val="24"/>
        </w:rPr>
        <w:t>.2023</w:t>
      </w:r>
    </w:p>
    <w:p w14:paraId="366554AD" w14:textId="77777777" w:rsidR="00B70B6D" w:rsidRPr="00CC63C2" w:rsidRDefault="00B70B6D" w:rsidP="00CC63C2">
      <w:pPr>
        <w:spacing w:after="0" w:line="240" w:lineRule="auto"/>
        <w:ind w:firstLine="284"/>
        <w:jc w:val="center"/>
        <w:rPr>
          <w:rFonts w:ascii="Garamond" w:hAnsi="Garamond"/>
          <w:b/>
          <w:sz w:val="24"/>
        </w:rPr>
      </w:pPr>
    </w:p>
    <w:p w14:paraId="04876641" w14:textId="2F674642" w:rsidR="00835E0F" w:rsidRPr="00CC63C2" w:rsidRDefault="00CC63C2" w:rsidP="00CC63C2">
      <w:pPr>
        <w:spacing w:after="0" w:line="240" w:lineRule="auto"/>
        <w:ind w:firstLine="284"/>
        <w:jc w:val="center"/>
        <w:rPr>
          <w:rFonts w:ascii="Garamond" w:hAnsi="Garamond"/>
          <w:b/>
          <w:sz w:val="24"/>
        </w:rPr>
      </w:pPr>
      <w:r w:rsidRPr="00CC63C2">
        <w:rPr>
          <w:rFonts w:ascii="Garamond" w:hAnsi="Garamond"/>
          <w:b/>
          <w:sz w:val="24"/>
        </w:rPr>
        <w:t xml:space="preserve">PËR </w:t>
      </w:r>
      <w:r w:rsidR="00835E0F" w:rsidRPr="00CC63C2">
        <w:rPr>
          <w:rFonts w:ascii="Garamond" w:hAnsi="Garamond"/>
          <w:b/>
          <w:sz w:val="24"/>
        </w:rPr>
        <w:t>MIRATIMIN E REKOMANDIMIT GFCM/45/2022/11</w:t>
      </w:r>
      <w:r w:rsidR="00C25C7F">
        <w:rPr>
          <w:rFonts w:ascii="Garamond" w:hAnsi="Garamond"/>
          <w:b/>
          <w:sz w:val="24"/>
        </w:rPr>
        <w:t>,</w:t>
      </w:r>
      <w:r w:rsidR="00835E0F" w:rsidRPr="00CC63C2">
        <w:rPr>
          <w:rFonts w:ascii="Garamond" w:hAnsi="Garamond"/>
          <w:b/>
          <w:sz w:val="24"/>
        </w:rPr>
        <w:t xml:space="preserve"> </w:t>
      </w:r>
      <w:bookmarkStart w:id="0" w:name="_Hlk136509265"/>
      <w:r w:rsidR="00835E0F" w:rsidRPr="00CC63C2">
        <w:rPr>
          <w:rFonts w:ascii="Garamond" w:hAnsi="Garamond"/>
          <w:b/>
          <w:sz w:val="24"/>
        </w:rPr>
        <w:t>“MBI STANDARDET MINIMALE PËR MENAXHIMIN E ZONAVE TË KUFIZUARA TË PESHKIMIT”</w:t>
      </w:r>
    </w:p>
    <w:p w14:paraId="596A83E2" w14:textId="77777777" w:rsidR="00835E0F" w:rsidRPr="00CC63C2" w:rsidRDefault="00835E0F" w:rsidP="00CC63C2">
      <w:pPr>
        <w:spacing w:after="0" w:line="240" w:lineRule="auto"/>
        <w:ind w:firstLine="284"/>
        <w:jc w:val="both"/>
        <w:rPr>
          <w:rFonts w:ascii="Garamond" w:hAnsi="Garamond"/>
          <w:sz w:val="24"/>
        </w:rPr>
      </w:pPr>
    </w:p>
    <w:bookmarkEnd w:id="0"/>
    <w:p w14:paraId="66525EC0" w14:textId="48334E3B" w:rsidR="00835E0F" w:rsidRPr="00CC63C2" w:rsidRDefault="00835E0F" w:rsidP="00CC63C2">
      <w:pPr>
        <w:spacing w:after="0" w:line="240" w:lineRule="auto"/>
        <w:ind w:firstLine="284"/>
        <w:jc w:val="both"/>
        <w:rPr>
          <w:rFonts w:ascii="Garamond" w:hAnsi="Garamond"/>
          <w:sz w:val="24"/>
        </w:rPr>
      </w:pPr>
      <w:r w:rsidRPr="00CC63C2">
        <w:rPr>
          <w:rFonts w:ascii="Garamond" w:hAnsi="Garamond"/>
          <w:sz w:val="24"/>
        </w:rPr>
        <w:t>Në mbështetje të pikës 4, të nenit 102</w:t>
      </w:r>
      <w:r w:rsidR="00C25C7F">
        <w:rPr>
          <w:rFonts w:ascii="Garamond" w:hAnsi="Garamond"/>
          <w:sz w:val="24"/>
        </w:rPr>
        <w:t>,</w:t>
      </w:r>
      <w:r w:rsidRPr="00CC63C2">
        <w:rPr>
          <w:rFonts w:ascii="Garamond" w:hAnsi="Garamond"/>
          <w:sz w:val="24"/>
        </w:rPr>
        <w:t xml:space="preserve"> të Kushtetutës</w:t>
      </w:r>
      <w:r w:rsidR="0014477E">
        <w:rPr>
          <w:rFonts w:ascii="Garamond" w:hAnsi="Garamond"/>
          <w:sz w:val="24"/>
        </w:rPr>
        <w:t>;</w:t>
      </w:r>
      <w:r w:rsidRPr="00CC63C2">
        <w:rPr>
          <w:rFonts w:ascii="Garamond" w:hAnsi="Garamond"/>
          <w:sz w:val="24"/>
        </w:rPr>
        <w:t xml:space="preserve"> të shkronjave “a” dhe “b”, të pikës 1, të nenit 3 të Marrëveshjes, “Për krijimin e Komisionit të Përgjithshëm të Peshkimit për Mesdheun”, të ratifikuar me </w:t>
      </w:r>
      <w:r w:rsidR="00C25C7F" w:rsidRPr="00CC63C2">
        <w:rPr>
          <w:rFonts w:ascii="Garamond" w:hAnsi="Garamond"/>
          <w:sz w:val="24"/>
        </w:rPr>
        <w:t xml:space="preserve">ligjin nr. </w:t>
      </w:r>
      <w:r w:rsidRPr="00CC63C2">
        <w:rPr>
          <w:rFonts w:ascii="Garamond" w:hAnsi="Garamond"/>
          <w:sz w:val="24"/>
        </w:rPr>
        <w:t>9093, datë 3.7.2003</w:t>
      </w:r>
      <w:r w:rsidR="0014477E">
        <w:rPr>
          <w:rFonts w:ascii="Garamond" w:hAnsi="Garamond"/>
          <w:sz w:val="24"/>
        </w:rPr>
        <w:t>;</w:t>
      </w:r>
      <w:r w:rsidRPr="00CC63C2">
        <w:rPr>
          <w:rFonts w:ascii="Garamond" w:hAnsi="Garamond"/>
          <w:sz w:val="24"/>
        </w:rPr>
        <w:t xml:space="preserve"> të nenit 12, të </w:t>
      </w:r>
      <w:r w:rsidR="00C25C7F" w:rsidRPr="00CC63C2">
        <w:rPr>
          <w:rFonts w:ascii="Garamond" w:hAnsi="Garamond"/>
          <w:sz w:val="24"/>
        </w:rPr>
        <w:t>ligjit nr</w:t>
      </w:r>
      <w:r w:rsidRPr="00CC63C2">
        <w:rPr>
          <w:rFonts w:ascii="Garamond" w:hAnsi="Garamond"/>
          <w:sz w:val="24"/>
        </w:rPr>
        <w:t>. 64, datë 31.5.2012, “Për peshkimin”, të ndryshuar,</w:t>
      </w:r>
    </w:p>
    <w:p w14:paraId="287C7736" w14:textId="77777777" w:rsidR="00CC63C2" w:rsidRDefault="00CC63C2" w:rsidP="00CC63C2">
      <w:pPr>
        <w:spacing w:after="0" w:line="240" w:lineRule="auto"/>
        <w:ind w:firstLine="284"/>
        <w:jc w:val="both"/>
        <w:rPr>
          <w:rFonts w:ascii="Garamond" w:hAnsi="Garamond"/>
          <w:sz w:val="24"/>
        </w:rPr>
      </w:pPr>
    </w:p>
    <w:p w14:paraId="0109C9F0" w14:textId="77777777" w:rsidR="00835E0F" w:rsidRDefault="00835E0F" w:rsidP="00CC63C2">
      <w:pPr>
        <w:spacing w:after="0" w:line="240" w:lineRule="auto"/>
        <w:ind w:firstLine="284"/>
        <w:jc w:val="center"/>
        <w:rPr>
          <w:rFonts w:ascii="Garamond" w:hAnsi="Garamond"/>
          <w:sz w:val="24"/>
        </w:rPr>
      </w:pPr>
      <w:r w:rsidRPr="00CC63C2">
        <w:rPr>
          <w:rFonts w:ascii="Garamond" w:hAnsi="Garamond"/>
          <w:sz w:val="24"/>
        </w:rPr>
        <w:t>URDHËROJ:</w:t>
      </w:r>
    </w:p>
    <w:p w14:paraId="49F614EE" w14:textId="77777777" w:rsidR="00CC63C2" w:rsidRPr="00CC63C2" w:rsidRDefault="00CC63C2" w:rsidP="00CC63C2">
      <w:pPr>
        <w:spacing w:after="0" w:line="240" w:lineRule="auto"/>
        <w:ind w:firstLine="284"/>
        <w:jc w:val="both"/>
        <w:rPr>
          <w:rFonts w:ascii="Garamond" w:hAnsi="Garamond"/>
          <w:sz w:val="24"/>
        </w:rPr>
      </w:pPr>
    </w:p>
    <w:p w14:paraId="6F94BC06" w14:textId="7FC92541" w:rsidR="00835E0F" w:rsidRPr="00CC63C2" w:rsidRDefault="00CC63C2" w:rsidP="00CC63C2">
      <w:pPr>
        <w:spacing w:after="0" w:line="240" w:lineRule="auto"/>
        <w:ind w:firstLine="284"/>
        <w:jc w:val="both"/>
        <w:rPr>
          <w:rFonts w:ascii="Garamond" w:hAnsi="Garamond"/>
          <w:sz w:val="24"/>
        </w:rPr>
      </w:pPr>
      <w:r>
        <w:rPr>
          <w:rFonts w:ascii="Garamond" w:hAnsi="Garamond"/>
          <w:sz w:val="24"/>
        </w:rPr>
        <w:t xml:space="preserve">1. </w:t>
      </w:r>
      <w:r w:rsidR="00835E0F" w:rsidRPr="00CC63C2">
        <w:rPr>
          <w:rFonts w:ascii="Garamond" w:hAnsi="Garamond"/>
          <w:sz w:val="24"/>
        </w:rPr>
        <w:t xml:space="preserve">Zbatimin e </w:t>
      </w:r>
      <w:r w:rsidR="00C25C7F" w:rsidRPr="00CC63C2">
        <w:rPr>
          <w:rFonts w:ascii="Garamond" w:hAnsi="Garamond"/>
          <w:sz w:val="24"/>
        </w:rPr>
        <w:t xml:space="preserve">rekomandimit </w:t>
      </w:r>
      <w:r w:rsidR="00835E0F" w:rsidRPr="00CC63C2">
        <w:rPr>
          <w:rFonts w:ascii="Garamond" w:hAnsi="Garamond"/>
          <w:sz w:val="24"/>
        </w:rPr>
        <w:t>GFCM/45/2022/11</w:t>
      </w:r>
      <w:r w:rsidR="007F2906">
        <w:rPr>
          <w:rFonts w:ascii="Garamond" w:hAnsi="Garamond"/>
          <w:sz w:val="24"/>
        </w:rPr>
        <w:t>,</w:t>
      </w:r>
      <w:r w:rsidR="00835E0F" w:rsidRPr="00CC63C2">
        <w:rPr>
          <w:rFonts w:ascii="Garamond" w:hAnsi="Garamond"/>
          <w:sz w:val="24"/>
        </w:rPr>
        <w:t xml:space="preserve"> “Mbi standardet minimale për menaxhimin e zonave të kufizuara të peshkimit”, sipas tekstit bashkëlidhur këtij urdhri dhe është pjesë përbërëse e tij.</w:t>
      </w:r>
    </w:p>
    <w:p w14:paraId="37FE2918" w14:textId="6028F96C" w:rsidR="00835E0F" w:rsidRPr="00CC63C2" w:rsidRDefault="00CC63C2" w:rsidP="00CC63C2">
      <w:pPr>
        <w:spacing w:after="0" w:line="240" w:lineRule="auto"/>
        <w:ind w:firstLine="284"/>
        <w:jc w:val="both"/>
        <w:rPr>
          <w:rFonts w:ascii="Garamond" w:hAnsi="Garamond"/>
          <w:sz w:val="24"/>
        </w:rPr>
      </w:pPr>
      <w:r>
        <w:rPr>
          <w:rFonts w:ascii="Garamond" w:hAnsi="Garamond"/>
          <w:sz w:val="24"/>
        </w:rPr>
        <w:t xml:space="preserve">2. </w:t>
      </w:r>
      <w:r w:rsidR="00835E0F" w:rsidRPr="00CC63C2">
        <w:rPr>
          <w:rFonts w:ascii="Garamond" w:hAnsi="Garamond"/>
          <w:sz w:val="24"/>
        </w:rPr>
        <w:t>Për zbatimin e këtij urdhri, ngarkohen Drejtoria e Politikave dhe Programeve të Peshkimit d</w:t>
      </w:r>
      <w:r w:rsidR="00DB5E6B">
        <w:rPr>
          <w:rFonts w:ascii="Garamond" w:hAnsi="Garamond"/>
          <w:sz w:val="24"/>
        </w:rPr>
        <w:t xml:space="preserve">he Akuakulturës dhe </w:t>
      </w:r>
      <w:r w:rsidR="00835E0F" w:rsidRPr="00CC63C2">
        <w:rPr>
          <w:rFonts w:ascii="Garamond" w:hAnsi="Garamond"/>
          <w:sz w:val="24"/>
        </w:rPr>
        <w:t>Drejtoria</w:t>
      </w:r>
      <w:r w:rsidR="00DB5E6B">
        <w:rPr>
          <w:rFonts w:ascii="Garamond" w:hAnsi="Garamond"/>
          <w:sz w:val="24"/>
        </w:rPr>
        <w:t xml:space="preserve"> e Shërbimeve të Peshkimit</w:t>
      </w:r>
      <w:r w:rsidR="00835E0F" w:rsidRPr="00CC63C2">
        <w:rPr>
          <w:rFonts w:ascii="Garamond" w:hAnsi="Garamond"/>
          <w:sz w:val="24"/>
        </w:rPr>
        <w:t xml:space="preserve"> dhe Akuakulturës.</w:t>
      </w:r>
    </w:p>
    <w:p w14:paraId="2C7B46ED" w14:textId="008DBECA" w:rsidR="00835E0F" w:rsidRPr="00CC63C2" w:rsidRDefault="00835E0F" w:rsidP="00CC63C2">
      <w:pPr>
        <w:spacing w:after="0" w:line="240" w:lineRule="auto"/>
        <w:ind w:firstLine="284"/>
        <w:jc w:val="both"/>
        <w:rPr>
          <w:rFonts w:ascii="Garamond" w:hAnsi="Garamond"/>
          <w:sz w:val="24"/>
        </w:rPr>
      </w:pPr>
      <w:r w:rsidRPr="00CC63C2">
        <w:rPr>
          <w:rFonts w:ascii="Garamond" w:hAnsi="Garamond"/>
          <w:sz w:val="24"/>
        </w:rPr>
        <w:t>Ky urdhër hyn në fuqi menjëherë dhe botohet në Fletoren Zyrtare.</w:t>
      </w:r>
    </w:p>
    <w:p w14:paraId="105CB756" w14:textId="77777777" w:rsidR="00835E0F" w:rsidRPr="00CC63C2" w:rsidRDefault="00835E0F" w:rsidP="00CC63C2">
      <w:pPr>
        <w:spacing w:after="0" w:line="240" w:lineRule="auto"/>
        <w:ind w:firstLine="284"/>
        <w:jc w:val="both"/>
        <w:rPr>
          <w:rFonts w:ascii="Garamond" w:hAnsi="Garamond"/>
          <w:sz w:val="24"/>
        </w:rPr>
      </w:pPr>
    </w:p>
    <w:p w14:paraId="4FF20B6C" w14:textId="4FCD0041" w:rsidR="00835E0F" w:rsidRPr="00CC63C2" w:rsidRDefault="00CC63C2" w:rsidP="00CC63C2">
      <w:pPr>
        <w:spacing w:after="0" w:line="240" w:lineRule="auto"/>
        <w:ind w:firstLine="284"/>
        <w:jc w:val="right"/>
        <w:rPr>
          <w:rFonts w:ascii="Garamond" w:hAnsi="Garamond"/>
          <w:sz w:val="24"/>
        </w:rPr>
      </w:pPr>
      <w:r w:rsidRPr="00CC63C2">
        <w:rPr>
          <w:rFonts w:ascii="Garamond" w:hAnsi="Garamond"/>
          <w:sz w:val="24"/>
        </w:rPr>
        <w:t>MINISTËR</w:t>
      </w:r>
      <w:r>
        <w:rPr>
          <w:rFonts w:ascii="Garamond" w:hAnsi="Garamond"/>
          <w:sz w:val="24"/>
        </w:rPr>
        <w:t xml:space="preserve"> I BUJQËSISË DHE ZHVILLIMIT RURAL</w:t>
      </w:r>
    </w:p>
    <w:p w14:paraId="13AD1C62" w14:textId="749A320B" w:rsidR="00835E0F" w:rsidRPr="00CC63C2" w:rsidRDefault="00CC63C2" w:rsidP="00CC63C2">
      <w:pPr>
        <w:spacing w:after="0" w:line="240" w:lineRule="auto"/>
        <w:ind w:firstLine="284"/>
        <w:jc w:val="right"/>
        <w:rPr>
          <w:rFonts w:ascii="Garamond" w:hAnsi="Garamond"/>
          <w:b/>
          <w:sz w:val="24"/>
        </w:rPr>
      </w:pPr>
      <w:r w:rsidRPr="00CC63C2">
        <w:rPr>
          <w:rFonts w:ascii="Garamond" w:hAnsi="Garamond"/>
          <w:b/>
          <w:sz w:val="24"/>
        </w:rPr>
        <w:t>Frida Krifca</w:t>
      </w:r>
    </w:p>
    <w:p w14:paraId="03D74287" w14:textId="77777777" w:rsidR="00835E0F" w:rsidRDefault="00835E0F" w:rsidP="00AF0706">
      <w:pPr>
        <w:autoSpaceDE w:val="0"/>
        <w:autoSpaceDN w:val="0"/>
        <w:adjustRightInd w:val="0"/>
        <w:spacing w:after="0" w:line="240" w:lineRule="auto"/>
        <w:ind w:firstLine="284"/>
        <w:contextualSpacing/>
        <w:mirrorIndents/>
        <w:jc w:val="center"/>
        <w:rPr>
          <w:rFonts w:ascii="Times New Roman" w:hAnsi="Times New Roman"/>
          <w:bCs/>
          <w:sz w:val="24"/>
          <w:szCs w:val="24"/>
        </w:rPr>
      </w:pPr>
    </w:p>
    <w:p w14:paraId="665A077F" w14:textId="77777777" w:rsidR="00DB5E6B" w:rsidRPr="00324F05" w:rsidRDefault="00DB5E6B"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324F05">
        <w:rPr>
          <w:rFonts w:ascii="Garamond" w:eastAsiaTheme="minorHAnsi" w:hAnsi="Garamond"/>
          <w:bCs/>
          <w:color w:val="000000"/>
          <w:sz w:val="24"/>
          <w:szCs w:val="24"/>
        </w:rPr>
        <w:t xml:space="preserve">REKOMANDIMI GFCM/45/2022/11 </w:t>
      </w:r>
    </w:p>
    <w:p w14:paraId="3E5800DF" w14:textId="417FA7E6" w:rsidR="00DB5E6B" w:rsidRPr="00324F05" w:rsidRDefault="00DB5E6B"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324F05">
        <w:rPr>
          <w:rFonts w:ascii="Garamond" w:eastAsiaTheme="minorHAnsi" w:hAnsi="Garamond"/>
          <w:bCs/>
          <w:color w:val="000000"/>
          <w:sz w:val="24"/>
          <w:szCs w:val="24"/>
        </w:rPr>
        <w:t>MBI</w:t>
      </w:r>
      <w:r w:rsidR="007F2906" w:rsidRPr="00324F05">
        <w:rPr>
          <w:rFonts w:ascii="Garamond" w:eastAsiaTheme="minorHAnsi" w:hAnsi="Garamond"/>
          <w:bCs/>
          <w:color w:val="000000"/>
          <w:sz w:val="24"/>
          <w:szCs w:val="24"/>
        </w:rPr>
        <w:t xml:space="preserve"> </w:t>
      </w:r>
      <w:r w:rsidRPr="00324F05">
        <w:rPr>
          <w:rFonts w:ascii="Garamond" w:eastAsiaTheme="minorHAnsi" w:hAnsi="Garamond"/>
          <w:bCs/>
          <w:color w:val="000000"/>
          <w:sz w:val="24"/>
          <w:szCs w:val="24"/>
        </w:rPr>
        <w:t>STANDARDET MINIMALE PËR MENAXHIMIN E ZONAVE TË KUFIZUARA TË PESHKIMIT</w:t>
      </w:r>
    </w:p>
    <w:p w14:paraId="5126441A" w14:textId="77777777" w:rsidR="00DB5E6B" w:rsidRPr="00DB5E6B" w:rsidRDefault="00DB5E6B" w:rsidP="00DB5E6B">
      <w:pPr>
        <w:autoSpaceDE w:val="0"/>
        <w:autoSpaceDN w:val="0"/>
        <w:adjustRightInd w:val="0"/>
        <w:spacing w:after="0" w:line="240" w:lineRule="auto"/>
        <w:ind w:firstLine="284"/>
        <w:jc w:val="center"/>
        <w:rPr>
          <w:rFonts w:ascii="Garamond" w:eastAsiaTheme="minorHAnsi" w:hAnsi="Garamond"/>
          <w:color w:val="000000"/>
          <w:sz w:val="24"/>
          <w:szCs w:val="24"/>
        </w:rPr>
      </w:pPr>
    </w:p>
    <w:p w14:paraId="440F7229" w14:textId="77777777" w:rsidR="00DB5E6B" w:rsidRPr="00DB5E6B" w:rsidRDefault="00DB5E6B" w:rsidP="00DB5E6B">
      <w:pPr>
        <w:autoSpaceDE w:val="0"/>
        <w:autoSpaceDN w:val="0"/>
        <w:adjustRightInd w:val="0"/>
        <w:spacing w:after="0" w:line="240" w:lineRule="auto"/>
        <w:ind w:firstLine="284"/>
        <w:rPr>
          <w:rFonts w:ascii="Garamond" w:eastAsiaTheme="minorHAnsi" w:hAnsi="Garamond"/>
          <w:color w:val="000000"/>
          <w:sz w:val="24"/>
          <w:szCs w:val="24"/>
        </w:rPr>
      </w:pPr>
      <w:r w:rsidRPr="00DB5E6B">
        <w:rPr>
          <w:rFonts w:ascii="Garamond" w:eastAsiaTheme="minorHAnsi" w:hAnsi="Garamond"/>
          <w:color w:val="000000"/>
          <w:sz w:val="24"/>
          <w:szCs w:val="24"/>
        </w:rPr>
        <w:t>Komisioni i Përgjithshëm i Peshkimit për Mesdheun (GFCM/KPPM):</w:t>
      </w:r>
    </w:p>
    <w:p w14:paraId="1F9B6B22" w14:textId="1B8AB887"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i/>
          <w:iCs/>
          <w:color w:val="000000"/>
          <w:sz w:val="24"/>
          <w:szCs w:val="24"/>
        </w:rPr>
        <w:t>duke rikujtuar</w:t>
      </w:r>
      <w:r w:rsidRPr="00DB5E6B">
        <w:rPr>
          <w:rFonts w:ascii="Garamond" w:eastAsiaTheme="minorHAnsi" w:hAnsi="Garamond"/>
          <w:color w:val="000000"/>
          <w:sz w:val="24"/>
          <w:szCs w:val="24"/>
        </w:rPr>
        <w:t xml:space="preserve"> </w:t>
      </w:r>
      <w:r w:rsidR="00DB5E6B" w:rsidRPr="00AB4E72">
        <w:rPr>
          <w:rFonts w:ascii="Garamond" w:eastAsiaTheme="minorHAnsi" w:hAnsi="Garamond"/>
          <w:i/>
          <w:color w:val="000000"/>
          <w:sz w:val="24"/>
          <w:szCs w:val="24"/>
        </w:rPr>
        <w:t>se</w:t>
      </w:r>
      <w:r w:rsidR="00DB5E6B" w:rsidRPr="00DB5E6B">
        <w:rPr>
          <w:rFonts w:ascii="Garamond" w:eastAsiaTheme="minorHAnsi" w:hAnsi="Garamond"/>
          <w:color w:val="000000"/>
          <w:sz w:val="24"/>
          <w:szCs w:val="24"/>
        </w:rPr>
        <w:t xml:space="preserve"> objektivi i Marrëveshjes për krijimin e Komisionit të Përgjithshëm të Peshkimit për Mesdheun (</w:t>
      </w:r>
      <w:r w:rsidR="00AB4E72">
        <w:rPr>
          <w:rFonts w:ascii="Garamond" w:eastAsiaTheme="minorHAnsi" w:hAnsi="Garamond"/>
          <w:color w:val="000000"/>
          <w:sz w:val="24"/>
          <w:szCs w:val="24"/>
        </w:rPr>
        <w:t>“</w:t>
      </w:r>
      <w:r w:rsidR="00DB5E6B" w:rsidRPr="00DB5E6B">
        <w:rPr>
          <w:rFonts w:ascii="Garamond" w:eastAsiaTheme="minorHAnsi" w:hAnsi="Garamond"/>
          <w:color w:val="000000"/>
          <w:sz w:val="24"/>
          <w:szCs w:val="24"/>
        </w:rPr>
        <w:t>Marrëveshja KPPM</w:t>
      </w:r>
      <w:r w:rsidR="00AB4E72">
        <w:rPr>
          <w:rFonts w:ascii="Garamond" w:eastAsiaTheme="minorHAnsi" w:hAnsi="Garamond"/>
          <w:color w:val="000000"/>
          <w:sz w:val="24"/>
          <w:szCs w:val="24"/>
        </w:rPr>
        <w:t>”</w:t>
      </w:r>
      <w:r w:rsidR="00DB5E6B" w:rsidRPr="00DB5E6B">
        <w:rPr>
          <w:rFonts w:ascii="Garamond" w:eastAsiaTheme="minorHAnsi" w:hAnsi="Garamond"/>
          <w:color w:val="000000"/>
          <w:sz w:val="24"/>
          <w:szCs w:val="24"/>
        </w:rPr>
        <w:t>) është të sigurojë ruajtjen dhe përdorimin e qëndrueshëm, në nivel biologjik, social, ekonomik dhe mjedisor, të burimeve të gjalla detare në zonën e aplikimit të KPPM-së</w:t>
      </w:r>
      <w:r>
        <w:rPr>
          <w:rFonts w:ascii="Garamond" w:eastAsiaTheme="minorHAnsi" w:hAnsi="Garamond"/>
          <w:color w:val="000000"/>
          <w:sz w:val="24"/>
          <w:szCs w:val="24"/>
        </w:rPr>
        <w:t>;</w:t>
      </w:r>
    </w:p>
    <w:p w14:paraId="2869C1D5" w14:textId="3EEA20B4"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i/>
          <w:iCs/>
          <w:color w:val="000000"/>
          <w:sz w:val="24"/>
          <w:szCs w:val="24"/>
        </w:rPr>
        <w:t>duke vënë në dukje</w:t>
      </w:r>
      <w:r w:rsidRPr="00DB5E6B">
        <w:rPr>
          <w:rFonts w:ascii="Garamond" w:eastAsiaTheme="minorHAnsi" w:hAnsi="Garamond"/>
          <w:color w:val="000000"/>
          <w:sz w:val="24"/>
          <w:szCs w:val="24"/>
        </w:rPr>
        <w:t xml:space="preserve"> </w:t>
      </w:r>
      <w:r w:rsidR="00DB5E6B" w:rsidRPr="00AB4E72">
        <w:rPr>
          <w:rFonts w:ascii="Garamond" w:eastAsiaTheme="minorHAnsi" w:hAnsi="Garamond"/>
          <w:i/>
          <w:color w:val="000000"/>
          <w:sz w:val="24"/>
          <w:szCs w:val="24"/>
        </w:rPr>
        <w:t>se</w:t>
      </w:r>
      <w:r w:rsidR="00DB5E6B" w:rsidRPr="00DB5E6B">
        <w:rPr>
          <w:rFonts w:ascii="Garamond" w:eastAsiaTheme="minorHAnsi" w:hAnsi="Garamond"/>
          <w:color w:val="000000"/>
          <w:sz w:val="24"/>
          <w:szCs w:val="24"/>
        </w:rPr>
        <w:t xml:space="preserve"> </w:t>
      </w:r>
      <w:r w:rsidR="00AB4E72" w:rsidRPr="00DB5E6B">
        <w:rPr>
          <w:rFonts w:ascii="Garamond" w:eastAsiaTheme="minorHAnsi" w:hAnsi="Garamond"/>
          <w:color w:val="000000"/>
          <w:sz w:val="24"/>
          <w:szCs w:val="24"/>
        </w:rPr>
        <w:t xml:space="preserve">objektivi </w:t>
      </w:r>
      <w:r w:rsidR="00DB5E6B" w:rsidRPr="00DB5E6B">
        <w:rPr>
          <w:rFonts w:ascii="Garamond" w:eastAsiaTheme="minorHAnsi" w:hAnsi="Garamond"/>
          <w:color w:val="000000"/>
          <w:sz w:val="24"/>
          <w:szCs w:val="24"/>
        </w:rPr>
        <w:t>14.5 i Kombeve të Bashkuara për Zhvillimin e Qëndrueshëm (SDG) që kërkon në mënyrë specifike ruajtjen dhe mbrojtjen e të paktën 10% të zonave bregdetare dhe detare, në përputhje me ligjin kombëtar dhe ndërkombëtar</w:t>
      </w:r>
      <w:r>
        <w:rPr>
          <w:rFonts w:ascii="Garamond" w:eastAsiaTheme="minorHAnsi" w:hAnsi="Garamond"/>
          <w:color w:val="000000"/>
          <w:sz w:val="24"/>
          <w:szCs w:val="24"/>
        </w:rPr>
        <w:t>;</w:t>
      </w:r>
    </w:p>
    <w:p w14:paraId="7C3DD0FB" w14:textId="0DF22A0D"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i/>
          <w:iCs/>
          <w:color w:val="000000"/>
          <w:sz w:val="24"/>
          <w:szCs w:val="24"/>
        </w:rPr>
        <w:t>duke theksuar</w:t>
      </w:r>
      <w:r w:rsidRPr="00DB5E6B">
        <w:rPr>
          <w:rFonts w:ascii="Garamond" w:eastAsiaTheme="minorHAnsi" w:hAnsi="Garamond"/>
          <w:color w:val="000000"/>
          <w:sz w:val="24"/>
          <w:szCs w:val="24"/>
        </w:rPr>
        <w:t xml:space="preserve"> </w:t>
      </w:r>
      <w:r w:rsidR="00DB5E6B" w:rsidRPr="00DB5E6B">
        <w:rPr>
          <w:rFonts w:ascii="Garamond" w:eastAsiaTheme="minorHAnsi" w:hAnsi="Garamond"/>
          <w:color w:val="000000"/>
          <w:sz w:val="24"/>
          <w:szCs w:val="24"/>
        </w:rPr>
        <w:t>angazhimin sipas nenit 8 të Marrëveshjes KPPM-së për të minimizuar ndikimet e aktiviteteve të peshkimit në burimet e gjalla detare dhe ekosistemet e tyre dhe për të krijuar Zona të Kufizuara të Peshkimit (ZKP) për mbrojtjen e Ekosistemeve Detare të C</w:t>
      </w:r>
      <w:r w:rsidR="00A94D8F">
        <w:rPr>
          <w:rFonts w:ascii="Garamond" w:eastAsiaTheme="minorHAnsi" w:hAnsi="Garamond"/>
          <w:color w:val="000000"/>
          <w:sz w:val="24"/>
          <w:szCs w:val="24"/>
        </w:rPr>
        <w:t>e</w:t>
      </w:r>
      <w:r w:rsidR="00DB5E6B" w:rsidRPr="00DB5E6B">
        <w:rPr>
          <w:rFonts w:ascii="Garamond" w:eastAsiaTheme="minorHAnsi" w:hAnsi="Garamond"/>
          <w:color w:val="000000"/>
          <w:sz w:val="24"/>
          <w:szCs w:val="24"/>
        </w:rPr>
        <w:t>nueshme (VME/EDC), duke përfshirë, por</w:t>
      </w:r>
      <w:r w:rsidR="00A94D8F">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gjithashtu</w:t>
      </w:r>
      <w:r w:rsidR="00A94D8F">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moskufizimin e zonave për mbarështimin e vezëve</w:t>
      </w:r>
      <w:r w:rsidR="00A94D8F">
        <w:rPr>
          <w:rFonts w:ascii="Garamond" w:eastAsiaTheme="minorHAnsi" w:hAnsi="Garamond"/>
          <w:color w:val="000000"/>
          <w:sz w:val="24"/>
          <w:szCs w:val="24"/>
        </w:rPr>
        <w:t>;</w:t>
      </w:r>
    </w:p>
    <w:p w14:paraId="6A872DC2" w14:textId="7D7C978D"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i/>
          <w:iCs/>
          <w:color w:val="000000"/>
          <w:sz w:val="24"/>
          <w:szCs w:val="24"/>
        </w:rPr>
        <w:t>duke rikujtuar</w:t>
      </w:r>
      <w:r w:rsidRPr="00DB5E6B">
        <w:rPr>
          <w:rFonts w:ascii="Garamond" w:eastAsiaTheme="minorHAnsi" w:hAnsi="Garamond"/>
          <w:color w:val="000000"/>
          <w:sz w:val="24"/>
          <w:szCs w:val="24"/>
        </w:rPr>
        <w:t xml:space="preserve"> </w:t>
      </w:r>
      <w:r w:rsidR="00DB5E6B" w:rsidRPr="00DB5E6B">
        <w:rPr>
          <w:rFonts w:ascii="Garamond" w:eastAsiaTheme="minorHAnsi" w:hAnsi="Garamond"/>
          <w:color w:val="000000"/>
          <w:sz w:val="24"/>
          <w:szCs w:val="24"/>
        </w:rPr>
        <w:t>Deklaratën Ministrore të Maltës MedFish4Ever 2017 dhe</w:t>
      </w:r>
      <w:r w:rsidR="008D5BF3">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në veçanti</w:t>
      </w:r>
      <w:r w:rsidR="008D5BF3">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paragrafin 38 të saj mbi zhvillimin e zonave të mbrojtura detare dhe zonat e kufizuara të peshkimit që sigurojnë një mbrojtje efektive për të paktën 10% të Detit Mesdhe deri në vitin 2020, e cila është n</w:t>
      </w:r>
      <w:r w:rsidR="007F065A">
        <w:rPr>
          <w:rFonts w:ascii="Garamond" w:eastAsiaTheme="minorHAnsi" w:hAnsi="Garamond"/>
          <w:color w:val="000000"/>
          <w:sz w:val="24"/>
          <w:szCs w:val="24"/>
        </w:rPr>
        <w:t>ë</w:t>
      </w:r>
      <w:r w:rsidR="00DB5E6B" w:rsidRPr="00DB5E6B">
        <w:rPr>
          <w:rFonts w:ascii="Garamond" w:eastAsiaTheme="minorHAnsi" w:hAnsi="Garamond"/>
          <w:color w:val="000000"/>
          <w:sz w:val="24"/>
          <w:szCs w:val="24"/>
        </w:rPr>
        <w:t xml:space="preserve"> përputhje me </w:t>
      </w:r>
      <w:r w:rsidR="00DF5BC5" w:rsidRPr="00DB5E6B">
        <w:rPr>
          <w:rFonts w:ascii="Garamond" w:eastAsiaTheme="minorHAnsi" w:hAnsi="Garamond"/>
          <w:color w:val="000000"/>
          <w:sz w:val="24"/>
          <w:szCs w:val="24"/>
        </w:rPr>
        <w:t xml:space="preserve">Objektivin </w:t>
      </w:r>
      <w:r w:rsidR="00DB5E6B" w:rsidRPr="00DB5E6B">
        <w:rPr>
          <w:rFonts w:ascii="Garamond" w:eastAsiaTheme="minorHAnsi" w:hAnsi="Garamond"/>
          <w:color w:val="000000"/>
          <w:sz w:val="24"/>
          <w:szCs w:val="24"/>
        </w:rPr>
        <w:t>e Kombeve të Bashkuara për Zhvillimin e Qëndrueshëm 14.5</w:t>
      </w:r>
      <w:r>
        <w:rPr>
          <w:rFonts w:ascii="Garamond" w:eastAsiaTheme="minorHAnsi" w:hAnsi="Garamond"/>
          <w:color w:val="000000"/>
          <w:sz w:val="24"/>
          <w:szCs w:val="24"/>
        </w:rPr>
        <w:t>;</w:t>
      </w:r>
    </w:p>
    <w:p w14:paraId="5EF35FFD" w14:textId="1DE6B5A2"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i/>
          <w:iCs/>
          <w:color w:val="000000"/>
          <w:sz w:val="24"/>
          <w:szCs w:val="24"/>
        </w:rPr>
        <w:t>më tej</w:t>
      </w:r>
      <w:r>
        <w:rPr>
          <w:rFonts w:ascii="Garamond" w:eastAsiaTheme="minorHAnsi" w:hAnsi="Garamond"/>
          <w:i/>
          <w:iCs/>
          <w:color w:val="000000"/>
          <w:sz w:val="24"/>
          <w:szCs w:val="24"/>
        </w:rPr>
        <w:t>,</w:t>
      </w:r>
      <w:r w:rsidRPr="00DB5E6B">
        <w:rPr>
          <w:rFonts w:ascii="Garamond" w:eastAsiaTheme="minorHAnsi" w:hAnsi="Garamond"/>
          <w:i/>
          <w:iCs/>
          <w:color w:val="000000"/>
          <w:sz w:val="24"/>
          <w:szCs w:val="24"/>
        </w:rPr>
        <w:t xml:space="preserve"> duke marrë parasysh</w:t>
      </w:r>
      <w:r w:rsidRPr="00DB5E6B">
        <w:rPr>
          <w:rFonts w:ascii="Garamond" w:eastAsiaTheme="minorHAnsi" w:hAnsi="Garamond"/>
          <w:color w:val="000000"/>
          <w:sz w:val="24"/>
          <w:szCs w:val="24"/>
        </w:rPr>
        <w:t xml:space="preserve"> </w:t>
      </w:r>
      <w:r w:rsidR="00DB5E6B" w:rsidRPr="007357EF">
        <w:rPr>
          <w:rFonts w:ascii="Garamond" w:eastAsiaTheme="minorHAnsi" w:hAnsi="Garamond"/>
          <w:i/>
          <w:color w:val="000000"/>
          <w:sz w:val="24"/>
          <w:szCs w:val="24"/>
        </w:rPr>
        <w:t>se</w:t>
      </w:r>
      <w:r w:rsidR="00DB5E6B" w:rsidRPr="00DB5E6B">
        <w:rPr>
          <w:rFonts w:ascii="Garamond" w:eastAsiaTheme="minorHAnsi" w:hAnsi="Garamond"/>
          <w:color w:val="000000"/>
          <w:sz w:val="24"/>
          <w:szCs w:val="24"/>
        </w:rPr>
        <w:t xml:space="preserve"> sipas Kodit të Sjelljes së FAO-s për Peshkimin e Përgjegjshëm, shtetet duhet të zbatojnë gjerësisht qasjen paraprake për ruajtjen, menaxhimin dhe shfrytëzimin e burimeve të gjalla ujore</w:t>
      </w:r>
      <w:r w:rsidR="00A21E24">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me qëllim mbrojtjen e tyre dhe ruajtjen e mjedisit ujor, duke marrë parasysh provat më të mira shkencore në dispozicion dhe se mungesa e informacionit adekuat shkencor nuk duhet të përdoret si arsye për shtyrjen ose mosmarrjen e masave të ruajtjes dhe </w:t>
      </w:r>
      <w:r w:rsidR="0001731C">
        <w:rPr>
          <w:rFonts w:ascii="Garamond" w:eastAsiaTheme="minorHAnsi" w:hAnsi="Garamond"/>
          <w:color w:val="000000"/>
          <w:sz w:val="24"/>
          <w:szCs w:val="24"/>
        </w:rPr>
        <w:t xml:space="preserve">të </w:t>
      </w:r>
      <w:r w:rsidR="00DB5E6B" w:rsidRPr="00DB5E6B">
        <w:rPr>
          <w:rFonts w:ascii="Garamond" w:eastAsiaTheme="minorHAnsi" w:hAnsi="Garamond"/>
          <w:color w:val="000000"/>
          <w:sz w:val="24"/>
          <w:szCs w:val="24"/>
        </w:rPr>
        <w:t>menaxhimit</w:t>
      </w:r>
      <w:r>
        <w:rPr>
          <w:rFonts w:ascii="Garamond" w:eastAsiaTheme="minorHAnsi" w:hAnsi="Garamond"/>
          <w:color w:val="000000"/>
          <w:sz w:val="24"/>
          <w:szCs w:val="24"/>
        </w:rPr>
        <w:t>;</w:t>
      </w:r>
    </w:p>
    <w:p w14:paraId="39B6580F" w14:textId="5C7A5D04"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i/>
          <w:iCs/>
          <w:color w:val="000000"/>
          <w:sz w:val="24"/>
          <w:szCs w:val="24"/>
        </w:rPr>
        <w:t>duke theksuar</w:t>
      </w:r>
      <w:r w:rsidR="00DB5E6B" w:rsidRPr="00DB5E6B">
        <w:rPr>
          <w:rFonts w:ascii="Garamond" w:eastAsiaTheme="minorHAnsi" w:hAnsi="Garamond"/>
          <w:color w:val="000000"/>
          <w:sz w:val="24"/>
          <w:szCs w:val="24"/>
        </w:rPr>
        <w:t xml:space="preserve"> nevojën për të përmirësuar mbledhjen e të dhënave shkencore</w:t>
      </w:r>
      <w:r w:rsidR="00AD38F5">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në lidhje me habitatet e ndjeshme, habitatet thelbësore të peshqve dhe të gjitha burimet e vdekshmërisë për </w:t>
      </w:r>
      <w:r w:rsidR="00DB5E6B" w:rsidRPr="00DB5E6B">
        <w:rPr>
          <w:rFonts w:ascii="Garamond" w:eastAsiaTheme="minorHAnsi" w:hAnsi="Garamond"/>
          <w:color w:val="000000"/>
          <w:sz w:val="24"/>
          <w:szCs w:val="24"/>
        </w:rPr>
        <w:lastRenderedPageBreak/>
        <w:t>speciet kryesore, duke përfshirë, por pa u kufizuar në të dhënat nga peshkimi brenda zonës së aplikimit të marrëveshjes KPPM</w:t>
      </w:r>
      <w:r>
        <w:rPr>
          <w:rFonts w:ascii="Garamond" w:eastAsiaTheme="minorHAnsi" w:hAnsi="Garamond"/>
          <w:color w:val="000000"/>
          <w:sz w:val="24"/>
          <w:szCs w:val="24"/>
        </w:rPr>
        <w:t>;</w:t>
      </w:r>
    </w:p>
    <w:p w14:paraId="51D6D424" w14:textId="594B7AF6"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
          <w:iCs/>
          <w:color w:val="000000"/>
          <w:sz w:val="24"/>
          <w:szCs w:val="24"/>
        </w:rPr>
        <w:t>duke marrë parasysh</w:t>
      </w:r>
      <w:r w:rsidRPr="00DB5E6B">
        <w:rPr>
          <w:rFonts w:ascii="Garamond" w:eastAsiaTheme="minorHAnsi" w:hAnsi="Garamond"/>
          <w:color w:val="000000"/>
          <w:sz w:val="24"/>
          <w:szCs w:val="24"/>
        </w:rPr>
        <w:t xml:space="preserve"> </w:t>
      </w:r>
      <w:r w:rsidR="00DB5E6B" w:rsidRPr="00DB5E6B">
        <w:rPr>
          <w:rFonts w:ascii="Garamond" w:eastAsiaTheme="minorHAnsi" w:hAnsi="Garamond"/>
          <w:color w:val="000000"/>
          <w:sz w:val="24"/>
          <w:szCs w:val="24"/>
        </w:rPr>
        <w:t xml:space="preserve">miratimin e një strategjie të re të KPPM-së (2021–2030) drejt qëndrueshmërisë së peshkimit në Mesdhe dhe </w:t>
      </w:r>
      <w:r w:rsidR="000D4B46">
        <w:rPr>
          <w:rFonts w:ascii="Garamond" w:eastAsiaTheme="minorHAnsi" w:hAnsi="Garamond"/>
          <w:color w:val="000000"/>
          <w:sz w:val="24"/>
          <w:szCs w:val="24"/>
        </w:rPr>
        <w:t xml:space="preserve">në </w:t>
      </w:r>
      <w:r w:rsidR="00DB5E6B" w:rsidRPr="00DB5E6B">
        <w:rPr>
          <w:rFonts w:ascii="Garamond" w:eastAsiaTheme="minorHAnsi" w:hAnsi="Garamond"/>
          <w:color w:val="000000"/>
          <w:sz w:val="24"/>
          <w:szCs w:val="24"/>
        </w:rPr>
        <w:t>Detin e Zi dhe duke synuar</w:t>
      </w:r>
      <w:r w:rsidR="000D4B46">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veçanërisht</w:t>
      </w:r>
      <w:r w:rsidR="000D4B46">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w:t>
      </w:r>
      <w:r w:rsidR="000D4B46">
        <w:rPr>
          <w:rFonts w:ascii="Garamond" w:eastAsiaTheme="minorHAnsi" w:hAnsi="Garamond"/>
          <w:color w:val="000000"/>
          <w:sz w:val="24"/>
          <w:szCs w:val="24"/>
        </w:rPr>
        <w:t>“</w:t>
      </w:r>
      <w:r w:rsidR="00DB5E6B" w:rsidRPr="00DB5E6B">
        <w:rPr>
          <w:rFonts w:ascii="Garamond" w:eastAsiaTheme="minorHAnsi" w:hAnsi="Garamond"/>
          <w:color w:val="000000"/>
          <w:sz w:val="24"/>
          <w:szCs w:val="24"/>
        </w:rPr>
        <w:t>promovimin e identifikimit dhe krijimin e ZKP-ve të reja për të mbrojtur zonat prioritare ekologjike ose biologjike, EDC etj</w:t>
      </w:r>
      <w:r w:rsidR="00515764">
        <w:rPr>
          <w:rFonts w:ascii="Garamond" w:eastAsiaTheme="minorHAnsi" w:hAnsi="Garamond"/>
          <w:color w:val="000000"/>
          <w:sz w:val="24"/>
          <w:szCs w:val="24"/>
        </w:rPr>
        <w:t>.</w:t>
      </w:r>
      <w:r w:rsidR="000D4B46">
        <w:rPr>
          <w:rFonts w:ascii="Garamond" w:eastAsiaTheme="minorHAnsi" w:hAnsi="Garamond"/>
          <w:color w:val="000000"/>
          <w:sz w:val="24"/>
          <w:szCs w:val="24"/>
        </w:rPr>
        <w:t>”</w:t>
      </w:r>
      <w:r w:rsidR="00850163">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brenda zonave detare të rëndësishme nga aktivitetet e dëmshme të peshkimit dhe zbatimin e sistemeve të monitorimit dhe </w:t>
      </w:r>
      <w:r w:rsidR="00E03B82">
        <w:rPr>
          <w:rFonts w:ascii="Garamond" w:eastAsiaTheme="minorHAnsi" w:hAnsi="Garamond"/>
          <w:color w:val="000000"/>
          <w:sz w:val="24"/>
          <w:szCs w:val="24"/>
        </w:rPr>
        <w:t xml:space="preserve">të </w:t>
      </w:r>
      <w:r w:rsidR="00DB5E6B" w:rsidRPr="00DB5E6B">
        <w:rPr>
          <w:rFonts w:ascii="Garamond" w:eastAsiaTheme="minorHAnsi" w:hAnsi="Garamond"/>
          <w:color w:val="000000"/>
          <w:sz w:val="24"/>
          <w:szCs w:val="24"/>
        </w:rPr>
        <w:t>kontrollit për të siguruar efikasitetin e këtyre masave hapësinore</w:t>
      </w:r>
      <w:r>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w:t>
      </w:r>
    </w:p>
    <w:p w14:paraId="399554AD" w14:textId="6AB5D0D2"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
          <w:color w:val="000000"/>
          <w:sz w:val="24"/>
          <w:szCs w:val="24"/>
        </w:rPr>
        <w:t>më tej</w:t>
      </w:r>
      <w:r w:rsidR="00E03B82">
        <w:rPr>
          <w:rFonts w:ascii="Garamond" w:eastAsiaTheme="minorHAnsi" w:hAnsi="Garamond"/>
          <w:i/>
          <w:color w:val="000000"/>
          <w:sz w:val="24"/>
          <w:szCs w:val="24"/>
        </w:rPr>
        <w:t>,</w:t>
      </w:r>
      <w:r w:rsidRPr="00764641">
        <w:rPr>
          <w:rFonts w:ascii="Garamond" w:eastAsiaTheme="minorHAnsi" w:hAnsi="Garamond"/>
          <w:i/>
          <w:color w:val="000000"/>
          <w:sz w:val="24"/>
          <w:szCs w:val="24"/>
        </w:rPr>
        <w:t xml:space="preserve"> duke marrë parasysh</w:t>
      </w:r>
      <w:r w:rsidRPr="00DB5E6B">
        <w:rPr>
          <w:rFonts w:ascii="Garamond" w:eastAsiaTheme="minorHAnsi" w:hAnsi="Garamond"/>
          <w:color w:val="000000"/>
          <w:sz w:val="24"/>
          <w:szCs w:val="24"/>
        </w:rPr>
        <w:t xml:space="preserve"> </w:t>
      </w:r>
      <w:r w:rsidR="00DB5E6B" w:rsidRPr="00DB5E6B">
        <w:rPr>
          <w:rFonts w:ascii="Garamond" w:eastAsiaTheme="minorHAnsi" w:hAnsi="Garamond"/>
          <w:color w:val="000000"/>
          <w:sz w:val="24"/>
          <w:szCs w:val="24"/>
        </w:rPr>
        <w:t>objektivat sipas rezolutës GFCM/41/2017/5 për një rrjet të habitateve thelbësore të peshkut në zonën e aplikimit të KPPM</w:t>
      </w:r>
      <w:r w:rsidR="00E03B82">
        <w:rPr>
          <w:rFonts w:ascii="Garamond" w:eastAsiaTheme="minorHAnsi" w:hAnsi="Garamond"/>
          <w:color w:val="000000"/>
          <w:sz w:val="24"/>
          <w:szCs w:val="24"/>
        </w:rPr>
        <w:t>-së</w:t>
      </w:r>
      <w:r w:rsidR="00DB5E6B" w:rsidRPr="00DB5E6B">
        <w:rPr>
          <w:rFonts w:ascii="Garamond" w:eastAsiaTheme="minorHAnsi" w:hAnsi="Garamond"/>
          <w:color w:val="000000"/>
          <w:sz w:val="24"/>
          <w:szCs w:val="24"/>
        </w:rPr>
        <w:t>, rezoluta GFCM/43/2019/1 për hartimin e masave të zbatueshme për ZKP-të në zonën e aplikimit të KPPM-së dhe rezoluta GFCM/43/2019/3 për zbatimin e një sistemi monitorimi për anijet dhe ditari elektronik në zonën e aplikimit të KPPM-së (VMS dhe ERS)</w:t>
      </w:r>
      <w:r>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w:t>
      </w:r>
    </w:p>
    <w:p w14:paraId="30DE4465" w14:textId="102BFD5A"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
          <w:color w:val="000000"/>
          <w:sz w:val="24"/>
          <w:szCs w:val="24"/>
        </w:rPr>
        <w:t>duke rikujtuar</w:t>
      </w:r>
      <w:r w:rsidRPr="00DB5E6B">
        <w:rPr>
          <w:rFonts w:ascii="Garamond" w:eastAsiaTheme="minorHAnsi" w:hAnsi="Garamond"/>
          <w:color w:val="000000"/>
          <w:sz w:val="24"/>
          <w:szCs w:val="24"/>
        </w:rPr>
        <w:t xml:space="preserve"> </w:t>
      </w:r>
      <w:r w:rsidR="00DB5E6B" w:rsidRPr="00E03B82">
        <w:rPr>
          <w:rFonts w:ascii="Garamond" w:eastAsiaTheme="minorHAnsi" w:hAnsi="Garamond"/>
          <w:i/>
          <w:color w:val="000000"/>
          <w:sz w:val="24"/>
          <w:szCs w:val="24"/>
        </w:rPr>
        <w:t>se</w:t>
      </w:r>
      <w:r w:rsidR="00DB5E6B" w:rsidRPr="00DB5E6B">
        <w:rPr>
          <w:rFonts w:ascii="Garamond" w:eastAsiaTheme="minorHAnsi" w:hAnsi="Garamond"/>
          <w:color w:val="000000"/>
          <w:sz w:val="24"/>
          <w:szCs w:val="24"/>
        </w:rPr>
        <w:t xml:space="preserve"> përcaktimi dhe evolucioni i çdo ZKP-je kërkon të jetë i bazuar në shkencë dhe i përgatitur me të gjith</w:t>
      </w:r>
      <w:r w:rsidR="005748E9">
        <w:rPr>
          <w:rFonts w:ascii="Garamond" w:eastAsiaTheme="minorHAnsi" w:hAnsi="Garamond"/>
          <w:color w:val="000000"/>
          <w:sz w:val="24"/>
          <w:szCs w:val="24"/>
        </w:rPr>
        <w:t>a</w:t>
      </w:r>
      <w:r w:rsidR="00DB5E6B" w:rsidRPr="00DB5E6B">
        <w:rPr>
          <w:rFonts w:ascii="Garamond" w:eastAsiaTheme="minorHAnsi" w:hAnsi="Garamond"/>
          <w:color w:val="000000"/>
          <w:sz w:val="24"/>
          <w:szCs w:val="24"/>
        </w:rPr>
        <w:t xml:space="preserve"> palët e interesuara, si peshkatarët, shkencëtarët, administratat lokale, OJQ-të mjedisore</w:t>
      </w:r>
      <w:r>
        <w:rPr>
          <w:rFonts w:ascii="Garamond" w:eastAsiaTheme="minorHAnsi" w:hAnsi="Garamond"/>
          <w:color w:val="000000"/>
          <w:sz w:val="24"/>
          <w:szCs w:val="24"/>
        </w:rPr>
        <w:t>;</w:t>
      </w:r>
    </w:p>
    <w:p w14:paraId="59F29E79" w14:textId="28209DEB"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
          <w:color w:val="000000"/>
          <w:sz w:val="24"/>
          <w:szCs w:val="24"/>
        </w:rPr>
        <w:t>duke marrë parasysh</w:t>
      </w:r>
      <w:r w:rsidRPr="00DB5E6B">
        <w:rPr>
          <w:rFonts w:ascii="Garamond" w:eastAsiaTheme="minorHAnsi" w:hAnsi="Garamond"/>
          <w:color w:val="000000"/>
          <w:sz w:val="24"/>
          <w:szCs w:val="24"/>
        </w:rPr>
        <w:t xml:space="preserve"> </w:t>
      </w:r>
      <w:r w:rsidR="00DB5E6B" w:rsidRPr="00DB5E6B">
        <w:rPr>
          <w:rFonts w:ascii="Garamond" w:eastAsiaTheme="minorHAnsi" w:hAnsi="Garamond"/>
          <w:color w:val="000000"/>
          <w:sz w:val="24"/>
          <w:szCs w:val="24"/>
        </w:rPr>
        <w:t xml:space="preserve">Këshillën e Komitetit Këshillimor Shkencor për Peshkimin (SAC/KKSHP) dhe Komitetit të Përputhshmërisë (CoC/KP), të shprehura </w:t>
      </w:r>
      <w:r w:rsidR="00575727">
        <w:rPr>
          <w:rFonts w:ascii="Garamond" w:eastAsiaTheme="minorHAnsi" w:hAnsi="Garamond"/>
          <w:color w:val="000000"/>
          <w:sz w:val="24"/>
          <w:szCs w:val="24"/>
        </w:rPr>
        <w:t>m</w:t>
      </w:r>
      <w:r w:rsidR="00DB5E6B" w:rsidRPr="00DB5E6B">
        <w:rPr>
          <w:rFonts w:ascii="Garamond" w:eastAsiaTheme="minorHAnsi" w:hAnsi="Garamond"/>
          <w:color w:val="000000"/>
          <w:sz w:val="24"/>
          <w:szCs w:val="24"/>
        </w:rPr>
        <w:t xml:space="preserve">ë 2019, </w:t>
      </w:r>
      <w:r w:rsidR="00575727">
        <w:rPr>
          <w:rFonts w:ascii="Garamond" w:eastAsiaTheme="minorHAnsi" w:hAnsi="Garamond"/>
          <w:color w:val="000000"/>
          <w:sz w:val="24"/>
          <w:szCs w:val="24"/>
        </w:rPr>
        <w:t>m</w:t>
      </w:r>
      <w:r w:rsidR="00575727" w:rsidRPr="00DB5E6B">
        <w:rPr>
          <w:rFonts w:ascii="Garamond" w:eastAsiaTheme="minorHAnsi" w:hAnsi="Garamond"/>
          <w:color w:val="000000"/>
          <w:sz w:val="24"/>
          <w:szCs w:val="24"/>
        </w:rPr>
        <w:t xml:space="preserve">ë </w:t>
      </w:r>
      <w:r w:rsidR="00DB5E6B" w:rsidRPr="00DB5E6B">
        <w:rPr>
          <w:rFonts w:ascii="Garamond" w:eastAsiaTheme="minorHAnsi" w:hAnsi="Garamond"/>
          <w:color w:val="000000"/>
          <w:sz w:val="24"/>
          <w:szCs w:val="24"/>
        </w:rPr>
        <w:t xml:space="preserve">2021 dhe </w:t>
      </w:r>
      <w:r w:rsidR="00575727">
        <w:rPr>
          <w:rFonts w:ascii="Garamond" w:eastAsiaTheme="minorHAnsi" w:hAnsi="Garamond"/>
          <w:color w:val="000000"/>
          <w:sz w:val="24"/>
          <w:szCs w:val="24"/>
        </w:rPr>
        <w:t>m</w:t>
      </w:r>
      <w:r w:rsidR="00575727" w:rsidRPr="00DB5E6B">
        <w:rPr>
          <w:rFonts w:ascii="Garamond" w:eastAsiaTheme="minorHAnsi" w:hAnsi="Garamond"/>
          <w:color w:val="000000"/>
          <w:sz w:val="24"/>
          <w:szCs w:val="24"/>
        </w:rPr>
        <w:t xml:space="preserve">ë </w:t>
      </w:r>
      <w:r w:rsidR="00DB5E6B" w:rsidRPr="00DB5E6B">
        <w:rPr>
          <w:rFonts w:ascii="Garamond" w:eastAsiaTheme="minorHAnsi" w:hAnsi="Garamond"/>
          <w:color w:val="000000"/>
          <w:sz w:val="24"/>
          <w:szCs w:val="24"/>
        </w:rPr>
        <w:t>2022, për vendosjen e standardeve minimale në ruajtjen, monitorimin dhe kontrollin në ZKP</w:t>
      </w:r>
      <w:r>
        <w:rPr>
          <w:rFonts w:ascii="Garamond" w:eastAsiaTheme="minorHAnsi" w:hAnsi="Garamond"/>
          <w:color w:val="000000"/>
          <w:sz w:val="24"/>
          <w:szCs w:val="24"/>
        </w:rPr>
        <w:t>,</w:t>
      </w:r>
    </w:p>
    <w:p w14:paraId="4BB6623F" w14:textId="380610C5" w:rsidR="00DB5E6B" w:rsidRPr="00DB5E6B" w:rsidRDefault="00764641"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
          <w:color w:val="000000"/>
          <w:sz w:val="24"/>
          <w:szCs w:val="24"/>
        </w:rPr>
        <w:t>miraton</w:t>
      </w:r>
      <w:r w:rsidRPr="00DB5E6B">
        <w:rPr>
          <w:rFonts w:ascii="Garamond" w:eastAsiaTheme="minorHAnsi" w:hAnsi="Garamond"/>
          <w:color w:val="000000"/>
          <w:sz w:val="24"/>
          <w:szCs w:val="24"/>
        </w:rPr>
        <w:t>,</w:t>
      </w:r>
      <w:r w:rsidR="00DB5E6B" w:rsidRPr="00DB5E6B">
        <w:rPr>
          <w:rFonts w:ascii="Garamond" w:eastAsiaTheme="minorHAnsi" w:hAnsi="Garamond"/>
          <w:color w:val="000000"/>
          <w:sz w:val="24"/>
          <w:szCs w:val="24"/>
        </w:rPr>
        <w:t xml:space="preserve"> në përputhje me nenet 5</w:t>
      </w:r>
      <w:r>
        <w:rPr>
          <w:rFonts w:ascii="Garamond" w:eastAsiaTheme="minorHAnsi" w:hAnsi="Garamond"/>
          <w:color w:val="000000"/>
          <w:sz w:val="24"/>
          <w:szCs w:val="24"/>
        </w:rPr>
        <w:t>(</w:t>
      </w:r>
      <w:r w:rsidR="00DB5E6B" w:rsidRPr="00DB5E6B">
        <w:rPr>
          <w:rFonts w:ascii="Garamond" w:eastAsiaTheme="minorHAnsi" w:hAnsi="Garamond"/>
          <w:color w:val="000000"/>
          <w:sz w:val="24"/>
          <w:szCs w:val="24"/>
        </w:rPr>
        <w:t>b), 8</w:t>
      </w:r>
      <w:r>
        <w:rPr>
          <w:rFonts w:ascii="Garamond" w:eastAsiaTheme="minorHAnsi" w:hAnsi="Garamond"/>
          <w:color w:val="000000"/>
          <w:sz w:val="24"/>
          <w:szCs w:val="24"/>
        </w:rPr>
        <w:t>(</w:t>
      </w:r>
      <w:r w:rsidR="00DB5E6B" w:rsidRPr="00DB5E6B">
        <w:rPr>
          <w:rFonts w:ascii="Garamond" w:eastAsiaTheme="minorHAnsi" w:hAnsi="Garamond"/>
          <w:color w:val="000000"/>
          <w:sz w:val="24"/>
          <w:szCs w:val="24"/>
        </w:rPr>
        <w:t>b) dhe 13 të Marrëveshjes KPPM, rekomandimin e mëposhtëm</w:t>
      </w:r>
      <w:r>
        <w:rPr>
          <w:rFonts w:ascii="Garamond" w:eastAsiaTheme="minorHAnsi" w:hAnsi="Garamond"/>
          <w:color w:val="000000"/>
          <w:sz w:val="24"/>
          <w:szCs w:val="24"/>
        </w:rPr>
        <w:t>.</w:t>
      </w:r>
    </w:p>
    <w:p w14:paraId="2EE3E002" w14:textId="77777777" w:rsidR="00DB5E6B" w:rsidRPr="00DB5E6B" w:rsidRDefault="00DB5E6B" w:rsidP="00DB5E6B">
      <w:pPr>
        <w:autoSpaceDE w:val="0"/>
        <w:autoSpaceDN w:val="0"/>
        <w:adjustRightInd w:val="0"/>
        <w:spacing w:after="0" w:line="240" w:lineRule="auto"/>
        <w:ind w:firstLine="284"/>
        <w:rPr>
          <w:rFonts w:ascii="Garamond" w:eastAsiaTheme="minorHAnsi" w:hAnsi="Garamond"/>
          <w:color w:val="000000"/>
          <w:sz w:val="24"/>
          <w:szCs w:val="24"/>
        </w:rPr>
      </w:pPr>
    </w:p>
    <w:p w14:paraId="0C1265CE" w14:textId="2B586D01"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KREU I</w:t>
      </w:r>
    </w:p>
    <w:p w14:paraId="38D8469C" w14:textId="67490FEA"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OBJEKTIVAT E PËRGJITHSH</w:t>
      </w:r>
      <w:r w:rsidR="0004650C">
        <w:rPr>
          <w:rFonts w:ascii="Garamond" w:eastAsiaTheme="minorHAnsi" w:hAnsi="Garamond"/>
          <w:bCs/>
          <w:color w:val="000000"/>
          <w:sz w:val="24"/>
          <w:szCs w:val="24"/>
        </w:rPr>
        <w:t>Ë</w:t>
      </w:r>
      <w:r w:rsidRPr="00764641">
        <w:rPr>
          <w:rFonts w:ascii="Garamond" w:eastAsiaTheme="minorHAnsi" w:hAnsi="Garamond"/>
          <w:bCs/>
          <w:color w:val="000000"/>
          <w:sz w:val="24"/>
          <w:szCs w:val="24"/>
        </w:rPr>
        <w:t>M, QËLLIMI DHE PËRKUFIZIMET</w:t>
      </w:r>
    </w:p>
    <w:p w14:paraId="4851E09F" w14:textId="77777777" w:rsid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E1DA9E0" w14:textId="77777777" w:rsidR="00DB5E6B" w:rsidRPr="00DB5E6B" w:rsidRDefault="00DB5E6B" w:rsidP="00DB5E6B">
      <w:pPr>
        <w:autoSpaceDE w:val="0"/>
        <w:autoSpaceDN w:val="0"/>
        <w:adjustRightInd w:val="0"/>
        <w:spacing w:after="0" w:line="240" w:lineRule="auto"/>
        <w:ind w:firstLine="284"/>
        <w:jc w:val="center"/>
        <w:rPr>
          <w:rFonts w:ascii="Garamond" w:eastAsiaTheme="minorHAnsi" w:hAnsi="Garamond"/>
          <w:color w:val="000000"/>
          <w:sz w:val="24"/>
          <w:szCs w:val="24"/>
        </w:rPr>
      </w:pPr>
      <w:r w:rsidRPr="00DB5E6B">
        <w:rPr>
          <w:rFonts w:ascii="Garamond" w:eastAsiaTheme="minorHAnsi" w:hAnsi="Garamond"/>
          <w:b/>
          <w:bCs/>
          <w:color w:val="000000"/>
          <w:sz w:val="24"/>
          <w:szCs w:val="24"/>
        </w:rPr>
        <w:t>Objektivi i përgjithshëm</w:t>
      </w:r>
    </w:p>
    <w:p w14:paraId="73E58CA7" w14:textId="77777777" w:rsid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330AD516" w14:textId="07D930B4"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 Ky rekomandim përcakton standardet minimale për Zonat e Kufizuara të Peshkimit (ZKP) të përcaktuara me anë të vendimeve të KPPM-së</w:t>
      </w:r>
      <w:r w:rsidR="004C0E92">
        <w:rPr>
          <w:rFonts w:ascii="Garamond" w:eastAsiaTheme="minorHAnsi" w:hAnsi="Garamond"/>
          <w:color w:val="000000"/>
          <w:sz w:val="24"/>
          <w:szCs w:val="24"/>
        </w:rPr>
        <w:t>,</w:t>
      </w:r>
      <w:r w:rsidRPr="00DB5E6B">
        <w:rPr>
          <w:rFonts w:ascii="Garamond" w:eastAsiaTheme="minorHAnsi" w:hAnsi="Garamond"/>
          <w:color w:val="000000"/>
          <w:sz w:val="24"/>
          <w:szCs w:val="24"/>
        </w:rPr>
        <w:t xml:space="preserve"> me qëllim rritjen e koherencës së rrjetit të KPPM-së për ZKP-të, harmonizimin e masave të menaxhimit</w:t>
      </w:r>
      <w:r w:rsidR="004C0E92">
        <w:rPr>
          <w:rFonts w:ascii="Garamond" w:eastAsiaTheme="minorHAnsi" w:hAnsi="Garamond"/>
          <w:color w:val="000000"/>
          <w:sz w:val="24"/>
          <w:szCs w:val="24"/>
        </w:rPr>
        <w:t>,</w:t>
      </w:r>
      <w:r w:rsidRPr="00DB5E6B">
        <w:rPr>
          <w:rFonts w:ascii="Garamond" w:eastAsiaTheme="minorHAnsi" w:hAnsi="Garamond"/>
          <w:color w:val="000000"/>
          <w:sz w:val="24"/>
          <w:szCs w:val="24"/>
        </w:rPr>
        <w:t xml:space="preserve"> të zbatueshme në të gjith</w:t>
      </w:r>
      <w:r w:rsidR="004C0E92">
        <w:rPr>
          <w:rFonts w:ascii="Garamond" w:eastAsiaTheme="minorHAnsi" w:hAnsi="Garamond"/>
          <w:color w:val="000000"/>
          <w:sz w:val="24"/>
          <w:szCs w:val="24"/>
        </w:rPr>
        <w:t>a</w:t>
      </w:r>
      <w:r w:rsidRPr="00DB5E6B">
        <w:rPr>
          <w:rFonts w:ascii="Garamond" w:eastAsiaTheme="minorHAnsi" w:hAnsi="Garamond"/>
          <w:color w:val="000000"/>
          <w:sz w:val="24"/>
          <w:szCs w:val="24"/>
        </w:rPr>
        <w:t xml:space="preserve"> nënzonat, rritjen e kushteve të barabarta midis peshkatarëve dhe përmirësimin e statusit të ruajtjes së rezervave dhe ekosistemeve.</w:t>
      </w:r>
    </w:p>
    <w:p w14:paraId="45C1C81D" w14:textId="77777777" w:rsid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19D773F" w14:textId="77777777" w:rsid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B5E6B">
        <w:rPr>
          <w:rFonts w:ascii="Garamond" w:eastAsiaTheme="minorHAnsi" w:hAnsi="Garamond"/>
          <w:b/>
          <w:bCs/>
          <w:color w:val="000000"/>
          <w:sz w:val="24"/>
          <w:szCs w:val="24"/>
        </w:rPr>
        <w:t>Fushëveprimi</w:t>
      </w:r>
    </w:p>
    <w:p w14:paraId="08231AA4" w14:textId="77777777" w:rsidR="00DB5E6B" w:rsidRP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0F485F3"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 xml:space="preserve">2. Ky rekomandim zbatohet për të gjitha ZKP-të e krijuara nga vendimet e KPPM-së. ZKP-të e krijuara pas hyrjes në fuqi të këtij rekomandimi do të jenë në përputhje me dispozitat e këtij rekomandimi. ZKP-të e krijuara përpara hyrjes në fuqi të këtij rekomandimi mund të vlerësohen nga KKSHP-ja dhe nëse shihet e nevojshme, të rishikohen sipas dispozitave të këtij rekomandimi. </w:t>
      </w:r>
    </w:p>
    <w:p w14:paraId="6DA018D7"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31E5D7A8" w14:textId="1E0358FB" w:rsid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B5E6B">
        <w:rPr>
          <w:rFonts w:ascii="Garamond" w:eastAsiaTheme="minorHAnsi" w:hAnsi="Garamond"/>
          <w:b/>
          <w:bCs/>
          <w:color w:val="000000"/>
          <w:sz w:val="24"/>
          <w:szCs w:val="24"/>
        </w:rPr>
        <w:t>Përkufizimet</w:t>
      </w:r>
    </w:p>
    <w:p w14:paraId="017966A3" w14:textId="77777777" w:rsidR="00764641" w:rsidRPr="00DB5E6B" w:rsidRDefault="00764641"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98F2311" w14:textId="64F23DA9" w:rsidR="00DB5E6B" w:rsidRPr="00DB5E6B" w:rsidRDefault="00DB5E6B" w:rsidP="00DB5E6B">
      <w:pPr>
        <w:autoSpaceDE w:val="0"/>
        <w:autoSpaceDN w:val="0"/>
        <w:adjustRightInd w:val="0"/>
        <w:spacing w:after="0" w:line="240" w:lineRule="auto"/>
        <w:ind w:firstLine="284"/>
        <w:rPr>
          <w:rFonts w:ascii="Garamond" w:eastAsiaTheme="minorHAnsi" w:hAnsi="Garamond"/>
          <w:color w:val="000000"/>
          <w:sz w:val="24"/>
          <w:szCs w:val="24"/>
        </w:rPr>
      </w:pPr>
      <w:r w:rsidRPr="00DB5E6B">
        <w:rPr>
          <w:rFonts w:ascii="Garamond" w:eastAsiaTheme="minorHAnsi" w:hAnsi="Garamond"/>
          <w:color w:val="000000"/>
          <w:sz w:val="24"/>
          <w:szCs w:val="24"/>
        </w:rPr>
        <w:t>3. Për qëllime të këtij rekomandimi do të zbatohen përkufizimet e mëposhtme:</w:t>
      </w:r>
    </w:p>
    <w:p w14:paraId="6341379D" w14:textId="31FA1E4C" w:rsidR="00DB5E6B" w:rsidRPr="00764641"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Cs/>
          <w:color w:val="000000"/>
          <w:sz w:val="24"/>
          <w:szCs w:val="24"/>
        </w:rPr>
        <w:t>a) “Zonë e kufizuar e peshkimit”</w:t>
      </w:r>
      <w:r w:rsidRPr="00764641">
        <w:rPr>
          <w:rFonts w:ascii="Garamond" w:eastAsiaTheme="minorHAnsi" w:hAnsi="Garamond"/>
          <w:color w:val="000000"/>
          <w:sz w:val="24"/>
          <w:szCs w:val="24"/>
        </w:rPr>
        <w:t xml:space="preserve"> (ZKP) nënkupton një zonë të përcaktuar gjeografikisht në të cilën disa aktivitete specifike peshkimi ndalohen ose kufizohen përkohësisht për të përmirësuar ruajtjen dhe përdorimin e qëndrueshëm të burimeve të gjalla detare në zonën e aplikimit të KPPM-së;</w:t>
      </w:r>
    </w:p>
    <w:p w14:paraId="57FF6637" w14:textId="51AA59A8"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Cs/>
          <w:color w:val="000000"/>
          <w:sz w:val="24"/>
          <w:szCs w:val="24"/>
        </w:rPr>
        <w:t>b) “Habitat thelbësor i peshkut”</w:t>
      </w:r>
      <w:r w:rsidRPr="00764641">
        <w:rPr>
          <w:rFonts w:ascii="Garamond" w:eastAsiaTheme="minorHAnsi" w:hAnsi="Garamond"/>
          <w:color w:val="000000"/>
          <w:sz w:val="24"/>
          <w:szCs w:val="24"/>
        </w:rPr>
        <w:t xml:space="preserve"> nënkupton habitatet e identifikuara si thelbësore për kërkesat</w:t>
      </w:r>
      <w:r w:rsidRPr="00DB5E6B">
        <w:rPr>
          <w:rFonts w:ascii="Garamond" w:eastAsiaTheme="minorHAnsi" w:hAnsi="Garamond"/>
          <w:color w:val="000000"/>
          <w:sz w:val="24"/>
          <w:szCs w:val="24"/>
        </w:rPr>
        <w:t xml:space="preserve"> ekologjike dhe biologjike për fazat kritike të historisë së jetës së specieve të shfrytëzuara të </w:t>
      </w:r>
      <w:r w:rsidRPr="00DB5E6B">
        <w:rPr>
          <w:rFonts w:ascii="Garamond" w:eastAsiaTheme="minorHAnsi" w:hAnsi="Garamond"/>
          <w:color w:val="000000"/>
          <w:sz w:val="24"/>
          <w:szCs w:val="24"/>
        </w:rPr>
        <w:lastRenderedPageBreak/>
        <w:t>peshkut dhe që mund të kërkojnë mbrojtje të veçantë për të përmirësuar statusin e stoqeve dhe qëndrueshmërinë afatgjatë;</w:t>
      </w:r>
    </w:p>
    <w:p w14:paraId="7C012032" w14:textId="3F670743" w:rsidR="00DB5E6B" w:rsidRPr="00764641"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Cs/>
          <w:color w:val="000000"/>
          <w:sz w:val="24"/>
          <w:szCs w:val="24"/>
        </w:rPr>
        <w:t>c) “Autorizim peshkimi”</w:t>
      </w:r>
      <w:r w:rsidRPr="00764641">
        <w:rPr>
          <w:rFonts w:ascii="Garamond" w:eastAsiaTheme="minorHAnsi" w:hAnsi="Garamond"/>
          <w:color w:val="000000"/>
          <w:sz w:val="24"/>
          <w:szCs w:val="24"/>
        </w:rPr>
        <w:t xml:space="preserve"> nënkupton të drejtën e një anijeje peshkimi, e ndryshme nga </w:t>
      </w:r>
      <w:r w:rsidR="00F87ED4" w:rsidRPr="00764641">
        <w:rPr>
          <w:rFonts w:ascii="Garamond" w:eastAsiaTheme="minorHAnsi" w:hAnsi="Garamond"/>
          <w:color w:val="000000"/>
          <w:sz w:val="24"/>
          <w:szCs w:val="24"/>
        </w:rPr>
        <w:t>licenca</w:t>
      </w:r>
      <w:r w:rsidRPr="00764641">
        <w:rPr>
          <w:rFonts w:ascii="Garamond" w:eastAsiaTheme="minorHAnsi" w:hAnsi="Garamond"/>
          <w:color w:val="000000"/>
          <w:sz w:val="24"/>
          <w:szCs w:val="24"/>
        </w:rPr>
        <w:t xml:space="preserve"> e peshkimit dhe e lëshuar nga Palët Kontraktuese për t’u përfshirë në aktivitete peshkimi me mjete peshkimi të veçanta, gjatë një periudhe të caktuar dhe në një zonë të caktuar ose për një peshkim të caktuar në kushte specifike;</w:t>
      </w:r>
    </w:p>
    <w:p w14:paraId="523D24A9" w14:textId="0C2B5A7F" w:rsidR="00DB5E6B" w:rsidRPr="00764641"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Cs/>
          <w:color w:val="000000"/>
          <w:sz w:val="24"/>
          <w:szCs w:val="24"/>
        </w:rPr>
        <w:t>ç)</w:t>
      </w:r>
      <w:r w:rsidR="007F2906" w:rsidRPr="00764641">
        <w:rPr>
          <w:rFonts w:ascii="Garamond" w:eastAsiaTheme="minorHAnsi" w:hAnsi="Garamond"/>
          <w:iCs/>
          <w:color w:val="000000"/>
          <w:sz w:val="24"/>
          <w:szCs w:val="24"/>
        </w:rPr>
        <w:t xml:space="preserve"> </w:t>
      </w:r>
      <w:r w:rsidRPr="00764641">
        <w:rPr>
          <w:rFonts w:ascii="Garamond" w:eastAsiaTheme="minorHAnsi" w:hAnsi="Garamond"/>
          <w:iCs/>
          <w:color w:val="000000"/>
          <w:sz w:val="24"/>
          <w:szCs w:val="24"/>
        </w:rPr>
        <w:t>“Peshkimi i paligjshëm”</w:t>
      </w:r>
      <w:r w:rsidRPr="00764641">
        <w:rPr>
          <w:rFonts w:ascii="Garamond" w:eastAsiaTheme="minorHAnsi" w:hAnsi="Garamond"/>
          <w:color w:val="000000"/>
          <w:sz w:val="24"/>
          <w:szCs w:val="24"/>
        </w:rPr>
        <w:t>, i paraportuar dhe i parregulluar</w:t>
      </w:r>
      <w:r w:rsidR="007F2906" w:rsidRPr="00764641">
        <w:rPr>
          <w:rFonts w:ascii="Garamond" w:eastAsiaTheme="minorHAnsi" w:hAnsi="Garamond"/>
          <w:color w:val="000000"/>
          <w:sz w:val="24"/>
          <w:szCs w:val="24"/>
        </w:rPr>
        <w:t xml:space="preserve"> </w:t>
      </w:r>
      <w:r w:rsidRPr="00764641">
        <w:rPr>
          <w:rFonts w:ascii="Garamond" w:eastAsiaTheme="minorHAnsi" w:hAnsi="Garamond"/>
          <w:color w:val="000000"/>
          <w:sz w:val="24"/>
          <w:szCs w:val="24"/>
        </w:rPr>
        <w:t>ose</w:t>
      </w:r>
      <w:r w:rsidR="007F2906" w:rsidRPr="00764641">
        <w:rPr>
          <w:rFonts w:ascii="Garamond" w:eastAsiaTheme="minorHAnsi" w:hAnsi="Garamond"/>
          <w:color w:val="000000"/>
          <w:sz w:val="24"/>
          <w:szCs w:val="24"/>
        </w:rPr>
        <w:t xml:space="preserve"> </w:t>
      </w:r>
      <w:r w:rsidRPr="00764641">
        <w:rPr>
          <w:rFonts w:ascii="Garamond" w:eastAsiaTheme="minorHAnsi" w:hAnsi="Garamond"/>
          <w:color w:val="000000"/>
          <w:sz w:val="24"/>
          <w:szCs w:val="24"/>
        </w:rPr>
        <w:t>“peshkimi PPP” nënkupton aktivitetet e përshkruara në paragrafin 3 të Planit Ndërkombëtar të Veprimit të FAO-s të vitit 2001 për të parandaluar, penguar dhe eliminuar peshkimin e paligjshëm, të paraportuar dhe të parregulluar (IPOA-IUU) dhe në vijim dispozitat e Rekomandimit KPPM/41/2017/7;</w:t>
      </w:r>
    </w:p>
    <w:p w14:paraId="0EB44309" w14:textId="77C1298D" w:rsidR="00DB5E6B" w:rsidRPr="00764641"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Cs/>
          <w:color w:val="000000"/>
          <w:sz w:val="24"/>
          <w:szCs w:val="24"/>
        </w:rPr>
        <w:t xml:space="preserve">d) </w:t>
      </w:r>
      <w:r w:rsidR="00F87ED4">
        <w:rPr>
          <w:rFonts w:ascii="Garamond" w:eastAsiaTheme="minorHAnsi" w:hAnsi="Garamond"/>
          <w:iCs/>
          <w:color w:val="000000"/>
          <w:sz w:val="24"/>
          <w:szCs w:val="24"/>
        </w:rPr>
        <w:t>“</w:t>
      </w:r>
      <w:r w:rsidRPr="00764641">
        <w:rPr>
          <w:rFonts w:ascii="Garamond" w:eastAsiaTheme="minorHAnsi" w:hAnsi="Garamond"/>
          <w:iCs/>
          <w:color w:val="000000"/>
          <w:sz w:val="24"/>
          <w:szCs w:val="24"/>
        </w:rPr>
        <w:t>Ditë peshkimi</w:t>
      </w:r>
      <w:r w:rsidR="00F87ED4">
        <w:rPr>
          <w:rFonts w:ascii="Garamond" w:eastAsiaTheme="minorHAnsi" w:hAnsi="Garamond"/>
          <w:iCs/>
          <w:color w:val="000000"/>
          <w:sz w:val="24"/>
          <w:szCs w:val="24"/>
        </w:rPr>
        <w:t>”</w:t>
      </w:r>
      <w:r w:rsidRPr="00764641">
        <w:rPr>
          <w:rFonts w:ascii="Garamond" w:eastAsiaTheme="minorHAnsi" w:hAnsi="Garamond"/>
          <w:color w:val="000000"/>
          <w:sz w:val="24"/>
          <w:szCs w:val="24"/>
        </w:rPr>
        <w:t>, nënkupton çdo periudhë të vazhdueshme prej 24 orësh, ose një pjesë të saj, gjatë së cilës një anije është duke kërkuar për peshk, gjuajtje, vendosje, tërheqje, tërheqje të një pajisje</w:t>
      </w:r>
      <w:r w:rsidR="00F87ED4">
        <w:rPr>
          <w:rFonts w:ascii="Garamond" w:eastAsiaTheme="minorHAnsi" w:hAnsi="Garamond"/>
          <w:color w:val="000000"/>
          <w:sz w:val="24"/>
          <w:szCs w:val="24"/>
        </w:rPr>
        <w:t>je</w:t>
      </w:r>
      <w:r w:rsidRPr="00764641">
        <w:rPr>
          <w:rFonts w:ascii="Garamond" w:eastAsiaTheme="minorHAnsi" w:hAnsi="Garamond"/>
          <w:color w:val="000000"/>
          <w:sz w:val="24"/>
          <w:szCs w:val="24"/>
        </w:rPr>
        <w:t xml:space="preserve"> peshkimi, marrjen e zënieve n</w:t>
      </w:r>
      <w:r w:rsidR="00F87ED4">
        <w:rPr>
          <w:rFonts w:ascii="Garamond" w:eastAsiaTheme="minorHAnsi" w:hAnsi="Garamond"/>
          <w:color w:val="000000"/>
          <w:sz w:val="24"/>
          <w:szCs w:val="24"/>
        </w:rPr>
        <w:t>ë</w:t>
      </w:r>
      <w:r w:rsidRPr="00764641">
        <w:rPr>
          <w:rFonts w:ascii="Garamond" w:eastAsiaTheme="minorHAnsi" w:hAnsi="Garamond"/>
          <w:color w:val="000000"/>
          <w:sz w:val="24"/>
          <w:szCs w:val="24"/>
        </w:rPr>
        <w:t xml:space="preserve"> bord, transbordimin, mbajtjen në bord, përpunimin në bord, transferimi</w:t>
      </w:r>
      <w:r w:rsidR="00F87ED4">
        <w:rPr>
          <w:rFonts w:ascii="Garamond" w:eastAsiaTheme="minorHAnsi" w:hAnsi="Garamond"/>
          <w:color w:val="000000"/>
          <w:sz w:val="24"/>
          <w:szCs w:val="24"/>
        </w:rPr>
        <w:t>n</w:t>
      </w:r>
      <w:r w:rsidRPr="00764641">
        <w:rPr>
          <w:rFonts w:ascii="Garamond" w:eastAsiaTheme="minorHAnsi" w:hAnsi="Garamond"/>
          <w:color w:val="000000"/>
          <w:sz w:val="24"/>
          <w:szCs w:val="24"/>
        </w:rPr>
        <w:t xml:space="preserve"> dhe zbarkimi</w:t>
      </w:r>
      <w:r w:rsidR="00F87ED4">
        <w:rPr>
          <w:rFonts w:ascii="Garamond" w:eastAsiaTheme="minorHAnsi" w:hAnsi="Garamond"/>
          <w:color w:val="000000"/>
          <w:sz w:val="24"/>
          <w:szCs w:val="24"/>
        </w:rPr>
        <w:t>n</w:t>
      </w:r>
      <w:r w:rsidRPr="00764641">
        <w:rPr>
          <w:rFonts w:ascii="Garamond" w:eastAsiaTheme="minorHAnsi" w:hAnsi="Garamond"/>
          <w:color w:val="000000"/>
          <w:sz w:val="24"/>
          <w:szCs w:val="24"/>
        </w:rPr>
        <w:t xml:space="preserve"> </w:t>
      </w:r>
      <w:r w:rsidR="00F87ED4">
        <w:rPr>
          <w:rFonts w:ascii="Garamond" w:eastAsiaTheme="minorHAnsi" w:hAnsi="Garamond"/>
          <w:color w:val="000000"/>
          <w:sz w:val="24"/>
          <w:szCs w:val="24"/>
        </w:rPr>
        <w:t>e</w:t>
      </w:r>
      <w:r w:rsidRPr="00764641">
        <w:rPr>
          <w:rFonts w:ascii="Garamond" w:eastAsiaTheme="minorHAnsi" w:hAnsi="Garamond"/>
          <w:color w:val="000000"/>
          <w:sz w:val="24"/>
          <w:szCs w:val="24"/>
        </w:rPr>
        <w:t xml:space="preserve"> peshkut dhe </w:t>
      </w:r>
      <w:r w:rsidR="00F87ED4">
        <w:rPr>
          <w:rFonts w:ascii="Garamond" w:eastAsiaTheme="minorHAnsi" w:hAnsi="Garamond"/>
          <w:color w:val="000000"/>
          <w:sz w:val="24"/>
          <w:szCs w:val="24"/>
        </w:rPr>
        <w:t xml:space="preserve">të </w:t>
      </w:r>
      <w:r w:rsidRPr="00764641">
        <w:rPr>
          <w:rFonts w:ascii="Garamond" w:eastAsiaTheme="minorHAnsi" w:hAnsi="Garamond"/>
          <w:color w:val="000000"/>
          <w:sz w:val="24"/>
          <w:szCs w:val="24"/>
        </w:rPr>
        <w:t>produkteve të peshkimit;</w:t>
      </w:r>
    </w:p>
    <w:p w14:paraId="347C695E" w14:textId="56DDEE51"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764641">
        <w:rPr>
          <w:rFonts w:ascii="Garamond" w:eastAsiaTheme="minorHAnsi" w:hAnsi="Garamond"/>
          <w:iCs/>
          <w:color w:val="000000"/>
          <w:sz w:val="24"/>
          <w:szCs w:val="24"/>
        </w:rPr>
        <w:t>dh)</w:t>
      </w:r>
      <w:r w:rsidR="00764641">
        <w:rPr>
          <w:rFonts w:ascii="Garamond" w:eastAsiaTheme="minorHAnsi" w:hAnsi="Garamond"/>
          <w:iCs/>
          <w:color w:val="000000"/>
          <w:sz w:val="24"/>
          <w:szCs w:val="24"/>
        </w:rPr>
        <w:t xml:space="preserve"> “</w:t>
      </w:r>
      <w:r w:rsidRPr="00764641">
        <w:rPr>
          <w:rFonts w:ascii="Garamond" w:eastAsiaTheme="minorHAnsi" w:hAnsi="Garamond"/>
          <w:iCs/>
          <w:color w:val="000000"/>
          <w:sz w:val="24"/>
          <w:szCs w:val="24"/>
        </w:rPr>
        <w:t>Aktivitete peshkimi rekreativ”</w:t>
      </w:r>
      <w:r w:rsidRPr="00764641">
        <w:rPr>
          <w:rFonts w:ascii="Garamond" w:eastAsiaTheme="minorHAnsi" w:hAnsi="Garamond"/>
          <w:color w:val="000000"/>
          <w:sz w:val="24"/>
          <w:szCs w:val="24"/>
        </w:rPr>
        <w:t xml:space="preserve"> do të thotë peshkim jo për qëllime tregtare që shfrytëzon</w:t>
      </w:r>
      <w:r w:rsidRPr="00DB5E6B">
        <w:rPr>
          <w:rFonts w:ascii="Garamond" w:eastAsiaTheme="minorHAnsi" w:hAnsi="Garamond"/>
          <w:color w:val="000000"/>
          <w:sz w:val="24"/>
          <w:szCs w:val="24"/>
        </w:rPr>
        <w:t xml:space="preserve"> burimet biologjike detare për rekreacion, turizëm ose sport.</w:t>
      </w:r>
    </w:p>
    <w:p w14:paraId="23E2FE5C"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5644E6A3" w14:textId="4C18768D"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KREU II</w:t>
      </w:r>
    </w:p>
    <w:p w14:paraId="2C50E58A" w14:textId="4DBD5130"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MASAT E MENAXHIMIT</w:t>
      </w:r>
    </w:p>
    <w:p w14:paraId="71E66730" w14:textId="77777777" w:rsid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3682AF4F"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4. Me qëllim menaxhimin dhe mbrojtjen e ZKP-ve nga ndikimi i çdo aktiviteti që rrezikon ruajtjen e veçorive që karakterizojnë habitatet e mbrojtura nga një ZKP, aktivitetet e peshkimit në ZKP do të monitorohen nga Palët Kontraktuese, në ujërat nën juridiksionin e tyre dhe/ose sovraniteti për t’i ofruar çdo vit KPPM-të një listë të anijeve të autorizuara të peshkimit, me kapacitetet përkatëse, dhe çdo parametër të mëtejshëm të listuar si të rëndësishëm nga KKSHP-ja.</w:t>
      </w:r>
    </w:p>
    <w:p w14:paraId="4E8C2AD0"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5. Bazuar në vlerësimin e KKSHP-së, krijimi i një ZKP-je të re në përgjithësi duhet të përmbajë dy lloje zonash me masa specifike menaxhimi, të diskutuara me palët e interesuara:</w:t>
      </w:r>
    </w:p>
    <w:p w14:paraId="7253417B" w14:textId="6BC5EA52" w:rsidR="00DB5E6B" w:rsidRPr="00DB5E6B" w:rsidRDefault="00DB5E6B" w:rsidP="00DB5E6B">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B5E6B">
        <w:rPr>
          <w:rFonts w:ascii="Garamond" w:eastAsiaTheme="minorHAnsi" w:hAnsi="Garamond"/>
          <w:b/>
          <w:bCs/>
          <w:color w:val="000000"/>
          <w:sz w:val="24"/>
          <w:szCs w:val="24"/>
        </w:rPr>
        <w:t xml:space="preserve">Zona A – </w:t>
      </w:r>
      <w:r w:rsidR="00324F05" w:rsidRPr="00DB5E6B">
        <w:rPr>
          <w:rFonts w:ascii="Garamond" w:eastAsiaTheme="minorHAnsi" w:hAnsi="Garamond"/>
          <w:b/>
          <w:bCs/>
          <w:color w:val="000000"/>
          <w:sz w:val="24"/>
          <w:szCs w:val="24"/>
        </w:rPr>
        <w:t xml:space="preserve">Mbyllje </w:t>
      </w:r>
      <w:r w:rsidRPr="00DB5E6B">
        <w:rPr>
          <w:rFonts w:ascii="Garamond" w:eastAsiaTheme="minorHAnsi" w:hAnsi="Garamond"/>
          <w:b/>
          <w:bCs/>
          <w:color w:val="000000"/>
          <w:sz w:val="24"/>
          <w:szCs w:val="24"/>
        </w:rPr>
        <w:t>e përhershme</w:t>
      </w:r>
    </w:p>
    <w:p w14:paraId="7F03F64E" w14:textId="235DE0E9"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6. Çdo aktivitet i peshkimit profesional i lidhur me objektivat specifik</w:t>
      </w:r>
      <w:r w:rsidR="00F87ED4">
        <w:rPr>
          <w:rFonts w:ascii="Garamond" w:eastAsiaTheme="minorHAnsi" w:hAnsi="Garamond"/>
          <w:color w:val="000000"/>
          <w:sz w:val="24"/>
          <w:szCs w:val="24"/>
        </w:rPr>
        <w:t>ë</w:t>
      </w:r>
      <w:r w:rsidRPr="00DB5E6B">
        <w:rPr>
          <w:rFonts w:ascii="Garamond" w:eastAsiaTheme="minorHAnsi" w:hAnsi="Garamond"/>
          <w:color w:val="000000"/>
          <w:sz w:val="24"/>
          <w:szCs w:val="24"/>
        </w:rPr>
        <w:t xml:space="preserve"> të ZKP-së do të ndalohet.</w:t>
      </w:r>
    </w:p>
    <w:p w14:paraId="560CFA75"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 xml:space="preserve">7. Ndalohet çdo aktivitet peshkimi rekreativ. </w:t>
      </w:r>
    </w:p>
    <w:p w14:paraId="25EAC7D9" w14:textId="2A99BE19"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8. Anijet e peshkimit që kalojnë tranzit duhet të kenë në bord një pajisje operative për sistemet e monitorimit të anijeve (VMS) dhe/ose sistemet e identifikimit të automatizuar (AIS)</w:t>
      </w:r>
      <w:r w:rsidR="00FB65E6">
        <w:rPr>
          <w:rFonts w:ascii="Garamond" w:eastAsiaTheme="minorHAnsi" w:hAnsi="Garamond"/>
          <w:color w:val="000000"/>
          <w:sz w:val="24"/>
          <w:szCs w:val="24"/>
        </w:rPr>
        <w:t>,</w:t>
      </w:r>
      <w:r w:rsidRPr="00DB5E6B">
        <w:rPr>
          <w:rFonts w:ascii="Garamond" w:eastAsiaTheme="minorHAnsi" w:hAnsi="Garamond"/>
          <w:color w:val="000000"/>
          <w:sz w:val="24"/>
          <w:szCs w:val="24"/>
        </w:rPr>
        <w:t xml:space="preserve"> që shfaq transmetimin e rritur të të dhënave dhe të gjitha pajisjet e peshkimit të shtrënguara dhe të vendosura gjatë gjithë kohëzgjatjes së tranzitit. Anijet profesionale të peshkimit në përputhje me rekomandimin e KPPM-së duhet të ndjekin një kurs të drejtpërdrejtë me një shpejtësi konstante jo më pak se 6 nyj</w:t>
      </w:r>
      <w:r w:rsidR="00FB65E6">
        <w:rPr>
          <w:rFonts w:ascii="Garamond" w:eastAsiaTheme="minorHAnsi" w:hAnsi="Garamond"/>
          <w:color w:val="000000"/>
          <w:sz w:val="24"/>
          <w:szCs w:val="24"/>
        </w:rPr>
        <w:t>a</w:t>
      </w:r>
      <w:r w:rsidRPr="00DB5E6B">
        <w:rPr>
          <w:rFonts w:ascii="Garamond" w:eastAsiaTheme="minorHAnsi" w:hAnsi="Garamond"/>
          <w:color w:val="000000"/>
          <w:sz w:val="24"/>
          <w:szCs w:val="24"/>
        </w:rPr>
        <w:t>, me përjashtim të rasteve të forcës madhore ose kushteve të pafavorshme. Në raste të tilla, kapiteni duhet të informojë menjëherë qendrën e monitorimit të peshkimit të shtetit flamur të anijes, në mënyrë që ata të mund të njoftojnë për forcën madhore autoritetet kompetente të Palëve Kontraktuese.</w:t>
      </w:r>
    </w:p>
    <w:p w14:paraId="457E8F35" w14:textId="031AA695" w:rsidR="00DB5E6B" w:rsidRPr="00DB5E6B" w:rsidRDefault="00DB5E6B" w:rsidP="00DB5E6B">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B5E6B">
        <w:rPr>
          <w:rFonts w:ascii="Garamond" w:eastAsiaTheme="minorHAnsi" w:hAnsi="Garamond"/>
          <w:b/>
          <w:bCs/>
          <w:color w:val="000000"/>
          <w:sz w:val="24"/>
          <w:szCs w:val="24"/>
        </w:rPr>
        <w:t xml:space="preserve">Zona B – </w:t>
      </w:r>
      <w:r w:rsidR="00324F05" w:rsidRPr="00DB5E6B">
        <w:rPr>
          <w:rFonts w:ascii="Garamond" w:eastAsiaTheme="minorHAnsi" w:hAnsi="Garamond"/>
          <w:b/>
          <w:bCs/>
          <w:color w:val="000000"/>
          <w:sz w:val="24"/>
          <w:szCs w:val="24"/>
        </w:rPr>
        <w:t xml:space="preserve">Mbyllje </w:t>
      </w:r>
      <w:r w:rsidRPr="00DB5E6B">
        <w:rPr>
          <w:rFonts w:ascii="Garamond" w:eastAsiaTheme="minorHAnsi" w:hAnsi="Garamond"/>
          <w:b/>
          <w:bCs/>
          <w:color w:val="000000"/>
          <w:sz w:val="24"/>
          <w:szCs w:val="24"/>
        </w:rPr>
        <w:t>e përkohshme</w:t>
      </w:r>
    </w:p>
    <w:p w14:paraId="2348AD3C" w14:textId="671E9AA6"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9. Aktivitetet e peshkimit do të ndalohen për të paktën dy muaj çdo vit. Periudha dymujore do të vlerësohet nga KKSHP-ja.</w:t>
      </w:r>
    </w:p>
    <w:p w14:paraId="362AAD7D"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10. Palët Kontraktuese krijojnë një regjistër të anijeve të peshkimit të autorizuara për të peshkuar në këtë zonë.</w:t>
      </w:r>
    </w:p>
    <w:p w14:paraId="1E4E7452" w14:textId="77777777" w:rsidR="00DB5E6B" w:rsidRP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2D13472" w14:textId="2A9814C4"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KREU III</w:t>
      </w:r>
    </w:p>
    <w:p w14:paraId="6ED5DE44" w14:textId="5EFEC396"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MBLEDHJA, MONITORIMI DHE STUDIMI I TË DHËNAVE</w:t>
      </w:r>
    </w:p>
    <w:p w14:paraId="1DBCC347" w14:textId="77777777" w:rsidR="00DB5E6B" w:rsidRPr="00764641" w:rsidRDefault="00DB5E6B"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6D9C35E9" w14:textId="77777777" w:rsidR="00DB5E6B" w:rsidRPr="00DB5E6B" w:rsidRDefault="00DB5E6B" w:rsidP="00DB5E6B">
      <w:pPr>
        <w:autoSpaceDE w:val="0"/>
        <w:autoSpaceDN w:val="0"/>
        <w:adjustRightInd w:val="0"/>
        <w:spacing w:after="0" w:line="240" w:lineRule="auto"/>
        <w:ind w:firstLine="284"/>
        <w:rPr>
          <w:rFonts w:ascii="Garamond" w:eastAsiaTheme="minorHAnsi" w:hAnsi="Garamond"/>
          <w:color w:val="000000"/>
          <w:sz w:val="24"/>
          <w:szCs w:val="24"/>
        </w:rPr>
      </w:pPr>
      <w:r w:rsidRPr="00DB5E6B">
        <w:rPr>
          <w:rFonts w:ascii="Garamond" w:eastAsiaTheme="minorHAnsi" w:hAnsi="Garamond"/>
          <w:color w:val="000000"/>
          <w:sz w:val="24"/>
          <w:szCs w:val="24"/>
        </w:rPr>
        <w:t>11. Palët Kontraktuese duhet të sigurojnë që:</w:t>
      </w:r>
    </w:p>
    <w:p w14:paraId="1CCD118D" w14:textId="3059F306"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lastRenderedPageBreak/>
        <w:t>a) një plan monitorimi shkencor për çdo ZKP është duke u zhvilluar nga Palët Kontraktuese, duke ndjekur protokollin KPPM të miratuar në sesionin e 23-të të KKSHP</w:t>
      </w:r>
      <w:r w:rsidR="00FB65E6">
        <w:rPr>
          <w:rFonts w:ascii="Garamond" w:eastAsiaTheme="minorHAnsi" w:hAnsi="Garamond"/>
          <w:color w:val="000000"/>
          <w:sz w:val="24"/>
          <w:szCs w:val="24"/>
        </w:rPr>
        <w:t>-së,</w:t>
      </w:r>
      <w:r w:rsidRPr="00DB5E6B">
        <w:rPr>
          <w:rFonts w:ascii="Garamond" w:eastAsiaTheme="minorHAnsi" w:hAnsi="Garamond"/>
          <w:color w:val="000000"/>
          <w:sz w:val="24"/>
          <w:szCs w:val="24"/>
        </w:rPr>
        <w:t xml:space="preserve"> që përfshin një paketë mjetesh ZKP (aneksi 1 i shtojcës 13) dhe udhëzime të integruara për zhvillimin e planeve të monitorimit shkencor (shtojca 2 e shtojcës 13), dhe e vërtetuar nga KKSHP-ja për të dhënë një përmbledhje për mbledhjen e informacionit të kërkuar për të vlerësuar efektivitetin e ZKP-së drejt rindërtimit të rezervave, mbrojtjes së habitateve dhe ekosistemeve detare të </w:t>
      </w:r>
      <w:r w:rsidR="00901754" w:rsidRPr="00DB5E6B">
        <w:rPr>
          <w:rFonts w:ascii="Garamond" w:eastAsiaTheme="minorHAnsi" w:hAnsi="Garamond"/>
          <w:color w:val="000000"/>
          <w:sz w:val="24"/>
          <w:szCs w:val="24"/>
        </w:rPr>
        <w:t>cenueshme</w:t>
      </w:r>
      <w:r w:rsidRPr="00DB5E6B">
        <w:rPr>
          <w:rFonts w:ascii="Garamond" w:eastAsiaTheme="minorHAnsi" w:hAnsi="Garamond"/>
          <w:color w:val="000000"/>
          <w:sz w:val="24"/>
          <w:szCs w:val="24"/>
        </w:rPr>
        <w:t xml:space="preserve"> dhe drejt rritjes së dendësisë së organizmave</w:t>
      </w:r>
      <w:r w:rsidR="00901754">
        <w:rPr>
          <w:rFonts w:ascii="Garamond" w:eastAsiaTheme="minorHAnsi" w:hAnsi="Garamond"/>
          <w:color w:val="000000"/>
          <w:sz w:val="24"/>
          <w:szCs w:val="24"/>
        </w:rPr>
        <w:t>,</w:t>
      </w:r>
      <w:r w:rsidRPr="00DB5E6B">
        <w:rPr>
          <w:rFonts w:ascii="Garamond" w:eastAsiaTheme="minorHAnsi" w:hAnsi="Garamond"/>
          <w:color w:val="000000"/>
          <w:sz w:val="24"/>
          <w:szCs w:val="24"/>
        </w:rPr>
        <w:t xml:space="preserve"> për sa i përket biomasës dhe bollëkut brenda ZKP-së. Rezultatet e një plani monitorues të ZKP-së duhet të raportohen rregullisht dhe të diskutohen brenda organeve përkatëse ndihmëse të KKSHP-së. Plani i monitorimit dhe efikasiteti i tij duhet të vlerësohen rregullisht nga KKSHP</w:t>
      </w:r>
      <w:r w:rsidR="00901754">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w:t>
      </w:r>
    </w:p>
    <w:p w14:paraId="022702E7"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b) informacioni për të gjitha anijet e autorizuara për të peshkuar në zonën B të ZKP-së regjistrohet nga Palët Kontraktuese (siç renditet në aneksin 1) dhe bëhet i disponueshëm publikisht në faqen e internetit të KPPM-së;</w:t>
      </w:r>
    </w:p>
    <w:p w14:paraId="2DA6FFA2" w14:textId="0A24FF32"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 xml:space="preserve">c) informacioni mbi aktivitetet e peshkimit, të dhënat e peshkimit të specieve kryesore, zëniet e rastësishme, lirimi dhe/ose hedhja e specieve të ndjeshme të listuar në aneksin 2 ose shtojcën 3 të </w:t>
      </w:r>
      <w:r w:rsidR="00EB402B" w:rsidRPr="00DB5E6B">
        <w:rPr>
          <w:rFonts w:ascii="Garamond" w:eastAsiaTheme="minorHAnsi" w:hAnsi="Garamond"/>
          <w:color w:val="000000"/>
          <w:sz w:val="24"/>
          <w:szCs w:val="24"/>
        </w:rPr>
        <w:t xml:space="preserve">protokollit </w:t>
      </w:r>
      <w:r w:rsidRPr="00DB5E6B">
        <w:rPr>
          <w:rFonts w:ascii="Garamond" w:eastAsiaTheme="minorHAnsi" w:hAnsi="Garamond"/>
          <w:color w:val="000000"/>
          <w:sz w:val="24"/>
          <w:szCs w:val="24"/>
        </w:rPr>
        <w:t>SPA/BD regjistrohet nga pronari i anijes në ditarin elektronik ose në një dokument ekuivalent, në përputhje me standardet ndërkombëtare dhe kërkesat e raportimit të të dhënave të rekomandimeve përkatëse të KPPM-së;</w:t>
      </w:r>
    </w:p>
    <w:p w14:paraId="603A0686" w14:textId="789A8E8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ç) një informacion i tillë u raportohet autoriteteve kombëtare për njoftim te Sekretariati i KPPM-së</w:t>
      </w:r>
      <w:r w:rsidR="00F70398">
        <w:rPr>
          <w:rFonts w:ascii="Garamond" w:eastAsiaTheme="minorHAnsi" w:hAnsi="Garamond"/>
          <w:color w:val="000000"/>
          <w:sz w:val="24"/>
          <w:szCs w:val="24"/>
        </w:rPr>
        <w:t>,</w:t>
      </w:r>
      <w:r w:rsidRPr="00DB5E6B">
        <w:rPr>
          <w:rFonts w:ascii="Garamond" w:eastAsiaTheme="minorHAnsi" w:hAnsi="Garamond"/>
          <w:color w:val="000000"/>
          <w:sz w:val="24"/>
          <w:szCs w:val="24"/>
        </w:rPr>
        <w:t xml:space="preserve"> në kuadër të raportimit të tyre kombëtar vjetor në KKSHP, në përputhje me manualin e DCRF-së; </w:t>
      </w:r>
    </w:p>
    <w:p w14:paraId="2D193D57" w14:textId="421AAA7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d) çdo masë tjetër shtesë, si p.sh. mbulimi 5% i vëzhguesve në bord ose monitorimi elektronik në distancë për kushte të barabarta ndërmjet të gjitha anijeve, është marrë për të përmirësuar mbledhjen e të dhënave në funksion të monitorimit shkencor të specieve kryesore.</w:t>
      </w:r>
    </w:p>
    <w:p w14:paraId="3C52F358" w14:textId="3CBC45EE"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12. Sipas rastit, KPPM</w:t>
      </w:r>
      <w:r w:rsidR="00F70398">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do të angazhohet në përpjekjet për ndërtimin e kapaciteteve dhe aktivitete të tjera bashkëpunuese kërkimore për të përmirësuar njohuritë mbi speciet e ndjeshme, EDC dhe habitatet thelbësore të peshqve dhe për të mbështetur zbatimin efektiv të këtij rekomandimi, duke përfshirë hyrjen në marrëveshje bashkëpunimi me të tjera institucione ndërkombëtare përkatëse. </w:t>
      </w:r>
    </w:p>
    <w:p w14:paraId="554E4E69"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3822EB03" w14:textId="5E59AE11"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KREU IV</w:t>
      </w:r>
    </w:p>
    <w:p w14:paraId="2E9E95E7" w14:textId="26F723A7"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 xml:space="preserve">MASAT E KONTROLLIT DHE </w:t>
      </w:r>
      <w:r w:rsidR="00E7796C">
        <w:rPr>
          <w:rFonts w:ascii="Garamond" w:eastAsiaTheme="minorHAnsi" w:hAnsi="Garamond"/>
          <w:bCs/>
          <w:color w:val="000000"/>
          <w:sz w:val="24"/>
          <w:szCs w:val="24"/>
        </w:rPr>
        <w:t>T</w:t>
      </w:r>
      <w:bookmarkStart w:id="1" w:name="_GoBack"/>
      <w:bookmarkEnd w:id="1"/>
      <w:r w:rsidR="00E7796C">
        <w:rPr>
          <w:rFonts w:ascii="Garamond" w:eastAsiaTheme="minorHAnsi" w:hAnsi="Garamond"/>
          <w:bCs/>
          <w:color w:val="000000"/>
          <w:sz w:val="24"/>
          <w:szCs w:val="24"/>
        </w:rPr>
        <w:t xml:space="preserve">Ë </w:t>
      </w:r>
      <w:r w:rsidRPr="00764641">
        <w:rPr>
          <w:rFonts w:ascii="Garamond" w:eastAsiaTheme="minorHAnsi" w:hAnsi="Garamond"/>
          <w:bCs/>
          <w:color w:val="000000"/>
          <w:sz w:val="24"/>
          <w:szCs w:val="24"/>
        </w:rPr>
        <w:t>RAPORTIMIT</w:t>
      </w:r>
    </w:p>
    <w:p w14:paraId="77DB6F9F" w14:textId="77777777" w:rsidR="00DB5E6B" w:rsidRPr="00764641"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14E98128" w14:textId="55568202"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13.</w:t>
      </w:r>
      <w:r w:rsidR="00764641">
        <w:rPr>
          <w:rFonts w:ascii="Garamond" w:eastAsiaTheme="minorHAnsi" w:hAnsi="Garamond"/>
          <w:color w:val="000000"/>
          <w:sz w:val="24"/>
          <w:szCs w:val="24"/>
        </w:rPr>
        <w:t xml:space="preserve"> </w:t>
      </w:r>
      <w:r w:rsidRPr="00DB5E6B">
        <w:rPr>
          <w:rFonts w:ascii="Garamond" w:eastAsiaTheme="minorHAnsi" w:hAnsi="Garamond"/>
          <w:color w:val="000000"/>
          <w:sz w:val="24"/>
          <w:szCs w:val="24"/>
        </w:rPr>
        <w:t>Palët Kontraktuese do të sigurojnë që të ndërmerren të gjitha mjetet drejt përputhshmërisë së plotë me monitorimin, kontrollin dhe mbikëqyrjen si aspektet më themelore për të garantuar efektivitetin e ZKP-së</w:t>
      </w:r>
      <w:r w:rsidR="00854586">
        <w:rPr>
          <w:rFonts w:ascii="Garamond" w:eastAsiaTheme="minorHAnsi" w:hAnsi="Garamond"/>
          <w:color w:val="000000"/>
          <w:sz w:val="24"/>
          <w:szCs w:val="24"/>
        </w:rPr>
        <w:t>,</w:t>
      </w:r>
      <w:r w:rsidRPr="00DB5E6B">
        <w:rPr>
          <w:rFonts w:ascii="Garamond" w:eastAsiaTheme="minorHAnsi" w:hAnsi="Garamond"/>
          <w:color w:val="000000"/>
          <w:sz w:val="24"/>
          <w:szCs w:val="24"/>
        </w:rPr>
        <w:t xml:space="preserve"> në lidhje me objektivat e saj parësor</w:t>
      </w:r>
      <w:r w:rsidR="00854586">
        <w:rPr>
          <w:rFonts w:ascii="Garamond" w:eastAsiaTheme="minorHAnsi" w:hAnsi="Garamond"/>
          <w:color w:val="000000"/>
          <w:sz w:val="24"/>
          <w:szCs w:val="24"/>
        </w:rPr>
        <w:t>ë</w:t>
      </w:r>
      <w:r w:rsidRPr="00DB5E6B">
        <w:rPr>
          <w:rFonts w:ascii="Garamond" w:eastAsiaTheme="minorHAnsi" w:hAnsi="Garamond"/>
          <w:color w:val="000000"/>
          <w:sz w:val="24"/>
          <w:szCs w:val="24"/>
        </w:rPr>
        <w:t xml:space="preserve"> të ruajtjes.</w:t>
      </w:r>
    </w:p>
    <w:p w14:paraId="5D0CA4E2" w14:textId="0E62772F"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14. Palët Kontraktuese do t’i komunikojnë Sekretariatit të KPPM-së listën e anijeve të autorizuara për zonën B të çdo ZKP-je në fjalë</w:t>
      </w:r>
      <w:r w:rsidR="0079377D">
        <w:rPr>
          <w:rFonts w:ascii="Garamond" w:eastAsiaTheme="minorHAnsi" w:hAnsi="Garamond"/>
          <w:color w:val="000000"/>
          <w:sz w:val="24"/>
          <w:szCs w:val="24"/>
        </w:rPr>
        <w:t>,</w:t>
      </w:r>
      <w:r w:rsidRPr="00DB5E6B">
        <w:rPr>
          <w:rFonts w:ascii="Garamond" w:eastAsiaTheme="minorHAnsi" w:hAnsi="Garamond"/>
          <w:color w:val="000000"/>
          <w:sz w:val="24"/>
          <w:szCs w:val="24"/>
        </w:rPr>
        <w:t xml:space="preserve"> jo më vonë se 30 prilli i çdo viti</w:t>
      </w:r>
      <w:r w:rsidR="0079377D">
        <w:rPr>
          <w:rFonts w:ascii="Garamond" w:eastAsiaTheme="minorHAnsi" w:hAnsi="Garamond"/>
          <w:color w:val="000000"/>
          <w:sz w:val="24"/>
          <w:szCs w:val="24"/>
        </w:rPr>
        <w:t>,</w:t>
      </w:r>
      <w:r w:rsidRPr="00DB5E6B">
        <w:rPr>
          <w:rFonts w:ascii="Garamond" w:eastAsiaTheme="minorHAnsi" w:hAnsi="Garamond"/>
          <w:color w:val="000000"/>
          <w:sz w:val="24"/>
          <w:szCs w:val="24"/>
        </w:rPr>
        <w:t xml:space="preserve"> si lista e anijeve të autorizuara për vitin e ardhshëm. Për çdo anije, lista do të përmbajë informacionin e detajuar në aneksin 1. </w:t>
      </w:r>
    </w:p>
    <w:p w14:paraId="491E6BA3" w14:textId="4F3A82D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 xml:space="preserve">15. Sekretariati i KPPM-së do të mbajë dhe </w:t>
      </w:r>
      <w:r w:rsidR="0079377D">
        <w:rPr>
          <w:rFonts w:ascii="Garamond" w:eastAsiaTheme="minorHAnsi" w:hAnsi="Garamond"/>
          <w:color w:val="000000"/>
          <w:sz w:val="24"/>
          <w:szCs w:val="24"/>
        </w:rPr>
        <w:t xml:space="preserve">do të </w:t>
      </w:r>
      <w:r w:rsidRPr="00DB5E6B">
        <w:rPr>
          <w:rFonts w:ascii="Garamond" w:eastAsiaTheme="minorHAnsi" w:hAnsi="Garamond"/>
          <w:color w:val="000000"/>
          <w:sz w:val="24"/>
          <w:szCs w:val="24"/>
        </w:rPr>
        <w:t>përditësojë listën e anijeve të peshkimit të autorizuara për të peshkuar për speciet kryesore dhe do ta publikojë atë në faqen e internetit të KPPM-së</w:t>
      </w:r>
      <w:r w:rsidR="00E034EB">
        <w:rPr>
          <w:rFonts w:ascii="Garamond" w:eastAsiaTheme="minorHAnsi" w:hAnsi="Garamond"/>
          <w:color w:val="000000"/>
          <w:sz w:val="24"/>
          <w:szCs w:val="24"/>
        </w:rPr>
        <w:t>,</w:t>
      </w:r>
      <w:r w:rsidRPr="00DB5E6B">
        <w:rPr>
          <w:rFonts w:ascii="Garamond" w:eastAsiaTheme="minorHAnsi" w:hAnsi="Garamond"/>
          <w:color w:val="000000"/>
          <w:sz w:val="24"/>
          <w:szCs w:val="24"/>
        </w:rPr>
        <w:t xml:space="preserve"> në një mënyrë që është në përputhje me politikën dhe procedurat e konfidencialitetit të të dhënave të KPPM-së. </w:t>
      </w:r>
    </w:p>
    <w:p w14:paraId="2F141785"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 xml:space="preserve">16. Palët Kontraktuese do t’i dërgojnë Sekretariatit të KPPM-së, brenda datës 31 maj të çdo viti, një raport mbi masat e menaxhimit të marra në ZKP-të nga Palët Kontraktuese. Për të lehtësuar një qasje të përbashkët në të gjithë fushën e aplikimit të KPPM-së, ai raport do të përgatitet në përputhje me udhëzimet e përbashkëta të zhvilluara nga Sekretariati i KPPM-së. Raporti do të publikohet në faqen e internetit të KPPM-së brenda dy muajve pas marrjes, duke siguruar që të dhënat personale të mbrohen në përputhje me rregullat e KPPM-së. </w:t>
      </w:r>
    </w:p>
    <w:p w14:paraId="30D711D9" w14:textId="12BB2910"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lastRenderedPageBreak/>
        <w:t>17. Raporti do të përmbajë masat e ruajtjes, kontrollit dhe menaxhimit, listën e anijeve të autorizuara dhe informacionin përkatës mbi autorizimet në ZKP dhe listën e shkeljeve të zbuluara çdo vit të kryera jashtë zonave nën sovranitetin e Palëve Kontraktuese (lloji i shkeljes, sanksioni i</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aplikuar etj.). Raporti do të kërkojë të identifikojë aktivitetet (p.sh. peshkimi, lundrimi) në ZKP.</w:t>
      </w:r>
    </w:p>
    <w:p w14:paraId="45D48514"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18. Për anijet dhe pronarët e anijeve me shkelje të identifikuara, Palët Kontraktuese do të përgatisin dhe përfshijnë në raportin e tyre një plan veprimi për të përforcuar monitorimin e anijeve që mbajnë flamurin e tyre që zhvillojnë aktivitet në brendësi të ZKP-së.</w:t>
      </w:r>
    </w:p>
    <w:p w14:paraId="4B4281A6" w14:textId="436E1CB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19. Nëse është e nevojshme, do të krijohet një grup pune i dedikuar KPPM-së, për Zonat e Kufizuara të Peshkimit (GPZKP) për të vlerësuar raportet e Palëve Kontraktuese dhe planet e tyre të veprimit. GPZKP</w:t>
      </w:r>
      <w:r w:rsidR="00E276A5">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do të përgatisë një raport për KKSHP-në dhe Komitetin e Përputhshmërisë (KP) që do të vlerësojë dhe </w:t>
      </w:r>
      <w:r w:rsidR="00E276A5">
        <w:rPr>
          <w:rFonts w:ascii="Garamond" w:eastAsiaTheme="minorHAnsi" w:hAnsi="Garamond"/>
          <w:color w:val="000000"/>
          <w:sz w:val="24"/>
          <w:szCs w:val="24"/>
        </w:rPr>
        <w:t xml:space="preserve">do të </w:t>
      </w:r>
      <w:r w:rsidRPr="00DB5E6B">
        <w:rPr>
          <w:rFonts w:ascii="Garamond" w:eastAsiaTheme="minorHAnsi" w:hAnsi="Garamond"/>
          <w:color w:val="000000"/>
          <w:sz w:val="24"/>
          <w:szCs w:val="24"/>
        </w:rPr>
        <w:t>këshillojë KPPM-në për menaxhimin dhe zbatimin e masave të marra nga Palët Kontraktuese.</w:t>
      </w:r>
    </w:p>
    <w:p w14:paraId="51749379"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20. Në përputhje me rekomandimet e KPPM-së, anijet e peshkimit të autorizuara për të peshkuar në zonën B do të pajisen me monitorim elektronik në distancë që shfaq frekuencën e rritur të transmetimit të të dhënave, me ditar elektronik në gjendje të rregullt pune. Pajisjet e peshkimit në bord ose në përdorim duhet të identifikohen siç duhet dhe duhen numëruar dhe shënuar përpara se të fillohet ndonjë operacion peshkimi ose lundrim në KPPM.</w:t>
      </w:r>
    </w:p>
    <w:p w14:paraId="004A5E74" w14:textId="77777777" w:rsidR="00DB5E6B" w:rsidRPr="00DB5E6B" w:rsidRDefault="00DB5E6B" w:rsidP="00DB5E6B">
      <w:pPr>
        <w:autoSpaceDE w:val="0"/>
        <w:autoSpaceDN w:val="0"/>
        <w:adjustRightInd w:val="0"/>
        <w:spacing w:after="0" w:line="240" w:lineRule="auto"/>
        <w:ind w:firstLine="284"/>
        <w:rPr>
          <w:rFonts w:ascii="Garamond" w:eastAsiaTheme="minorHAnsi" w:hAnsi="Garamond"/>
          <w:color w:val="000000"/>
          <w:sz w:val="24"/>
          <w:szCs w:val="24"/>
        </w:rPr>
      </w:pPr>
      <w:r w:rsidRPr="00DB5E6B">
        <w:rPr>
          <w:rFonts w:ascii="Garamond" w:eastAsiaTheme="minorHAnsi" w:hAnsi="Garamond"/>
          <w:color w:val="000000"/>
          <w:sz w:val="24"/>
          <w:szCs w:val="24"/>
        </w:rPr>
        <w:t>21. Për aq sa është e mundur, frekuenca e transmetimit të të dhënave të monitorimit të anijeve (VMS ose AIS) duhet të jetë të paktën një herë në 30 minuta kur një anije peshkimi hyn në çdo zonë të një ZKP-je.</w:t>
      </w:r>
    </w:p>
    <w:p w14:paraId="40164548" w14:textId="62F16C06"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22. Çdo vit, KP</w:t>
      </w:r>
      <w:r w:rsidR="007D4FB1">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do të vlerësojë zbatimin e këtij rekomandimi dhe do të propozojë çdo masë korrigjuese për të përmirësuar përputhshmërinë. Peshkimi në zona dhe periudha të ndaluara do të konsiderohet shkelje e rëndë (peshkimi </w:t>
      </w:r>
      <w:r w:rsidR="007D4FB1">
        <w:rPr>
          <w:rFonts w:ascii="Garamond" w:eastAsiaTheme="minorHAnsi" w:hAnsi="Garamond"/>
          <w:color w:val="000000"/>
          <w:sz w:val="24"/>
          <w:szCs w:val="24"/>
        </w:rPr>
        <w:t>“</w:t>
      </w:r>
      <w:r w:rsidRPr="00DB5E6B">
        <w:rPr>
          <w:rFonts w:ascii="Garamond" w:eastAsiaTheme="minorHAnsi" w:hAnsi="Garamond"/>
          <w:color w:val="000000"/>
          <w:sz w:val="24"/>
          <w:szCs w:val="24"/>
        </w:rPr>
        <w:t>PPP</w:t>
      </w:r>
      <w:r w:rsidR="007D4FB1">
        <w:rPr>
          <w:rFonts w:ascii="Garamond" w:eastAsiaTheme="minorHAnsi" w:hAnsi="Garamond"/>
          <w:color w:val="000000"/>
          <w:sz w:val="24"/>
          <w:szCs w:val="24"/>
        </w:rPr>
        <w:t>”</w:t>
      </w:r>
      <w:r w:rsidRPr="00DB5E6B">
        <w:rPr>
          <w:rFonts w:ascii="Garamond" w:eastAsiaTheme="minorHAnsi" w:hAnsi="Garamond"/>
          <w:color w:val="000000"/>
          <w:sz w:val="24"/>
          <w:szCs w:val="24"/>
        </w:rPr>
        <w:t>). Shteti i flamurit siguron që anija që kryen këtë shkelje të rëndë të ndërpresë menjëherë aktivitetet e saj të peshkimit dhe të kthehet në port për hetim.</w:t>
      </w:r>
    </w:p>
    <w:p w14:paraId="316CBD64"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33AA6C36" w14:textId="1CF601AC"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KREU V</w:t>
      </w:r>
    </w:p>
    <w:p w14:paraId="2C062704" w14:textId="48927236"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RAJONIZIMI</w:t>
      </w:r>
    </w:p>
    <w:p w14:paraId="3856156E" w14:textId="77777777" w:rsid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03137E4D" w14:textId="26D63E1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23. Që nga viti 2023, KPPM</w:t>
      </w:r>
      <w:r w:rsidR="007D4FB1">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do të miratojë rekomandime specifike të bazuara në këshillat e KKSHP-së</w:t>
      </w:r>
      <w:r w:rsidR="007D4FB1">
        <w:rPr>
          <w:rFonts w:ascii="Garamond" w:eastAsiaTheme="minorHAnsi" w:hAnsi="Garamond"/>
          <w:color w:val="000000"/>
          <w:sz w:val="24"/>
          <w:szCs w:val="24"/>
        </w:rPr>
        <w:t xml:space="preserve">, </w:t>
      </w:r>
      <w:r w:rsidRPr="00DB5E6B">
        <w:rPr>
          <w:rFonts w:ascii="Garamond" w:eastAsiaTheme="minorHAnsi" w:hAnsi="Garamond"/>
          <w:color w:val="000000"/>
          <w:sz w:val="24"/>
          <w:szCs w:val="24"/>
        </w:rPr>
        <w:t>me qëllim zbatimin e parimeve të këtij rekomandimi në secilën nënfushë të mëposhtme:</w:t>
      </w:r>
    </w:p>
    <w:p w14:paraId="1DE10C24" w14:textId="5A6710DE"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a)</w:t>
      </w:r>
      <w:r w:rsidRPr="00DB5E6B">
        <w:rPr>
          <w:rFonts w:ascii="Garamond" w:eastAsiaTheme="minorHAnsi" w:hAnsi="Garamond"/>
          <w:color w:val="000000"/>
          <w:sz w:val="24"/>
          <w:szCs w:val="24"/>
        </w:rPr>
        <w:t xml:space="preserve"> Deti Mesdhe Perëndimor;</w:t>
      </w:r>
    </w:p>
    <w:p w14:paraId="5D9B9573" w14:textId="05A72522"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b)</w:t>
      </w:r>
      <w:r w:rsidRPr="00DB5E6B">
        <w:rPr>
          <w:rFonts w:ascii="Garamond" w:eastAsiaTheme="minorHAnsi" w:hAnsi="Garamond"/>
          <w:color w:val="000000"/>
          <w:sz w:val="24"/>
          <w:szCs w:val="24"/>
        </w:rPr>
        <w:t xml:space="preserve"> Deti Mesdhe Qendror;</w:t>
      </w:r>
    </w:p>
    <w:p w14:paraId="34C13B7D" w14:textId="0DA301FC"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c)</w:t>
      </w:r>
      <w:r w:rsidRPr="00DB5E6B">
        <w:rPr>
          <w:rFonts w:ascii="Garamond" w:eastAsiaTheme="minorHAnsi" w:hAnsi="Garamond"/>
          <w:color w:val="000000"/>
          <w:sz w:val="24"/>
          <w:szCs w:val="24"/>
        </w:rPr>
        <w:t xml:space="preserve"> Deti Adriatik;</w:t>
      </w:r>
    </w:p>
    <w:p w14:paraId="7413F4A9" w14:textId="378266B5"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ç)</w:t>
      </w:r>
      <w:r w:rsidRPr="00DB5E6B">
        <w:rPr>
          <w:rFonts w:ascii="Garamond" w:eastAsiaTheme="minorHAnsi" w:hAnsi="Garamond"/>
          <w:color w:val="000000"/>
          <w:sz w:val="24"/>
          <w:szCs w:val="24"/>
        </w:rPr>
        <w:t xml:space="preserve"> Deti Mesdhe Lindor;</w:t>
      </w:r>
    </w:p>
    <w:p w14:paraId="3C9DF7D2" w14:textId="08B905B8"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d)</w:t>
      </w:r>
      <w:r w:rsidRPr="00DB5E6B">
        <w:rPr>
          <w:rFonts w:ascii="Garamond" w:eastAsiaTheme="minorHAnsi" w:hAnsi="Garamond"/>
          <w:color w:val="000000"/>
          <w:sz w:val="24"/>
          <w:szCs w:val="24"/>
        </w:rPr>
        <w:t xml:space="preserve"> Deti i Zi.</w:t>
      </w:r>
    </w:p>
    <w:p w14:paraId="3649164C" w14:textId="77777777" w:rsidR="00764641" w:rsidRDefault="00764641"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3391A05" w14:textId="069B2A7E"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KREU VI</w:t>
      </w:r>
    </w:p>
    <w:p w14:paraId="10A7E66B" w14:textId="3AD6B4A9" w:rsidR="00DB5E6B" w:rsidRPr="00764641" w:rsidRDefault="00764641"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DISPOZITAT PËRFUNDIMTARE</w:t>
      </w:r>
    </w:p>
    <w:p w14:paraId="143F5DFB" w14:textId="77777777" w:rsidR="00DB5E6B" w:rsidRP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E05281E"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24. Palët Kontraktuese do të tërheqin vëmendjen e autoriteteve përkatëse kombëtare dhe ndërkombëtare për të mbrojtur çdo ZKP dhe dy zonat e saj A dhe B nga ndikimi i çdo aktiviteti që mund të rrezikojë ruajtjen e tipareve karakteristike të këtyre habitateve të veçanta.</w:t>
      </w:r>
    </w:p>
    <w:p w14:paraId="06E1011C"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25. Ky rekomandim nuk do të paragjykojë miratimin e masave më të rrepta nga ana e Palëve Kontraktuese për anijet që mbajnë flamurin e tyre.</w:t>
      </w:r>
    </w:p>
    <w:p w14:paraId="00F44C78" w14:textId="5DE48AFA"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26. KKSHP</w:t>
      </w:r>
      <w:r w:rsidR="001F5F2B">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dhe KP</w:t>
      </w:r>
      <w:r w:rsidR="001F5F2B">
        <w:rPr>
          <w:rFonts w:ascii="Garamond" w:eastAsiaTheme="minorHAnsi" w:hAnsi="Garamond"/>
          <w:color w:val="000000"/>
          <w:sz w:val="24"/>
          <w:szCs w:val="24"/>
        </w:rPr>
        <w:t>-ja</w:t>
      </w:r>
      <w:r w:rsidRPr="00DB5E6B">
        <w:rPr>
          <w:rFonts w:ascii="Garamond" w:eastAsiaTheme="minorHAnsi" w:hAnsi="Garamond"/>
          <w:color w:val="000000"/>
          <w:sz w:val="24"/>
          <w:szCs w:val="24"/>
        </w:rPr>
        <w:t xml:space="preserve"> do të rishikojnë zbatimin e këtij rekomandimi çdo vit në mënyrë që të nxjerrin rekomandime aty ku është e nevojshme. Këshillat e KKSHP-së do të marrin parasysh specifikat e peshkimit komercial dhe rekreativ në secilën nënzonë të listuar në paragrafin 23. </w:t>
      </w:r>
      <w:r w:rsidRPr="00DB5E6B">
        <w:rPr>
          <w:rFonts w:ascii="Garamond" w:eastAsiaTheme="minorHAnsi" w:hAnsi="Garamond"/>
          <w:color w:val="000000"/>
          <w:sz w:val="24"/>
          <w:szCs w:val="24"/>
        </w:rPr>
        <w:lastRenderedPageBreak/>
        <w:t>Bazuar në këshillën e KKSHP-së</w:t>
      </w:r>
      <w:r w:rsidR="00CA451D" w:rsidRPr="00DB5E6B">
        <w:rPr>
          <w:rFonts w:ascii="Garamond" w:eastAsiaTheme="minorHAnsi" w:hAnsi="Garamond"/>
          <w:color w:val="000000"/>
          <w:sz w:val="24"/>
          <w:szCs w:val="24"/>
        </w:rPr>
        <w:t>,</w:t>
      </w:r>
      <w:r w:rsidRPr="00DB5E6B">
        <w:rPr>
          <w:rFonts w:ascii="Garamond" w:eastAsiaTheme="minorHAnsi" w:hAnsi="Garamond"/>
          <w:color w:val="000000"/>
          <w:sz w:val="24"/>
          <w:szCs w:val="24"/>
        </w:rPr>
        <w:t xml:space="preserve"> standardet minimale të masave të menaxhimit për ZKP-të do të rishikohen në vitin 2031.</w:t>
      </w:r>
    </w:p>
    <w:p w14:paraId="37263B09" w14:textId="7777777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p>
    <w:p w14:paraId="50B39EE3" w14:textId="77777777" w:rsidR="00DB5E6B" w:rsidRPr="00764641" w:rsidRDefault="00DB5E6B" w:rsidP="00DB5E6B">
      <w:pPr>
        <w:autoSpaceDE w:val="0"/>
        <w:autoSpaceDN w:val="0"/>
        <w:adjustRightInd w:val="0"/>
        <w:spacing w:after="0" w:line="240" w:lineRule="auto"/>
        <w:ind w:firstLine="284"/>
        <w:jc w:val="center"/>
        <w:rPr>
          <w:rFonts w:ascii="Garamond" w:eastAsiaTheme="minorHAnsi" w:hAnsi="Garamond"/>
          <w:bCs/>
          <w:color w:val="000000"/>
          <w:sz w:val="24"/>
          <w:szCs w:val="24"/>
        </w:rPr>
      </w:pPr>
      <w:r w:rsidRPr="00764641">
        <w:rPr>
          <w:rFonts w:ascii="Garamond" w:eastAsiaTheme="minorHAnsi" w:hAnsi="Garamond"/>
          <w:bCs/>
          <w:color w:val="000000"/>
          <w:sz w:val="24"/>
          <w:szCs w:val="24"/>
        </w:rPr>
        <w:t>SHTOJCA I</w:t>
      </w:r>
    </w:p>
    <w:p w14:paraId="15E34EDF" w14:textId="77777777" w:rsidR="00DB5E6B" w:rsidRPr="00DB5E6B" w:rsidRDefault="00DB5E6B" w:rsidP="00DB5E6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C5583C6" w14:textId="77C98586"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sidRPr="00DB5E6B">
        <w:rPr>
          <w:rFonts w:ascii="Garamond" w:eastAsiaTheme="minorHAnsi" w:hAnsi="Garamond"/>
          <w:color w:val="000000"/>
          <w:sz w:val="24"/>
          <w:szCs w:val="24"/>
        </w:rPr>
        <w:t xml:space="preserve">Lista e përmendur në </w:t>
      </w:r>
      <w:r w:rsidR="00CA451D" w:rsidRPr="00DB5E6B">
        <w:rPr>
          <w:rFonts w:ascii="Garamond" w:eastAsiaTheme="minorHAnsi" w:hAnsi="Garamond"/>
          <w:color w:val="000000"/>
          <w:sz w:val="24"/>
          <w:szCs w:val="24"/>
        </w:rPr>
        <w:t xml:space="preserve">kreun </w:t>
      </w:r>
      <w:r w:rsidRPr="00DB5E6B">
        <w:rPr>
          <w:rFonts w:ascii="Garamond" w:eastAsiaTheme="minorHAnsi" w:hAnsi="Garamond"/>
          <w:color w:val="000000"/>
          <w:sz w:val="24"/>
          <w:szCs w:val="24"/>
        </w:rPr>
        <w:t xml:space="preserve">III do të përmbajë për çdo anije dhe </w:t>
      </w:r>
      <w:r w:rsidR="001F5F2B">
        <w:rPr>
          <w:rFonts w:ascii="Garamond" w:eastAsiaTheme="minorHAnsi" w:hAnsi="Garamond"/>
          <w:color w:val="000000"/>
          <w:sz w:val="24"/>
          <w:szCs w:val="24"/>
        </w:rPr>
        <w:t xml:space="preserve">për </w:t>
      </w:r>
      <w:r w:rsidRPr="00DB5E6B">
        <w:rPr>
          <w:rFonts w:ascii="Garamond" w:eastAsiaTheme="minorHAnsi" w:hAnsi="Garamond"/>
          <w:color w:val="000000"/>
          <w:sz w:val="24"/>
          <w:szCs w:val="24"/>
        </w:rPr>
        <w:t>çdo ZKP informacionin e mëposhtëm:</w:t>
      </w:r>
    </w:p>
    <w:p w14:paraId="164CADB7" w14:textId="4427C404"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 xml:space="preserve">Emri i anijes (nëse ka): </w:t>
      </w:r>
      <w:r w:rsidR="00BA0546" w:rsidRPr="00DB5E6B">
        <w:rPr>
          <w:rFonts w:ascii="Garamond" w:eastAsiaTheme="minorHAnsi" w:hAnsi="Garamond"/>
          <w:color w:val="000000"/>
          <w:sz w:val="24"/>
          <w:szCs w:val="24"/>
        </w:rPr>
        <w:t xml:space="preserve">emri </w:t>
      </w:r>
      <w:r w:rsidRPr="00DB5E6B">
        <w:rPr>
          <w:rFonts w:ascii="Garamond" w:eastAsiaTheme="minorHAnsi" w:hAnsi="Garamond"/>
          <w:color w:val="000000"/>
          <w:sz w:val="24"/>
          <w:szCs w:val="24"/>
        </w:rPr>
        <w:t>i anijes (me germa latine);</w:t>
      </w:r>
    </w:p>
    <w:p w14:paraId="16B11369" w14:textId="731828B6"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 xml:space="preserve">Numri i </w:t>
      </w:r>
      <w:r w:rsidR="00BA0546" w:rsidRPr="00DB5E6B">
        <w:rPr>
          <w:rFonts w:ascii="Garamond" w:eastAsiaTheme="minorHAnsi" w:hAnsi="Garamond"/>
          <w:color w:val="000000"/>
          <w:sz w:val="24"/>
          <w:szCs w:val="24"/>
        </w:rPr>
        <w:t>regjistrimit ko</w:t>
      </w:r>
      <w:r w:rsidRPr="00DB5E6B">
        <w:rPr>
          <w:rFonts w:ascii="Garamond" w:eastAsiaTheme="minorHAnsi" w:hAnsi="Garamond"/>
          <w:color w:val="000000"/>
          <w:sz w:val="24"/>
          <w:szCs w:val="24"/>
        </w:rPr>
        <w:t xml:space="preserve">mbëtar: </w:t>
      </w:r>
      <w:r w:rsidR="00BA0546" w:rsidRPr="00DB5E6B">
        <w:rPr>
          <w:rFonts w:ascii="Garamond" w:eastAsiaTheme="minorHAnsi" w:hAnsi="Garamond"/>
          <w:color w:val="000000"/>
          <w:sz w:val="24"/>
          <w:szCs w:val="24"/>
        </w:rPr>
        <w:t xml:space="preserve">kodi </w:t>
      </w:r>
      <w:r w:rsidRPr="00DB5E6B">
        <w:rPr>
          <w:rFonts w:ascii="Garamond" w:eastAsiaTheme="minorHAnsi" w:hAnsi="Garamond"/>
          <w:color w:val="000000"/>
          <w:sz w:val="24"/>
          <w:szCs w:val="24"/>
        </w:rPr>
        <w:t>që përfaqëson identifikuesin zyrtar të anijes</w:t>
      </w:r>
      <w:r w:rsidR="00BA0546">
        <w:rPr>
          <w:rFonts w:ascii="Garamond" w:eastAsiaTheme="minorHAnsi" w:hAnsi="Garamond"/>
          <w:color w:val="000000"/>
          <w:sz w:val="24"/>
          <w:szCs w:val="24"/>
        </w:rPr>
        <w:t>,</w:t>
      </w:r>
      <w:r w:rsidRPr="00DB5E6B">
        <w:rPr>
          <w:rFonts w:ascii="Garamond" w:eastAsiaTheme="minorHAnsi" w:hAnsi="Garamond"/>
          <w:color w:val="000000"/>
          <w:sz w:val="24"/>
          <w:szCs w:val="24"/>
        </w:rPr>
        <w:t xml:space="preserve"> siç raportohet në regjistrin kombëtar të flotës (vargu alfanumerik);</w:t>
      </w:r>
    </w:p>
    <w:p w14:paraId="22425307" w14:textId="5F4E7AD7"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 xml:space="preserve">Numri i </w:t>
      </w:r>
      <w:r w:rsidR="00BA0546" w:rsidRPr="00DB5E6B">
        <w:rPr>
          <w:rFonts w:ascii="Garamond" w:eastAsiaTheme="minorHAnsi" w:hAnsi="Garamond"/>
          <w:color w:val="000000"/>
          <w:sz w:val="24"/>
          <w:szCs w:val="24"/>
        </w:rPr>
        <w:t xml:space="preserve">regjistrimit </w:t>
      </w:r>
      <w:r w:rsidRPr="00DB5E6B">
        <w:rPr>
          <w:rFonts w:ascii="Garamond" w:eastAsiaTheme="minorHAnsi" w:hAnsi="Garamond"/>
          <w:color w:val="000000"/>
          <w:sz w:val="24"/>
          <w:szCs w:val="24"/>
        </w:rPr>
        <w:t>të KPPM-së (kodi ISO 3-alfa i vendit + 9 shifra, p.sh. xxx000000001);</w:t>
      </w:r>
    </w:p>
    <w:p w14:paraId="6577E9A4" w14:textId="356C7E33"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 xml:space="preserve">Numri IMO ose numri i jashtëm i markimit; </w:t>
      </w:r>
    </w:p>
    <w:p w14:paraId="444B17F6" w14:textId="0311BCB0"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 xml:space="preserve">Autoriteti i </w:t>
      </w:r>
      <w:r w:rsidR="00BA0546" w:rsidRPr="00DB5E6B">
        <w:rPr>
          <w:rFonts w:ascii="Garamond" w:eastAsiaTheme="minorHAnsi" w:hAnsi="Garamond"/>
          <w:color w:val="000000"/>
          <w:sz w:val="24"/>
          <w:szCs w:val="24"/>
        </w:rPr>
        <w:t>regjistrimit</w:t>
      </w:r>
      <w:r w:rsidRPr="00DB5E6B">
        <w:rPr>
          <w:rFonts w:ascii="Garamond" w:eastAsiaTheme="minorHAnsi" w:hAnsi="Garamond"/>
          <w:color w:val="000000"/>
          <w:sz w:val="24"/>
          <w:szCs w:val="24"/>
        </w:rPr>
        <w:t xml:space="preserve">: </w:t>
      </w:r>
      <w:r w:rsidR="00BA0546" w:rsidRPr="00DB5E6B">
        <w:rPr>
          <w:rFonts w:ascii="Garamond" w:eastAsiaTheme="minorHAnsi" w:hAnsi="Garamond"/>
          <w:color w:val="000000"/>
          <w:sz w:val="24"/>
          <w:szCs w:val="24"/>
        </w:rPr>
        <w:t xml:space="preserve">emri </w:t>
      </w:r>
      <w:r w:rsidRPr="00DB5E6B">
        <w:rPr>
          <w:rFonts w:ascii="Garamond" w:eastAsiaTheme="minorHAnsi" w:hAnsi="Garamond"/>
          <w:color w:val="000000"/>
          <w:sz w:val="24"/>
          <w:szCs w:val="24"/>
        </w:rPr>
        <w:t>i autoritetit që ka lëshuar regjistrimin e anijes;</w:t>
      </w:r>
    </w:p>
    <w:p w14:paraId="0FE31AFA" w14:textId="2131853A"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 xml:space="preserve">Emri i </w:t>
      </w:r>
      <w:r w:rsidR="007F065A" w:rsidRPr="00DB5E6B">
        <w:rPr>
          <w:rFonts w:ascii="Garamond" w:eastAsiaTheme="minorHAnsi" w:hAnsi="Garamond"/>
          <w:color w:val="000000"/>
          <w:sz w:val="24"/>
          <w:szCs w:val="24"/>
        </w:rPr>
        <w:t xml:space="preserve">Zonës </w:t>
      </w:r>
      <w:r w:rsidR="00BA0546" w:rsidRPr="00DB5E6B">
        <w:rPr>
          <w:rFonts w:ascii="Garamond" w:eastAsiaTheme="minorHAnsi" w:hAnsi="Garamond"/>
          <w:color w:val="000000"/>
          <w:sz w:val="24"/>
          <w:szCs w:val="24"/>
        </w:rPr>
        <w:t xml:space="preserve">së </w:t>
      </w:r>
      <w:r w:rsidR="007F065A" w:rsidRPr="00DB5E6B">
        <w:rPr>
          <w:rFonts w:ascii="Garamond" w:eastAsiaTheme="minorHAnsi" w:hAnsi="Garamond"/>
          <w:color w:val="000000"/>
          <w:sz w:val="24"/>
          <w:szCs w:val="24"/>
        </w:rPr>
        <w:t xml:space="preserve">Kufizuar </w:t>
      </w:r>
      <w:r w:rsidR="00BA0546" w:rsidRPr="00DB5E6B">
        <w:rPr>
          <w:rFonts w:ascii="Garamond" w:eastAsiaTheme="minorHAnsi" w:hAnsi="Garamond"/>
          <w:color w:val="000000"/>
          <w:sz w:val="24"/>
          <w:szCs w:val="24"/>
        </w:rPr>
        <w:t xml:space="preserve">të </w:t>
      </w:r>
      <w:r w:rsidR="007F065A" w:rsidRPr="00DB5E6B">
        <w:rPr>
          <w:rFonts w:ascii="Garamond" w:eastAsiaTheme="minorHAnsi" w:hAnsi="Garamond"/>
          <w:color w:val="000000"/>
          <w:sz w:val="24"/>
          <w:szCs w:val="24"/>
        </w:rPr>
        <w:t>Peshkimit</w:t>
      </w:r>
      <w:r w:rsidRPr="00DB5E6B">
        <w:rPr>
          <w:rFonts w:ascii="Garamond" w:eastAsiaTheme="minorHAnsi" w:hAnsi="Garamond"/>
          <w:color w:val="000000"/>
          <w:sz w:val="24"/>
          <w:szCs w:val="24"/>
        </w:rPr>
        <w:t>;</w:t>
      </w:r>
    </w:p>
    <w:p w14:paraId="168E9DCC" w14:textId="542CBA5F"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Emri i mëparshëm (nëse ka);</w:t>
      </w:r>
    </w:p>
    <w:p w14:paraId="78485EB1" w14:textId="5AA581E0"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Flamuri i mëparshëm (nëse ka);</w:t>
      </w:r>
    </w:p>
    <w:p w14:paraId="0B65A65D" w14:textId="7D2AF34F"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Detajet e mëparshme të fshirjes nga regjistrat e tjerë (nëse ka);</w:t>
      </w:r>
    </w:p>
    <w:p w14:paraId="55ABED37" w14:textId="6AF6A5C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Sinjali i thirrjes ndërkombëtare të radios (nëse ka);</w:t>
      </w:r>
    </w:p>
    <w:p w14:paraId="3FB82FFF" w14:textId="213C585D"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Lloji i anijes, gjatësia e përgjithshme (LOA) dhe tonazhi bruto (GT);</w:t>
      </w:r>
    </w:p>
    <w:p w14:paraId="18161B63" w14:textId="1E1A3043"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Pajisjet kryesore që përdoren për të peshkuar në zonën B të ZKP</w:t>
      </w:r>
      <w:r w:rsidR="00BA0546">
        <w:rPr>
          <w:rFonts w:ascii="Garamond" w:eastAsiaTheme="minorHAnsi" w:hAnsi="Garamond"/>
          <w:color w:val="000000"/>
          <w:sz w:val="24"/>
          <w:szCs w:val="24"/>
        </w:rPr>
        <w:t>-së</w:t>
      </w:r>
      <w:r w:rsidRPr="00DB5E6B">
        <w:rPr>
          <w:rFonts w:ascii="Garamond" w:eastAsiaTheme="minorHAnsi" w:hAnsi="Garamond"/>
          <w:color w:val="000000"/>
          <w:sz w:val="24"/>
          <w:szCs w:val="24"/>
        </w:rPr>
        <w:t>;</w:t>
      </w:r>
    </w:p>
    <w:p w14:paraId="23255EF6" w14:textId="47D74BB5"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Llojet e synuara;</w:t>
      </w:r>
    </w:p>
    <w:p w14:paraId="6BB8CD78" w14:textId="37B11E7E"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Periudha e autorizuar për peshkim në ZKP: Periudha e autorizuar për peshkim në Zonën e Kufizuar të Peshkimit (ZKP): nga DD</w:t>
      </w:r>
      <w:r w:rsidR="007F065A">
        <w:rPr>
          <w:rFonts w:ascii="Garamond" w:eastAsiaTheme="minorHAnsi" w:hAnsi="Garamond"/>
          <w:color w:val="000000"/>
          <w:sz w:val="24"/>
          <w:szCs w:val="24"/>
        </w:rPr>
        <w:t>.</w:t>
      </w:r>
      <w:r w:rsidRPr="00DB5E6B">
        <w:rPr>
          <w:rFonts w:ascii="Garamond" w:eastAsiaTheme="minorHAnsi" w:hAnsi="Garamond"/>
          <w:color w:val="000000"/>
          <w:sz w:val="24"/>
          <w:szCs w:val="24"/>
        </w:rPr>
        <w:t>MM</w:t>
      </w:r>
      <w:r w:rsidR="007F065A">
        <w:rPr>
          <w:rFonts w:ascii="Garamond" w:eastAsiaTheme="minorHAnsi" w:hAnsi="Garamond"/>
          <w:color w:val="000000"/>
          <w:sz w:val="24"/>
          <w:szCs w:val="24"/>
        </w:rPr>
        <w:t>.</w:t>
      </w:r>
      <w:r w:rsidRPr="00DB5E6B">
        <w:rPr>
          <w:rFonts w:ascii="Garamond" w:eastAsiaTheme="minorHAnsi" w:hAnsi="Garamond"/>
          <w:color w:val="000000"/>
          <w:sz w:val="24"/>
          <w:szCs w:val="24"/>
        </w:rPr>
        <w:t>YYYY deri në DD</w:t>
      </w:r>
      <w:r w:rsidR="007F065A">
        <w:rPr>
          <w:rFonts w:ascii="Garamond" w:eastAsiaTheme="minorHAnsi" w:hAnsi="Garamond"/>
          <w:color w:val="000000"/>
          <w:sz w:val="24"/>
          <w:szCs w:val="24"/>
        </w:rPr>
        <w:t>.</w:t>
      </w:r>
      <w:r w:rsidRPr="00DB5E6B">
        <w:rPr>
          <w:rFonts w:ascii="Garamond" w:eastAsiaTheme="minorHAnsi" w:hAnsi="Garamond"/>
          <w:color w:val="000000"/>
          <w:sz w:val="24"/>
          <w:szCs w:val="24"/>
        </w:rPr>
        <w:t>MM</w:t>
      </w:r>
      <w:r w:rsidR="007F065A">
        <w:rPr>
          <w:rFonts w:ascii="Garamond" w:eastAsiaTheme="minorHAnsi" w:hAnsi="Garamond"/>
          <w:color w:val="000000"/>
          <w:sz w:val="24"/>
          <w:szCs w:val="24"/>
        </w:rPr>
        <w:t>.</w:t>
      </w:r>
      <w:r w:rsidRPr="00DB5E6B">
        <w:rPr>
          <w:rFonts w:ascii="Garamond" w:eastAsiaTheme="minorHAnsi" w:hAnsi="Garamond"/>
          <w:color w:val="000000"/>
          <w:sz w:val="24"/>
          <w:szCs w:val="24"/>
        </w:rPr>
        <w:t>YYYY dhe pajisjet përkatëse;</w:t>
      </w:r>
    </w:p>
    <w:p w14:paraId="2BAF6716" w14:textId="4624E9FB"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Numri i ditëve të peshkimit që mund të ushtrohet nga çdo anije;</w:t>
      </w:r>
    </w:p>
    <w:p w14:paraId="03127F74" w14:textId="219D1FEB" w:rsidR="00DB5E6B" w:rsidRPr="00DB5E6B" w:rsidRDefault="00DB5E6B" w:rsidP="00DB5E6B">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w:t>
      </w:r>
      <w:r w:rsidR="007F2906">
        <w:rPr>
          <w:rFonts w:ascii="Garamond" w:eastAsiaTheme="minorHAnsi" w:hAnsi="Garamond"/>
          <w:color w:val="000000"/>
          <w:sz w:val="24"/>
          <w:szCs w:val="24"/>
        </w:rPr>
        <w:t xml:space="preserve"> </w:t>
      </w:r>
      <w:r w:rsidRPr="00DB5E6B">
        <w:rPr>
          <w:rFonts w:ascii="Garamond" w:eastAsiaTheme="minorHAnsi" w:hAnsi="Garamond"/>
          <w:color w:val="000000"/>
          <w:sz w:val="24"/>
          <w:szCs w:val="24"/>
        </w:rPr>
        <w:t>Numri i ditëve të peshkimit të operuara nga anija në zonën B, të Zonës së Kufizuar të Peshkimit gjatë vitit.</w:t>
      </w:r>
    </w:p>
    <w:p w14:paraId="60BE9544" w14:textId="77777777" w:rsidR="00DB5E6B" w:rsidRPr="007C18C1" w:rsidRDefault="00DB5E6B" w:rsidP="00DB5E6B">
      <w:pPr>
        <w:autoSpaceDE w:val="0"/>
        <w:autoSpaceDN w:val="0"/>
        <w:adjustRightInd w:val="0"/>
        <w:spacing w:after="0" w:line="240" w:lineRule="auto"/>
        <w:ind w:firstLine="284"/>
        <w:contextualSpacing/>
        <w:mirrorIndents/>
        <w:jc w:val="both"/>
        <w:rPr>
          <w:rFonts w:ascii="Times New Roman" w:hAnsi="Times New Roman"/>
          <w:bCs/>
          <w:sz w:val="24"/>
          <w:szCs w:val="24"/>
        </w:rPr>
      </w:pPr>
    </w:p>
    <w:sectPr w:rsidR="00DB5E6B" w:rsidRPr="007C18C1" w:rsidSect="00DB5E6B">
      <w:footnotePr>
        <w:numRestart w:val="eachPage"/>
      </w:footnotePr>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63C4B" w14:textId="77777777" w:rsidR="007F2906" w:rsidRDefault="007F2906" w:rsidP="00B70B6D">
      <w:pPr>
        <w:spacing w:after="0" w:line="240" w:lineRule="auto"/>
      </w:pPr>
      <w:r>
        <w:separator/>
      </w:r>
    </w:p>
  </w:endnote>
  <w:endnote w:type="continuationSeparator" w:id="0">
    <w:p w14:paraId="376EE243" w14:textId="77777777" w:rsidR="007F2906" w:rsidRDefault="007F2906" w:rsidP="00B70B6D">
      <w:pPr>
        <w:spacing w:after="0" w:line="240" w:lineRule="auto"/>
      </w:pPr>
      <w:r>
        <w:continuationSeparator/>
      </w:r>
    </w:p>
  </w:endnote>
  <w:endnote w:type="continuationNotice" w:id="1">
    <w:p w14:paraId="55EFE15E" w14:textId="77777777" w:rsidR="007F2906" w:rsidRDefault="007F29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6F5A4" w14:textId="77777777" w:rsidR="007F2906" w:rsidRDefault="007F2906" w:rsidP="00B70B6D">
      <w:pPr>
        <w:spacing w:after="0" w:line="240" w:lineRule="auto"/>
      </w:pPr>
      <w:r>
        <w:separator/>
      </w:r>
    </w:p>
  </w:footnote>
  <w:footnote w:type="continuationSeparator" w:id="0">
    <w:p w14:paraId="2C7161C9" w14:textId="77777777" w:rsidR="007F2906" w:rsidRDefault="007F2906" w:rsidP="00B70B6D">
      <w:pPr>
        <w:spacing w:after="0" w:line="240" w:lineRule="auto"/>
      </w:pPr>
      <w:r>
        <w:continuationSeparator/>
      </w:r>
    </w:p>
  </w:footnote>
  <w:footnote w:type="continuationNotice" w:id="1">
    <w:p w14:paraId="50C3A70B" w14:textId="77777777" w:rsidR="007F2906" w:rsidRDefault="007F29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027EC"/>
    <w:multiLevelType w:val="hybridMultilevel"/>
    <w:tmpl w:val="6F22EECA"/>
    <w:lvl w:ilvl="0" w:tplc="36ACD60E">
      <w:start w:val="1"/>
      <w:numFmt w:val="lowerLetter"/>
      <w:lvlText w:val="(%1)"/>
      <w:lvlJc w:val="left"/>
      <w:pPr>
        <w:ind w:left="443" w:hanging="360"/>
      </w:pPr>
      <w:rPr>
        <w:rFonts w:hint="default"/>
      </w:rPr>
    </w:lvl>
    <w:lvl w:ilvl="1" w:tplc="04090019" w:tentative="1">
      <w:start w:val="1"/>
      <w:numFmt w:val="lowerLetter"/>
      <w:lvlText w:val="%2."/>
      <w:lvlJc w:val="left"/>
      <w:pPr>
        <w:ind w:left="1163" w:hanging="360"/>
      </w:pPr>
    </w:lvl>
    <w:lvl w:ilvl="2" w:tplc="0409001B" w:tentative="1">
      <w:start w:val="1"/>
      <w:numFmt w:val="lowerRoman"/>
      <w:lvlText w:val="%3."/>
      <w:lvlJc w:val="right"/>
      <w:pPr>
        <w:ind w:left="1883" w:hanging="180"/>
      </w:pPr>
    </w:lvl>
    <w:lvl w:ilvl="3" w:tplc="0409000F" w:tentative="1">
      <w:start w:val="1"/>
      <w:numFmt w:val="decimal"/>
      <w:lvlText w:val="%4."/>
      <w:lvlJc w:val="left"/>
      <w:pPr>
        <w:ind w:left="2603" w:hanging="360"/>
      </w:pPr>
    </w:lvl>
    <w:lvl w:ilvl="4" w:tplc="04090019" w:tentative="1">
      <w:start w:val="1"/>
      <w:numFmt w:val="lowerLetter"/>
      <w:lvlText w:val="%5."/>
      <w:lvlJc w:val="left"/>
      <w:pPr>
        <w:ind w:left="3323" w:hanging="360"/>
      </w:pPr>
    </w:lvl>
    <w:lvl w:ilvl="5" w:tplc="0409001B" w:tentative="1">
      <w:start w:val="1"/>
      <w:numFmt w:val="lowerRoman"/>
      <w:lvlText w:val="%6."/>
      <w:lvlJc w:val="right"/>
      <w:pPr>
        <w:ind w:left="4043" w:hanging="180"/>
      </w:pPr>
    </w:lvl>
    <w:lvl w:ilvl="6" w:tplc="0409000F" w:tentative="1">
      <w:start w:val="1"/>
      <w:numFmt w:val="decimal"/>
      <w:lvlText w:val="%7."/>
      <w:lvlJc w:val="left"/>
      <w:pPr>
        <w:ind w:left="4763" w:hanging="360"/>
      </w:pPr>
    </w:lvl>
    <w:lvl w:ilvl="7" w:tplc="04090019" w:tentative="1">
      <w:start w:val="1"/>
      <w:numFmt w:val="lowerLetter"/>
      <w:lvlText w:val="%8."/>
      <w:lvlJc w:val="left"/>
      <w:pPr>
        <w:ind w:left="5483" w:hanging="360"/>
      </w:pPr>
    </w:lvl>
    <w:lvl w:ilvl="8" w:tplc="0409001B" w:tentative="1">
      <w:start w:val="1"/>
      <w:numFmt w:val="lowerRoman"/>
      <w:lvlText w:val="%9."/>
      <w:lvlJc w:val="right"/>
      <w:pPr>
        <w:ind w:left="6203" w:hanging="180"/>
      </w:pPr>
    </w:lvl>
  </w:abstractNum>
  <w:abstractNum w:abstractNumId="1" w15:restartNumberingAfterBreak="0">
    <w:nsid w:val="17AA0468"/>
    <w:multiLevelType w:val="hybridMultilevel"/>
    <w:tmpl w:val="D0AE5BB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9F625EE"/>
    <w:multiLevelType w:val="hybridMultilevel"/>
    <w:tmpl w:val="CAB8797A"/>
    <w:lvl w:ilvl="0" w:tplc="E3B2AF9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503D72A3"/>
    <w:multiLevelType w:val="hybridMultilevel"/>
    <w:tmpl w:val="F65A7782"/>
    <w:lvl w:ilvl="0" w:tplc="0C1252DA">
      <w:start w:val="1"/>
      <w:numFmt w:val="bullet"/>
      <w:lvlText w:val="–"/>
      <w:lvlJc w:val="left"/>
      <w:pPr>
        <w:ind w:left="630"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2"/>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8193"/>
  </w:hdrShapeDefault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747D"/>
    <w:rsid w:val="000041A3"/>
    <w:rsid w:val="000044E9"/>
    <w:rsid w:val="00007A2F"/>
    <w:rsid w:val="000151FC"/>
    <w:rsid w:val="0001731C"/>
    <w:rsid w:val="00022506"/>
    <w:rsid w:val="00022791"/>
    <w:rsid w:val="000244BF"/>
    <w:rsid w:val="0002703F"/>
    <w:rsid w:val="00033CB6"/>
    <w:rsid w:val="0004024E"/>
    <w:rsid w:val="0004650C"/>
    <w:rsid w:val="00054870"/>
    <w:rsid w:val="00056F14"/>
    <w:rsid w:val="0006691D"/>
    <w:rsid w:val="00067ACC"/>
    <w:rsid w:val="000700B6"/>
    <w:rsid w:val="00070835"/>
    <w:rsid w:val="00071339"/>
    <w:rsid w:val="000A1259"/>
    <w:rsid w:val="000A5EFB"/>
    <w:rsid w:val="000B22C7"/>
    <w:rsid w:val="000C17C2"/>
    <w:rsid w:val="000C6DF0"/>
    <w:rsid w:val="000D27F6"/>
    <w:rsid w:val="000D48BC"/>
    <w:rsid w:val="000D4B46"/>
    <w:rsid w:val="000E2B88"/>
    <w:rsid w:val="000E34F3"/>
    <w:rsid w:val="00104DCB"/>
    <w:rsid w:val="00105356"/>
    <w:rsid w:val="00107DA5"/>
    <w:rsid w:val="00112D2C"/>
    <w:rsid w:val="00134FA5"/>
    <w:rsid w:val="00137276"/>
    <w:rsid w:val="001374E3"/>
    <w:rsid w:val="00142435"/>
    <w:rsid w:val="00143E78"/>
    <w:rsid w:val="0014477E"/>
    <w:rsid w:val="00156870"/>
    <w:rsid w:val="00165F2E"/>
    <w:rsid w:val="0017641C"/>
    <w:rsid w:val="00184903"/>
    <w:rsid w:val="00185EC5"/>
    <w:rsid w:val="001B056B"/>
    <w:rsid w:val="001B1E8F"/>
    <w:rsid w:val="001B29E1"/>
    <w:rsid w:val="001B5C13"/>
    <w:rsid w:val="001E76FB"/>
    <w:rsid w:val="001F5F2B"/>
    <w:rsid w:val="002158FD"/>
    <w:rsid w:val="00221E2A"/>
    <w:rsid w:val="0022749F"/>
    <w:rsid w:val="00227C76"/>
    <w:rsid w:val="002338A3"/>
    <w:rsid w:val="00237760"/>
    <w:rsid w:val="00251355"/>
    <w:rsid w:val="0025751C"/>
    <w:rsid w:val="002606F0"/>
    <w:rsid w:val="00260E9A"/>
    <w:rsid w:val="00266939"/>
    <w:rsid w:val="002827D1"/>
    <w:rsid w:val="0029118B"/>
    <w:rsid w:val="002924F7"/>
    <w:rsid w:val="002B0ECB"/>
    <w:rsid w:val="002B1BC9"/>
    <w:rsid w:val="002B6307"/>
    <w:rsid w:val="002C19D2"/>
    <w:rsid w:val="002C1C57"/>
    <w:rsid w:val="002D5A05"/>
    <w:rsid w:val="002E6065"/>
    <w:rsid w:val="00312643"/>
    <w:rsid w:val="00315FCB"/>
    <w:rsid w:val="00324768"/>
    <w:rsid w:val="00324F05"/>
    <w:rsid w:val="0033291A"/>
    <w:rsid w:val="00336830"/>
    <w:rsid w:val="00341DE3"/>
    <w:rsid w:val="003421F5"/>
    <w:rsid w:val="00365BE4"/>
    <w:rsid w:val="00371E5B"/>
    <w:rsid w:val="00372B21"/>
    <w:rsid w:val="00390520"/>
    <w:rsid w:val="003A0416"/>
    <w:rsid w:val="003A2EA9"/>
    <w:rsid w:val="003A51CC"/>
    <w:rsid w:val="003B4E01"/>
    <w:rsid w:val="003B5E6D"/>
    <w:rsid w:val="003B61BB"/>
    <w:rsid w:val="003D0C98"/>
    <w:rsid w:val="003D1174"/>
    <w:rsid w:val="003E71EF"/>
    <w:rsid w:val="003F051B"/>
    <w:rsid w:val="003F385A"/>
    <w:rsid w:val="003F4EFA"/>
    <w:rsid w:val="00406A6E"/>
    <w:rsid w:val="00411990"/>
    <w:rsid w:val="004160B6"/>
    <w:rsid w:val="00417DF6"/>
    <w:rsid w:val="0042209B"/>
    <w:rsid w:val="00424D4A"/>
    <w:rsid w:val="004255E7"/>
    <w:rsid w:val="0042718C"/>
    <w:rsid w:val="00435B6E"/>
    <w:rsid w:val="00452CB3"/>
    <w:rsid w:val="00463796"/>
    <w:rsid w:val="004643FD"/>
    <w:rsid w:val="00464597"/>
    <w:rsid w:val="00483A27"/>
    <w:rsid w:val="00492A08"/>
    <w:rsid w:val="00493968"/>
    <w:rsid w:val="00496BC2"/>
    <w:rsid w:val="004B118C"/>
    <w:rsid w:val="004B6E4C"/>
    <w:rsid w:val="004C0E92"/>
    <w:rsid w:val="004C1D0C"/>
    <w:rsid w:val="004C20E5"/>
    <w:rsid w:val="004E1234"/>
    <w:rsid w:val="004E5148"/>
    <w:rsid w:val="004E522B"/>
    <w:rsid w:val="0051369B"/>
    <w:rsid w:val="00515720"/>
    <w:rsid w:val="00515764"/>
    <w:rsid w:val="00537096"/>
    <w:rsid w:val="0054348A"/>
    <w:rsid w:val="00556EC6"/>
    <w:rsid w:val="0056725D"/>
    <w:rsid w:val="00570C79"/>
    <w:rsid w:val="00571631"/>
    <w:rsid w:val="005720BB"/>
    <w:rsid w:val="00572A22"/>
    <w:rsid w:val="005748E9"/>
    <w:rsid w:val="00575727"/>
    <w:rsid w:val="0057747D"/>
    <w:rsid w:val="00577AFB"/>
    <w:rsid w:val="00585764"/>
    <w:rsid w:val="005A186D"/>
    <w:rsid w:val="005A6BDD"/>
    <w:rsid w:val="005D44AB"/>
    <w:rsid w:val="005E561A"/>
    <w:rsid w:val="005E6591"/>
    <w:rsid w:val="005F45BE"/>
    <w:rsid w:val="005F7365"/>
    <w:rsid w:val="00600A8E"/>
    <w:rsid w:val="00603F91"/>
    <w:rsid w:val="00621C9C"/>
    <w:rsid w:val="0062616B"/>
    <w:rsid w:val="006274CA"/>
    <w:rsid w:val="00627D86"/>
    <w:rsid w:val="0063602D"/>
    <w:rsid w:val="00656F49"/>
    <w:rsid w:val="0066461B"/>
    <w:rsid w:val="00665CBB"/>
    <w:rsid w:val="00674DE7"/>
    <w:rsid w:val="00682E5B"/>
    <w:rsid w:val="00684DC1"/>
    <w:rsid w:val="00695DB2"/>
    <w:rsid w:val="006A3B0E"/>
    <w:rsid w:val="006C025D"/>
    <w:rsid w:val="006C36C1"/>
    <w:rsid w:val="006C3740"/>
    <w:rsid w:val="006D67BC"/>
    <w:rsid w:val="006D7995"/>
    <w:rsid w:val="006F395F"/>
    <w:rsid w:val="006F7F4C"/>
    <w:rsid w:val="00703E42"/>
    <w:rsid w:val="00706DF3"/>
    <w:rsid w:val="00714897"/>
    <w:rsid w:val="00727CD8"/>
    <w:rsid w:val="00731437"/>
    <w:rsid w:val="007357EF"/>
    <w:rsid w:val="007406D1"/>
    <w:rsid w:val="00742C76"/>
    <w:rsid w:val="0074756C"/>
    <w:rsid w:val="007543B8"/>
    <w:rsid w:val="0075470D"/>
    <w:rsid w:val="00756F92"/>
    <w:rsid w:val="007604C3"/>
    <w:rsid w:val="00764641"/>
    <w:rsid w:val="00764E3D"/>
    <w:rsid w:val="00767D9D"/>
    <w:rsid w:val="00772026"/>
    <w:rsid w:val="00783F2B"/>
    <w:rsid w:val="0079377D"/>
    <w:rsid w:val="00794171"/>
    <w:rsid w:val="007B03A8"/>
    <w:rsid w:val="007B6681"/>
    <w:rsid w:val="007B7678"/>
    <w:rsid w:val="007B7957"/>
    <w:rsid w:val="007C1581"/>
    <w:rsid w:val="007C18C1"/>
    <w:rsid w:val="007C23BB"/>
    <w:rsid w:val="007D0A4A"/>
    <w:rsid w:val="007D4FB1"/>
    <w:rsid w:val="007F065A"/>
    <w:rsid w:val="007F2906"/>
    <w:rsid w:val="007F66A7"/>
    <w:rsid w:val="00802832"/>
    <w:rsid w:val="00803391"/>
    <w:rsid w:val="0080519F"/>
    <w:rsid w:val="00833560"/>
    <w:rsid w:val="00835E0F"/>
    <w:rsid w:val="00840ECF"/>
    <w:rsid w:val="00842BFE"/>
    <w:rsid w:val="00850163"/>
    <w:rsid w:val="00854586"/>
    <w:rsid w:val="0086380F"/>
    <w:rsid w:val="0087046A"/>
    <w:rsid w:val="00872323"/>
    <w:rsid w:val="008767A6"/>
    <w:rsid w:val="00877C29"/>
    <w:rsid w:val="00877E5E"/>
    <w:rsid w:val="00893B93"/>
    <w:rsid w:val="008A5825"/>
    <w:rsid w:val="008B0088"/>
    <w:rsid w:val="008B0EC4"/>
    <w:rsid w:val="008B0FDB"/>
    <w:rsid w:val="008D2BC0"/>
    <w:rsid w:val="008D5BF3"/>
    <w:rsid w:val="008E03A4"/>
    <w:rsid w:val="008E40BC"/>
    <w:rsid w:val="008E46B7"/>
    <w:rsid w:val="008E4FD4"/>
    <w:rsid w:val="008E70B7"/>
    <w:rsid w:val="00901754"/>
    <w:rsid w:val="00912BF4"/>
    <w:rsid w:val="00914D0C"/>
    <w:rsid w:val="00916087"/>
    <w:rsid w:val="00922C47"/>
    <w:rsid w:val="009244C7"/>
    <w:rsid w:val="00924909"/>
    <w:rsid w:val="00926610"/>
    <w:rsid w:val="00932148"/>
    <w:rsid w:val="00937FF8"/>
    <w:rsid w:val="00950E6C"/>
    <w:rsid w:val="00952135"/>
    <w:rsid w:val="00954B71"/>
    <w:rsid w:val="00961ED0"/>
    <w:rsid w:val="009623E6"/>
    <w:rsid w:val="0096656D"/>
    <w:rsid w:val="00970F21"/>
    <w:rsid w:val="009A0C6A"/>
    <w:rsid w:val="009A1478"/>
    <w:rsid w:val="009A73E0"/>
    <w:rsid w:val="009A75B0"/>
    <w:rsid w:val="009B4019"/>
    <w:rsid w:val="009D3B31"/>
    <w:rsid w:val="009D5404"/>
    <w:rsid w:val="009F4F10"/>
    <w:rsid w:val="009F574A"/>
    <w:rsid w:val="009F797C"/>
    <w:rsid w:val="00A00EBD"/>
    <w:rsid w:val="00A05042"/>
    <w:rsid w:val="00A05A9C"/>
    <w:rsid w:val="00A05F6B"/>
    <w:rsid w:val="00A21E24"/>
    <w:rsid w:val="00A441E5"/>
    <w:rsid w:val="00A56051"/>
    <w:rsid w:val="00A562A9"/>
    <w:rsid w:val="00A6098F"/>
    <w:rsid w:val="00A677A4"/>
    <w:rsid w:val="00A76B10"/>
    <w:rsid w:val="00A84CC0"/>
    <w:rsid w:val="00A879C6"/>
    <w:rsid w:val="00A90440"/>
    <w:rsid w:val="00A90604"/>
    <w:rsid w:val="00A91ABE"/>
    <w:rsid w:val="00A94D8F"/>
    <w:rsid w:val="00AA2B5C"/>
    <w:rsid w:val="00AB0DC5"/>
    <w:rsid w:val="00AB48C9"/>
    <w:rsid w:val="00AB4E72"/>
    <w:rsid w:val="00AB612D"/>
    <w:rsid w:val="00AC2237"/>
    <w:rsid w:val="00AD38F5"/>
    <w:rsid w:val="00AF0706"/>
    <w:rsid w:val="00AF7A84"/>
    <w:rsid w:val="00B001CE"/>
    <w:rsid w:val="00B02EE5"/>
    <w:rsid w:val="00B04B6F"/>
    <w:rsid w:val="00B17BD6"/>
    <w:rsid w:val="00B23AD4"/>
    <w:rsid w:val="00B318FA"/>
    <w:rsid w:val="00B43897"/>
    <w:rsid w:val="00B44A36"/>
    <w:rsid w:val="00B52061"/>
    <w:rsid w:val="00B552EA"/>
    <w:rsid w:val="00B70B6D"/>
    <w:rsid w:val="00B82E65"/>
    <w:rsid w:val="00B850C4"/>
    <w:rsid w:val="00B90A51"/>
    <w:rsid w:val="00B97205"/>
    <w:rsid w:val="00B97C25"/>
    <w:rsid w:val="00BA0546"/>
    <w:rsid w:val="00BA29E1"/>
    <w:rsid w:val="00BA32FE"/>
    <w:rsid w:val="00BB54FB"/>
    <w:rsid w:val="00BB6C67"/>
    <w:rsid w:val="00BC594E"/>
    <w:rsid w:val="00BD0023"/>
    <w:rsid w:val="00BE2DBD"/>
    <w:rsid w:val="00BF06C7"/>
    <w:rsid w:val="00BF41E4"/>
    <w:rsid w:val="00BF5D4F"/>
    <w:rsid w:val="00C10A45"/>
    <w:rsid w:val="00C17A23"/>
    <w:rsid w:val="00C2231F"/>
    <w:rsid w:val="00C23846"/>
    <w:rsid w:val="00C245B8"/>
    <w:rsid w:val="00C25C7F"/>
    <w:rsid w:val="00C302CC"/>
    <w:rsid w:val="00C31258"/>
    <w:rsid w:val="00C46544"/>
    <w:rsid w:val="00C610A8"/>
    <w:rsid w:val="00C70A5F"/>
    <w:rsid w:val="00C719C2"/>
    <w:rsid w:val="00C76CC9"/>
    <w:rsid w:val="00C91B50"/>
    <w:rsid w:val="00C97200"/>
    <w:rsid w:val="00CA1590"/>
    <w:rsid w:val="00CA1C0B"/>
    <w:rsid w:val="00CA451D"/>
    <w:rsid w:val="00CA46F8"/>
    <w:rsid w:val="00CB3246"/>
    <w:rsid w:val="00CC63C2"/>
    <w:rsid w:val="00CF03B4"/>
    <w:rsid w:val="00D049FC"/>
    <w:rsid w:val="00D14051"/>
    <w:rsid w:val="00D159B0"/>
    <w:rsid w:val="00D15FC0"/>
    <w:rsid w:val="00D439C0"/>
    <w:rsid w:val="00D47CD1"/>
    <w:rsid w:val="00D7414E"/>
    <w:rsid w:val="00D93890"/>
    <w:rsid w:val="00DA161D"/>
    <w:rsid w:val="00DA7B11"/>
    <w:rsid w:val="00DB3FC4"/>
    <w:rsid w:val="00DB5E6B"/>
    <w:rsid w:val="00DB5F44"/>
    <w:rsid w:val="00DC030D"/>
    <w:rsid w:val="00DC334F"/>
    <w:rsid w:val="00DC4615"/>
    <w:rsid w:val="00DC5093"/>
    <w:rsid w:val="00DD7F3E"/>
    <w:rsid w:val="00DE21F6"/>
    <w:rsid w:val="00DF40FB"/>
    <w:rsid w:val="00DF502C"/>
    <w:rsid w:val="00DF5BC5"/>
    <w:rsid w:val="00E0004C"/>
    <w:rsid w:val="00E034EB"/>
    <w:rsid w:val="00E03B82"/>
    <w:rsid w:val="00E04A23"/>
    <w:rsid w:val="00E130EB"/>
    <w:rsid w:val="00E13C5C"/>
    <w:rsid w:val="00E222A1"/>
    <w:rsid w:val="00E24BEB"/>
    <w:rsid w:val="00E2733E"/>
    <w:rsid w:val="00E276A5"/>
    <w:rsid w:val="00E35AEB"/>
    <w:rsid w:val="00E41FE9"/>
    <w:rsid w:val="00E66D81"/>
    <w:rsid w:val="00E7796C"/>
    <w:rsid w:val="00E90C85"/>
    <w:rsid w:val="00E96576"/>
    <w:rsid w:val="00EB402B"/>
    <w:rsid w:val="00EB4B33"/>
    <w:rsid w:val="00EC116C"/>
    <w:rsid w:val="00EC177A"/>
    <w:rsid w:val="00EC4079"/>
    <w:rsid w:val="00EC7074"/>
    <w:rsid w:val="00EC7932"/>
    <w:rsid w:val="00ED145D"/>
    <w:rsid w:val="00EF5AE2"/>
    <w:rsid w:val="00F01AD8"/>
    <w:rsid w:val="00F057A7"/>
    <w:rsid w:val="00F46B65"/>
    <w:rsid w:val="00F6368B"/>
    <w:rsid w:val="00F64171"/>
    <w:rsid w:val="00F70398"/>
    <w:rsid w:val="00F87ED4"/>
    <w:rsid w:val="00F91F42"/>
    <w:rsid w:val="00F9246D"/>
    <w:rsid w:val="00F930DE"/>
    <w:rsid w:val="00FA5023"/>
    <w:rsid w:val="00FB2E84"/>
    <w:rsid w:val="00FB5CE3"/>
    <w:rsid w:val="00FB65E6"/>
    <w:rsid w:val="00FC4AD9"/>
    <w:rsid w:val="00FC4FCE"/>
    <w:rsid w:val="00FD602B"/>
    <w:rsid w:val="00FD7DD2"/>
    <w:rsid w:val="00FE336A"/>
    <w:rsid w:val="00FF11BA"/>
    <w:rsid w:val="00FF2A73"/>
    <w:rsid w:val="00FF666E"/>
    <w:rsid w:val="00FF74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6554AB"/>
  <w15:docId w15:val="{9EDD3E9F-BCF5-4EAB-8E43-EF801A12A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B6D"/>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70B6D"/>
    <w:rPr>
      <w:sz w:val="20"/>
      <w:szCs w:val="20"/>
      <w:lang w:val="en-US"/>
    </w:rPr>
  </w:style>
  <w:style w:type="character" w:customStyle="1" w:styleId="FootnoteTextChar">
    <w:name w:val="Footnote Text Char"/>
    <w:basedOn w:val="DefaultParagraphFont"/>
    <w:link w:val="FootnoteText"/>
    <w:uiPriority w:val="99"/>
    <w:rsid w:val="00B70B6D"/>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B70B6D"/>
    <w:rPr>
      <w:vertAlign w:val="superscript"/>
    </w:rPr>
  </w:style>
  <w:style w:type="paragraph" w:customStyle="1" w:styleId="Char2">
    <w:name w:val="Char2"/>
    <w:basedOn w:val="Normal"/>
    <w:link w:val="FootnoteReference"/>
    <w:uiPriority w:val="99"/>
    <w:rsid w:val="00B70B6D"/>
    <w:pPr>
      <w:spacing w:after="160" w:line="240" w:lineRule="exact"/>
    </w:pPr>
    <w:rPr>
      <w:rFonts w:asciiTheme="minorHAnsi" w:eastAsiaTheme="minorHAnsi" w:hAnsiTheme="minorHAnsi" w:cstheme="minorBidi"/>
      <w:vertAlign w:val="superscript"/>
      <w:lang w:val="en-US"/>
    </w:rPr>
  </w:style>
  <w:style w:type="paragraph" w:customStyle="1" w:styleId="Paragrafi">
    <w:name w:val="Paragrafi"/>
    <w:link w:val="ParagrafiChar"/>
    <w:qFormat/>
    <w:rsid w:val="00B70B6D"/>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B70B6D"/>
    <w:rPr>
      <w:rFonts w:ascii="Garamond" w:eastAsia="MS Mincho" w:hAnsi="Garamond" w:cs="Times New Roman"/>
      <w:sz w:val="24"/>
    </w:rPr>
  </w:style>
  <w:style w:type="paragraph" w:customStyle="1" w:styleId="TEKSTIIII">
    <w:name w:val="TEKSTIIII"/>
    <w:basedOn w:val="Normal"/>
    <w:qFormat/>
    <w:rsid w:val="00AF0706"/>
    <w:pPr>
      <w:shd w:val="clear" w:color="auto" w:fill="FFFFFF"/>
      <w:spacing w:after="0" w:line="240" w:lineRule="auto"/>
      <w:ind w:firstLine="284"/>
      <w:jc w:val="both"/>
    </w:pPr>
    <w:rPr>
      <w:rFonts w:ascii="Garamond" w:hAnsi="Garamond"/>
      <w:sz w:val="24"/>
      <w:szCs w:val="24"/>
    </w:rPr>
  </w:style>
  <w:style w:type="character" w:customStyle="1" w:styleId="CommentTextChar">
    <w:name w:val="Comment Text Char"/>
    <w:basedOn w:val="DefaultParagraphFont"/>
    <w:link w:val="CommentText"/>
    <w:uiPriority w:val="99"/>
    <w:rsid w:val="00AF0706"/>
    <w:rPr>
      <w:rFonts w:ascii="Calibri" w:hAnsi="Calibri" w:cs="Calibri"/>
      <w:color w:val="000000"/>
      <w:sz w:val="20"/>
      <w:szCs w:val="20"/>
      <w:lang w:val="sq-AL"/>
    </w:rPr>
  </w:style>
  <w:style w:type="paragraph" w:styleId="CommentText">
    <w:name w:val="annotation text"/>
    <w:basedOn w:val="Normal"/>
    <w:link w:val="CommentTextChar"/>
    <w:uiPriority w:val="99"/>
    <w:rsid w:val="00AF0706"/>
    <w:pPr>
      <w:autoSpaceDE w:val="0"/>
      <w:autoSpaceDN w:val="0"/>
      <w:adjustRightInd w:val="0"/>
      <w:spacing w:line="276" w:lineRule="atLeast"/>
    </w:pPr>
    <w:rPr>
      <w:rFonts w:eastAsiaTheme="minorHAnsi" w:cs="Calibri"/>
      <w:color w:val="000000"/>
      <w:sz w:val="20"/>
      <w:szCs w:val="20"/>
    </w:rPr>
  </w:style>
  <w:style w:type="paragraph" w:styleId="ListParagraph">
    <w:name w:val="List Paragraph"/>
    <w:basedOn w:val="Normal"/>
    <w:uiPriority w:val="34"/>
    <w:qFormat/>
    <w:rsid w:val="00CF03B4"/>
    <w:pPr>
      <w:ind w:left="720"/>
      <w:contextualSpacing/>
    </w:pPr>
  </w:style>
  <w:style w:type="character" w:customStyle="1" w:styleId="BalloonTextChar">
    <w:name w:val="Balloon Text Char"/>
    <w:link w:val="BalloonText"/>
    <w:uiPriority w:val="99"/>
    <w:semiHidden/>
    <w:rsid w:val="003B61B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B61BB"/>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3B61BB"/>
    <w:rPr>
      <w:rFonts w:ascii="Tahoma" w:eastAsia="Calibri" w:hAnsi="Tahoma" w:cs="Tahoma"/>
      <w:sz w:val="16"/>
      <w:szCs w:val="16"/>
      <w:lang w:val="sq-AL"/>
    </w:rPr>
  </w:style>
  <w:style w:type="paragraph" w:styleId="Header">
    <w:name w:val="header"/>
    <w:basedOn w:val="Normal"/>
    <w:link w:val="HeaderChar"/>
    <w:uiPriority w:val="99"/>
    <w:unhideWhenUsed/>
    <w:rsid w:val="00C23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846"/>
    <w:rPr>
      <w:rFonts w:ascii="Calibri" w:eastAsia="Calibri" w:hAnsi="Calibri" w:cs="Times New Roman"/>
      <w:lang w:val="sq-AL"/>
    </w:rPr>
  </w:style>
  <w:style w:type="paragraph" w:styleId="Footer">
    <w:name w:val="footer"/>
    <w:basedOn w:val="Normal"/>
    <w:link w:val="FooterChar"/>
    <w:unhideWhenUsed/>
    <w:rsid w:val="00C23846"/>
    <w:pPr>
      <w:tabs>
        <w:tab w:val="center" w:pos="4680"/>
        <w:tab w:val="right" w:pos="9360"/>
      </w:tabs>
      <w:spacing w:after="0" w:line="240" w:lineRule="auto"/>
    </w:pPr>
  </w:style>
  <w:style w:type="character" w:customStyle="1" w:styleId="FooterChar">
    <w:name w:val="Footer Char"/>
    <w:basedOn w:val="DefaultParagraphFont"/>
    <w:link w:val="Footer"/>
    <w:rsid w:val="00C23846"/>
    <w:rPr>
      <w:rFonts w:ascii="Calibri" w:eastAsia="Calibri" w:hAnsi="Calibri" w:cs="Times New Roman"/>
      <w:lang w:val="sq-AL"/>
    </w:rPr>
  </w:style>
  <w:style w:type="character" w:customStyle="1" w:styleId="apple-style-span">
    <w:name w:val="apple-style-span"/>
    <w:basedOn w:val="DefaultParagraphFont"/>
    <w:uiPriority w:val="99"/>
    <w:rsid w:val="00C23846"/>
  </w:style>
  <w:style w:type="character" w:customStyle="1" w:styleId="hps">
    <w:name w:val="hps"/>
    <w:basedOn w:val="DefaultParagraphFont"/>
    <w:rsid w:val="00C23846"/>
  </w:style>
  <w:style w:type="character" w:customStyle="1" w:styleId="apple-converted-space">
    <w:name w:val="apple-converted-space"/>
    <w:basedOn w:val="DefaultParagraphFont"/>
    <w:uiPriority w:val="99"/>
    <w:rsid w:val="00C23846"/>
  </w:style>
  <w:style w:type="character" w:styleId="CommentReference">
    <w:name w:val="annotation reference"/>
    <w:uiPriority w:val="99"/>
    <w:semiHidden/>
    <w:unhideWhenUsed/>
    <w:rsid w:val="00C23846"/>
    <w:rPr>
      <w:sz w:val="16"/>
      <w:szCs w:val="16"/>
    </w:rPr>
  </w:style>
  <w:style w:type="paragraph" w:styleId="CommentSubject">
    <w:name w:val="annotation subject"/>
    <w:basedOn w:val="CommentText"/>
    <w:next w:val="CommentText"/>
    <w:link w:val="CommentSubjectChar"/>
    <w:uiPriority w:val="99"/>
    <w:semiHidden/>
    <w:unhideWhenUsed/>
    <w:rsid w:val="00C23846"/>
    <w:pPr>
      <w:autoSpaceDE/>
      <w:autoSpaceDN/>
      <w:adjustRightInd/>
      <w:spacing w:line="240" w:lineRule="auto"/>
    </w:pPr>
    <w:rPr>
      <w:rFonts w:eastAsia="Calibri" w:cs="Times New Roman"/>
      <w:b/>
      <w:bCs/>
      <w:color w:val="auto"/>
      <w:lang w:val="x-none" w:eastAsia="x-none"/>
    </w:rPr>
  </w:style>
  <w:style w:type="character" w:customStyle="1" w:styleId="CommentSubjectChar">
    <w:name w:val="Comment Subject Char"/>
    <w:basedOn w:val="CommentTextChar"/>
    <w:link w:val="CommentSubject"/>
    <w:uiPriority w:val="99"/>
    <w:semiHidden/>
    <w:rsid w:val="00C23846"/>
    <w:rPr>
      <w:rFonts w:ascii="Calibri" w:eastAsia="Calibri" w:hAnsi="Calibri" w:cs="Times New Roman"/>
      <w:b/>
      <w:bCs/>
      <w:color w:val="000000"/>
      <w:sz w:val="20"/>
      <w:szCs w:val="20"/>
      <w:lang w:val="x-none" w:eastAsia="x-none"/>
    </w:rPr>
  </w:style>
  <w:style w:type="paragraph" w:styleId="BodyText">
    <w:name w:val="Body Text"/>
    <w:basedOn w:val="Normal"/>
    <w:link w:val="BodyTextChar"/>
    <w:uiPriority w:val="1"/>
    <w:qFormat/>
    <w:rsid w:val="00C23846"/>
    <w:pPr>
      <w:widowControl w:val="0"/>
      <w:autoSpaceDE w:val="0"/>
      <w:autoSpaceDN w:val="0"/>
      <w:adjustRightInd w:val="0"/>
      <w:spacing w:after="0" w:line="240" w:lineRule="auto"/>
      <w:ind w:hanging="279"/>
    </w:pPr>
    <w:rPr>
      <w:rFonts w:ascii="Times New Roman" w:eastAsia="Times New Roman" w:hAnsi="Times New Roman"/>
      <w:sz w:val="17"/>
      <w:szCs w:val="17"/>
      <w:lang w:val="x-none" w:eastAsia="x-none"/>
    </w:rPr>
  </w:style>
  <w:style w:type="character" w:customStyle="1" w:styleId="BodyTextChar">
    <w:name w:val="Body Text Char"/>
    <w:basedOn w:val="DefaultParagraphFont"/>
    <w:link w:val="BodyText"/>
    <w:uiPriority w:val="1"/>
    <w:rsid w:val="00C23846"/>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C23846"/>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CM1">
    <w:name w:val="CM1"/>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paragraph" w:customStyle="1" w:styleId="CM3">
    <w:name w:val="CM3"/>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table" w:styleId="TableGrid">
    <w:name w:val="Table Grid"/>
    <w:basedOn w:val="TableNormal"/>
    <w:uiPriority w:val="59"/>
    <w:rsid w:val="00C23846"/>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23846"/>
  </w:style>
  <w:style w:type="numbering" w:customStyle="1" w:styleId="NoList2">
    <w:name w:val="No List2"/>
    <w:next w:val="NoList"/>
    <w:uiPriority w:val="99"/>
    <w:semiHidden/>
    <w:unhideWhenUsed/>
    <w:rsid w:val="00C23846"/>
  </w:style>
  <w:style w:type="table" w:customStyle="1" w:styleId="TableGrid1">
    <w:name w:val="Table Grid1"/>
    <w:basedOn w:val="TableNormal"/>
    <w:next w:val="TableGrid"/>
    <w:uiPriority w:val="39"/>
    <w:rsid w:val="00C23846"/>
    <w:pPr>
      <w:spacing w:after="0" w:line="240" w:lineRule="auto"/>
    </w:pPr>
    <w:rPr>
      <w:rFonts w:ascii="Calibri" w:eastAsia="Calibri" w:hAnsi="Calibri"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C23846"/>
    <w:pPr>
      <w:spacing w:after="0" w:line="240" w:lineRule="auto"/>
    </w:pPr>
    <w:rPr>
      <w:rFonts w:ascii="Calibri" w:eastAsia="Calibri" w:hAnsi="Calibri" w:cs="Times New Roman"/>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C23846"/>
    <w:pPr>
      <w:spacing w:after="0" w:line="240" w:lineRule="auto"/>
    </w:pPr>
    <w:rPr>
      <w:rFonts w:ascii="Calibri" w:eastAsia="Calibri" w:hAnsi="Calibri" w:cs="Times New Roman"/>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uiPriority w:val="43"/>
    <w:rsid w:val="00C23846"/>
    <w:pPr>
      <w:spacing w:after="0" w:line="240" w:lineRule="auto"/>
    </w:pPr>
    <w:rPr>
      <w:rFonts w:ascii="Calibri" w:eastAsia="Calibri" w:hAnsi="Calibri" w:cs="Times New Roman"/>
      <w:lang w:val="sq-AL"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23846"/>
    <w:pPr>
      <w:spacing w:after="0" w:line="240" w:lineRule="auto"/>
    </w:pPr>
    <w:rPr>
      <w:rFonts w:ascii="Calibri" w:eastAsia="Calibri" w:hAnsi="Calibri" w:cs="Times New Roman"/>
      <w:lang w:val="sq-AL" w:eastAsia="sq-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C23846"/>
    <w:pPr>
      <w:spacing w:after="0" w:line="240" w:lineRule="auto"/>
    </w:pPr>
    <w:rPr>
      <w:rFonts w:ascii="Calibri" w:eastAsia="Calibri" w:hAnsi="Calibri" w:cs="Times New Roman"/>
      <w:lang w:val="sq-AL" w:eastAsia="sq-AL"/>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C23846"/>
    <w:pPr>
      <w:spacing w:after="0" w:line="240" w:lineRule="auto"/>
    </w:pPr>
    <w:rPr>
      <w:rFonts w:ascii="Calibri" w:eastAsia="Calibri" w:hAnsi="Calibri" w:cs="Times New Roman"/>
      <w:lang w:val="sq-AL"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C23846"/>
    <w:pPr>
      <w:spacing w:after="0" w:line="240" w:lineRule="auto"/>
    </w:pPr>
    <w:rPr>
      <w:rFonts w:ascii="Calibri" w:eastAsia="Calibri" w:hAnsi="Calibri" w:cs="Times New Roman"/>
      <w:lang w:val="sq-AL" w:eastAsia="sq-AL"/>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C23846"/>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C238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846"/>
    <w:rPr>
      <w:rFonts w:ascii="Calibri" w:eastAsia="Calibri" w:hAnsi="Calibri" w:cs="Times New Roman"/>
      <w:sz w:val="20"/>
      <w:szCs w:val="20"/>
      <w:lang w:val="sq-AL"/>
    </w:rPr>
  </w:style>
  <w:style w:type="character" w:styleId="EndnoteReference">
    <w:name w:val="endnote reference"/>
    <w:uiPriority w:val="99"/>
    <w:semiHidden/>
    <w:unhideWhenUsed/>
    <w:rsid w:val="00C23846"/>
    <w:rPr>
      <w:vertAlign w:val="superscript"/>
    </w:rPr>
  </w:style>
  <w:style w:type="paragraph" w:styleId="NoSpacing">
    <w:name w:val="No Spacing"/>
    <w:uiPriority w:val="1"/>
    <w:qFormat/>
    <w:rsid w:val="00C23846"/>
    <w:pPr>
      <w:spacing w:after="0" w:line="240" w:lineRule="auto"/>
    </w:pPr>
    <w:rPr>
      <w:rFonts w:ascii="Calibri" w:eastAsia="Calibri" w:hAnsi="Calibri" w:cs="Times New Roman"/>
    </w:rPr>
  </w:style>
  <w:style w:type="paragraph" w:customStyle="1" w:styleId="Default">
    <w:name w:val="Default"/>
    <w:rsid w:val="00C23846"/>
    <w:pPr>
      <w:autoSpaceDE w:val="0"/>
      <w:autoSpaceDN w:val="0"/>
      <w:adjustRightInd w:val="0"/>
      <w:spacing w:after="0" w:line="240" w:lineRule="auto"/>
    </w:pPr>
    <w:rPr>
      <w:rFonts w:ascii="Garamond" w:eastAsia="Calibri" w:hAnsi="Garamond" w:cs="Garamond"/>
      <w:color w:val="000000"/>
      <w:sz w:val="24"/>
      <w:szCs w:val="24"/>
      <w:lang w:val="sq-AL" w:eastAsia="sq-AL"/>
    </w:rPr>
  </w:style>
  <w:style w:type="character" w:styleId="Hyperlink">
    <w:name w:val="Hyperlink"/>
    <w:unhideWhenUsed/>
    <w:rsid w:val="00C23846"/>
    <w:rPr>
      <w:color w:val="0000FF"/>
      <w:u w:val="single"/>
    </w:rPr>
  </w:style>
  <w:style w:type="character" w:customStyle="1" w:styleId="superscript">
    <w:name w:val="superscript"/>
    <w:rsid w:val="00C23846"/>
  </w:style>
  <w:style w:type="paragraph" w:customStyle="1" w:styleId="tbl-norm">
    <w:name w:val="tbl-norm"/>
    <w:basedOn w:val="Normal"/>
    <w:rsid w:val="00C23846"/>
    <w:pPr>
      <w:spacing w:before="100" w:beforeAutospacing="1" w:after="100" w:afterAutospacing="1" w:line="240" w:lineRule="auto"/>
    </w:pPr>
    <w:rPr>
      <w:rFonts w:ascii="Times New Roman" w:eastAsia="Times New Roman" w:hAnsi="Times New Roman"/>
      <w:sz w:val="24"/>
      <w:szCs w:val="24"/>
      <w:lang w:val="en-US"/>
    </w:rPr>
  </w:style>
  <w:style w:type="paragraph" w:styleId="Title">
    <w:name w:val="Title"/>
    <w:basedOn w:val="Normal"/>
    <w:link w:val="TitleChar"/>
    <w:qFormat/>
    <w:rsid w:val="00835E0F"/>
    <w:pPr>
      <w:spacing w:after="0" w:line="240" w:lineRule="auto"/>
      <w:jc w:val="center"/>
    </w:pPr>
    <w:rPr>
      <w:rFonts w:ascii="Times New Roman" w:eastAsia="Times New Roman" w:hAnsi="Times New Roman"/>
      <w:b/>
      <w:sz w:val="24"/>
      <w:szCs w:val="20"/>
      <w:lang w:val="x-none" w:eastAsia="x-none"/>
    </w:rPr>
  </w:style>
  <w:style w:type="character" w:customStyle="1" w:styleId="TitleChar">
    <w:name w:val="Title Char"/>
    <w:basedOn w:val="DefaultParagraphFont"/>
    <w:link w:val="Title"/>
    <w:rsid w:val="00835E0F"/>
    <w:rPr>
      <w:rFonts w:ascii="Times New Roman" w:eastAsia="Times New Roman" w:hAnsi="Times New Roman" w:cs="Times New Roman"/>
      <w:b/>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170838">
      <w:bodyDiv w:val="1"/>
      <w:marLeft w:val="0"/>
      <w:marRight w:val="0"/>
      <w:marTop w:val="0"/>
      <w:marBottom w:val="0"/>
      <w:divBdr>
        <w:top w:val="none" w:sz="0" w:space="0" w:color="auto"/>
        <w:left w:val="none" w:sz="0" w:space="0" w:color="auto"/>
        <w:bottom w:val="none" w:sz="0" w:space="0" w:color="auto"/>
        <w:right w:val="none" w:sz="0" w:space="0" w:color="auto"/>
      </w:divBdr>
      <w:divsChild>
        <w:div w:id="1467619972">
          <w:marLeft w:val="0"/>
          <w:marRight w:val="0"/>
          <w:marTop w:val="0"/>
          <w:marBottom w:val="0"/>
          <w:divBdr>
            <w:top w:val="none" w:sz="0" w:space="0" w:color="auto"/>
            <w:left w:val="none" w:sz="0" w:space="0" w:color="auto"/>
            <w:bottom w:val="none" w:sz="0" w:space="0" w:color="auto"/>
            <w:right w:val="none" w:sz="0" w:space="0" w:color="auto"/>
          </w:divBdr>
        </w:div>
        <w:div w:id="990786997">
          <w:marLeft w:val="0"/>
          <w:marRight w:val="0"/>
          <w:marTop w:val="0"/>
          <w:marBottom w:val="0"/>
          <w:divBdr>
            <w:top w:val="none" w:sz="0" w:space="0" w:color="auto"/>
            <w:left w:val="none" w:sz="0" w:space="0" w:color="auto"/>
            <w:bottom w:val="none" w:sz="0" w:space="0" w:color="auto"/>
            <w:right w:val="none" w:sz="0" w:space="0" w:color="auto"/>
          </w:divBdr>
        </w:div>
        <w:div w:id="1877111598">
          <w:marLeft w:val="0"/>
          <w:marRight w:val="0"/>
          <w:marTop w:val="0"/>
          <w:marBottom w:val="0"/>
          <w:divBdr>
            <w:top w:val="none" w:sz="0" w:space="0" w:color="auto"/>
            <w:left w:val="none" w:sz="0" w:space="0" w:color="auto"/>
            <w:bottom w:val="none" w:sz="0" w:space="0" w:color="auto"/>
            <w:right w:val="none" w:sz="0" w:space="0" w:color="auto"/>
          </w:divBdr>
        </w:div>
        <w:div w:id="1489400845">
          <w:marLeft w:val="0"/>
          <w:marRight w:val="0"/>
          <w:marTop w:val="0"/>
          <w:marBottom w:val="0"/>
          <w:divBdr>
            <w:top w:val="none" w:sz="0" w:space="0" w:color="auto"/>
            <w:left w:val="none" w:sz="0" w:space="0" w:color="auto"/>
            <w:bottom w:val="none" w:sz="0" w:space="0" w:color="auto"/>
            <w:right w:val="none" w:sz="0" w:space="0" w:color="auto"/>
          </w:divBdr>
        </w:div>
        <w:div w:id="938681665">
          <w:marLeft w:val="0"/>
          <w:marRight w:val="0"/>
          <w:marTop w:val="0"/>
          <w:marBottom w:val="0"/>
          <w:divBdr>
            <w:top w:val="none" w:sz="0" w:space="0" w:color="auto"/>
            <w:left w:val="none" w:sz="0" w:space="0" w:color="auto"/>
            <w:bottom w:val="none" w:sz="0" w:space="0" w:color="auto"/>
            <w:right w:val="none" w:sz="0" w:space="0" w:color="auto"/>
          </w:divBdr>
        </w:div>
        <w:div w:id="1093354251">
          <w:marLeft w:val="0"/>
          <w:marRight w:val="0"/>
          <w:marTop w:val="0"/>
          <w:marBottom w:val="0"/>
          <w:divBdr>
            <w:top w:val="none" w:sz="0" w:space="0" w:color="auto"/>
            <w:left w:val="none" w:sz="0" w:space="0" w:color="auto"/>
            <w:bottom w:val="none" w:sz="0" w:space="0" w:color="auto"/>
            <w:right w:val="none" w:sz="0" w:space="0" w:color="auto"/>
          </w:divBdr>
        </w:div>
        <w:div w:id="169368464">
          <w:marLeft w:val="0"/>
          <w:marRight w:val="0"/>
          <w:marTop w:val="0"/>
          <w:marBottom w:val="0"/>
          <w:divBdr>
            <w:top w:val="none" w:sz="0" w:space="0" w:color="auto"/>
            <w:left w:val="none" w:sz="0" w:space="0" w:color="auto"/>
            <w:bottom w:val="none" w:sz="0" w:space="0" w:color="auto"/>
            <w:right w:val="none" w:sz="0" w:space="0" w:color="auto"/>
          </w:divBdr>
        </w:div>
        <w:div w:id="1356733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399</Nr_x002e__x0020_akti>
    <Data_x0020_e_x0020_Krijimit xmlns="0e656187-b300-4fb0-8bf4-3a50f872073c">2023-07-12T09:34:55Z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miratimin e rekomandimit GFCM/45/2022/11 "Mbi standardet minimale për menaxhimin e zonave të kufizuara të peshkimit"</Titulli>
    <Modifikuesi xmlns="0e656187-b300-4fb0-8bf4-3a50f872073c">alma.lisaku</Modifikuesi>
    <Nr_x002e__x0020_prot_x0020_QBZ xmlns="0e656187-b300-4fb0-8bf4-3a50f872073c">1051/1</Nr_x002e__x0020_prot_x0020_QBZ>
    <Data_x0020_e_x0020_Modifikimit xmlns="0e656187-b300-4fb0-8bf4-3a50f872073c">2023-07-14T08:10:45Z</Data_x0020_e_x0020_Modifikimit>
    <Dekretuar xmlns="0e656187-b300-4fb0-8bf4-3a50f872073c">false</Dekretuar>
    <Data xmlns="0e656187-b300-4fb0-8bf4-3a50f872073c">2023-07-05T22:00:00Z</Data>
    <Nr_x002e__x0020_protokolli_x0020_i_x0020_aktit xmlns="0e656187-b300-4fb0-8bf4-3a50f872073c">3758/2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C2805741FDF4438887AC37B4ACE2B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329AB-A677-4775-9FA9-3E253C97F329}">
  <ds:schemaRefs>
    <ds:schemaRef ds:uri="http://purl.org/dc/dcmitype/"/>
    <ds:schemaRef ds:uri="http://purl.org/dc/terms/"/>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83919553-A064-49B7-B9FB-533B61E82AD0}">
  <ds:schemaRefs>
    <ds:schemaRef ds:uri="http://schemas.microsoft.com/sharepoint/v3/contenttype/forms"/>
  </ds:schemaRefs>
</ds:datastoreItem>
</file>

<file path=customXml/itemProps3.xml><?xml version="1.0" encoding="utf-8"?>
<ds:datastoreItem xmlns:ds="http://schemas.openxmlformats.org/officeDocument/2006/customXml" ds:itemID="{A6D78359-86BE-4BC0-866D-A89E8A8A5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CBE3F6-8D39-4D7F-9502-ACC6C5118E74}">
  <ds:schemaRefs>
    <ds:schemaRef ds:uri="http://schemas.openxmlformats.org/officeDocument/2006/bibliography"/>
  </ds:schemaRefs>
</ds:datastoreItem>
</file>

<file path=customXml/itemProps5.xml><?xml version="1.0" encoding="utf-8"?>
<ds:datastoreItem xmlns:ds="http://schemas.openxmlformats.org/officeDocument/2006/customXml" ds:itemID="{AFC1920D-64CF-4184-A2F7-917551F5A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Për miratimin e rekomandimit GFCM/45/2022/11 "Mbi standardet minimale për menaxhimin e zonave të kufizuara të peshkimit"</vt:lpstr>
    </vt:vector>
  </TitlesOfParts>
  <Company/>
  <LinksUpToDate>false</LinksUpToDate>
  <CharactersWithSpaces>17856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rekomandimit GFCM/45/2022/11 "Mbi standardet minimale për menaxhimin e zonave të kufizuara të peshkimit"</dc:title>
  <dc:creator>Ermira Bukaci</dc:creator>
  <cp:lastModifiedBy>Alma Lisaku</cp:lastModifiedBy>
  <cp:revision>46</cp:revision>
  <cp:lastPrinted>2023-06-13T13:49:00Z</cp:lastPrinted>
  <dcterms:created xsi:type="dcterms:W3CDTF">2023-07-12T09:33:00Z</dcterms:created>
  <dcterms:modified xsi:type="dcterms:W3CDTF">2023-07-14T08:18:00Z</dcterms:modified>
</cp:coreProperties>
</file>