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067B6" w14:textId="12A8CE39" w:rsidR="00C532CB" w:rsidRPr="0096371A" w:rsidRDefault="00E65793" w:rsidP="00E6579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96371A">
        <w:rPr>
          <w:rFonts w:ascii="Garamond" w:hAnsi="Garamond"/>
          <w:b/>
          <w:sz w:val="24"/>
          <w:lang w:val="sq-AL"/>
        </w:rPr>
        <w:t>URDHËR</w:t>
      </w:r>
    </w:p>
    <w:p w14:paraId="6BEFC178" w14:textId="427C5F99" w:rsidR="000F74B6" w:rsidRPr="0096371A" w:rsidRDefault="00E65793" w:rsidP="00E6579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96371A">
        <w:rPr>
          <w:rFonts w:ascii="Garamond" w:hAnsi="Garamond"/>
          <w:b/>
          <w:sz w:val="24"/>
          <w:lang w:val="sq-AL"/>
        </w:rPr>
        <w:t>Nr</w:t>
      </w:r>
      <w:r w:rsidR="005276E4" w:rsidRPr="0096371A">
        <w:rPr>
          <w:rFonts w:ascii="Garamond" w:hAnsi="Garamond"/>
          <w:b/>
          <w:sz w:val="24"/>
          <w:lang w:val="sq-AL"/>
        </w:rPr>
        <w:t xml:space="preserve">. </w:t>
      </w:r>
      <w:r w:rsidR="00114237" w:rsidRPr="0096371A">
        <w:rPr>
          <w:rFonts w:ascii="Garamond" w:hAnsi="Garamond"/>
          <w:b/>
          <w:sz w:val="24"/>
          <w:lang w:val="sq-AL"/>
        </w:rPr>
        <w:t>141, dat</w:t>
      </w:r>
      <w:r w:rsidR="0096371A">
        <w:rPr>
          <w:rFonts w:ascii="Garamond" w:hAnsi="Garamond"/>
          <w:b/>
          <w:sz w:val="24"/>
          <w:lang w:val="sq-AL"/>
        </w:rPr>
        <w:t>ë</w:t>
      </w:r>
      <w:r w:rsidR="00114237" w:rsidRPr="0096371A">
        <w:rPr>
          <w:rFonts w:ascii="Garamond" w:hAnsi="Garamond"/>
          <w:b/>
          <w:sz w:val="24"/>
          <w:lang w:val="sq-AL"/>
        </w:rPr>
        <w:t xml:space="preserve"> 29.2</w:t>
      </w:r>
      <w:r w:rsidR="00C04D7A" w:rsidRPr="0096371A">
        <w:rPr>
          <w:rFonts w:ascii="Garamond" w:hAnsi="Garamond"/>
          <w:b/>
          <w:sz w:val="24"/>
          <w:lang w:val="sq-AL"/>
        </w:rPr>
        <w:t>.2024</w:t>
      </w:r>
    </w:p>
    <w:p w14:paraId="5A17CDC4" w14:textId="77777777" w:rsidR="001754A2" w:rsidRPr="0096371A" w:rsidRDefault="001754A2" w:rsidP="00E6579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00993986" w14:textId="65D62CEB" w:rsidR="001754A2" w:rsidRPr="0096371A" w:rsidRDefault="001754A2" w:rsidP="00E6579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96371A">
        <w:rPr>
          <w:rFonts w:ascii="Garamond" w:hAnsi="Garamond"/>
          <w:b/>
          <w:sz w:val="24"/>
          <w:lang w:val="sq-AL"/>
        </w:rPr>
        <w:t>PËR</w:t>
      </w:r>
      <w:r w:rsidR="00E65793" w:rsidRPr="0096371A">
        <w:rPr>
          <w:rFonts w:ascii="Garamond" w:hAnsi="Garamond"/>
          <w:b/>
          <w:sz w:val="24"/>
          <w:lang w:val="sq-AL"/>
        </w:rPr>
        <w:t xml:space="preserve"> </w:t>
      </w:r>
      <w:r w:rsidRPr="0096371A">
        <w:rPr>
          <w:rFonts w:ascii="Garamond" w:hAnsi="Garamond"/>
          <w:b/>
          <w:sz w:val="24"/>
          <w:lang w:val="sq-AL"/>
        </w:rPr>
        <w:t>DISA SHTESA DHE NDRYSHIME NË URDHRIN NR. 139/1, DATË 7.4.2017</w:t>
      </w:r>
      <w:r w:rsidR="0096371A">
        <w:rPr>
          <w:rFonts w:ascii="Garamond" w:hAnsi="Garamond"/>
          <w:b/>
          <w:sz w:val="24"/>
          <w:lang w:val="sq-AL"/>
        </w:rPr>
        <w:t>,</w:t>
      </w:r>
      <w:r w:rsidRPr="0096371A">
        <w:rPr>
          <w:rFonts w:ascii="Garamond" w:hAnsi="Garamond"/>
          <w:b/>
          <w:sz w:val="24"/>
          <w:lang w:val="sq-AL"/>
        </w:rPr>
        <w:t xml:space="preserve"> “PËR SUBSTANCAT AKTIVE FARMAKOLOGJIKE DHE KLASIFIKIMIN E TYRE NË LIDHJE ME KUFIJTË MAKSIMALË TË MBETJEVE NË PRODUKTET USHQIMORE ME ORIGJINË SHTAZORE”</w:t>
      </w:r>
      <w:r w:rsidRPr="0096371A">
        <w:rPr>
          <w:rFonts w:ascii="Garamond" w:hAnsi="Garamond"/>
          <w:b/>
          <w:sz w:val="24"/>
          <w:vertAlign w:val="superscript"/>
          <w:lang w:val="sq-AL"/>
        </w:rPr>
        <w:footnoteReference w:id="2"/>
      </w:r>
      <w:r w:rsidR="0096371A" w:rsidRPr="0096371A">
        <w:rPr>
          <w:rFonts w:ascii="Garamond" w:hAnsi="Garamond"/>
          <w:b/>
          <w:sz w:val="24"/>
          <w:vertAlign w:val="superscript"/>
          <w:lang w:val="sq-AL"/>
        </w:rPr>
        <w:t xml:space="preserve">, </w:t>
      </w:r>
      <w:r w:rsidRPr="0096371A">
        <w:rPr>
          <w:rFonts w:ascii="Garamond" w:hAnsi="Garamond"/>
          <w:b/>
          <w:sz w:val="24"/>
          <w:vertAlign w:val="superscript"/>
          <w:lang w:val="sq-AL"/>
        </w:rPr>
        <w:footnoteReference w:id="3"/>
      </w:r>
      <w:r w:rsidR="0096371A" w:rsidRPr="0096371A">
        <w:rPr>
          <w:rFonts w:ascii="Garamond" w:hAnsi="Garamond"/>
          <w:b/>
          <w:sz w:val="24"/>
          <w:vertAlign w:val="superscript"/>
          <w:lang w:val="sq-AL"/>
        </w:rPr>
        <w:t xml:space="preserve">, </w:t>
      </w:r>
      <w:r w:rsidRPr="0096371A">
        <w:rPr>
          <w:rFonts w:ascii="Garamond" w:hAnsi="Garamond"/>
          <w:b/>
          <w:sz w:val="24"/>
          <w:vertAlign w:val="superscript"/>
          <w:lang w:val="sq-AL"/>
        </w:rPr>
        <w:footnoteReference w:id="4"/>
      </w:r>
      <w:r w:rsidR="0096371A" w:rsidRPr="0096371A">
        <w:rPr>
          <w:rFonts w:ascii="Garamond" w:hAnsi="Garamond"/>
          <w:b/>
          <w:sz w:val="24"/>
          <w:vertAlign w:val="superscript"/>
          <w:lang w:val="sq-AL"/>
        </w:rPr>
        <w:t xml:space="preserve">, </w:t>
      </w:r>
      <w:r w:rsidRPr="0096371A">
        <w:rPr>
          <w:rFonts w:ascii="Garamond" w:hAnsi="Garamond"/>
          <w:b/>
          <w:sz w:val="24"/>
          <w:vertAlign w:val="superscript"/>
          <w:lang w:val="sq-AL"/>
        </w:rPr>
        <w:footnoteReference w:id="5"/>
      </w:r>
    </w:p>
    <w:p w14:paraId="114085A0" w14:textId="77777777" w:rsidR="001754A2" w:rsidRPr="0096371A" w:rsidRDefault="001754A2" w:rsidP="00E65793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73530A96" w14:textId="52079A3B" w:rsidR="001754A2" w:rsidRPr="0096371A" w:rsidRDefault="001754A2" w:rsidP="007953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371A">
        <w:rPr>
          <w:rFonts w:ascii="Garamond" w:hAnsi="Garamond"/>
          <w:sz w:val="24"/>
          <w:lang w:val="sq-AL"/>
        </w:rPr>
        <w:t>Në mbështetje të nenit 102, pika 4</w:t>
      </w:r>
      <w:r w:rsidR="00BC5C7B">
        <w:rPr>
          <w:rFonts w:ascii="Garamond" w:hAnsi="Garamond"/>
          <w:sz w:val="24"/>
          <w:lang w:val="sq-AL"/>
        </w:rPr>
        <w:t>,</w:t>
      </w:r>
      <w:r w:rsidRPr="0096371A">
        <w:rPr>
          <w:rFonts w:ascii="Garamond" w:hAnsi="Garamond"/>
          <w:sz w:val="24"/>
          <w:lang w:val="sq-AL"/>
        </w:rPr>
        <w:t xml:space="preserve"> </w:t>
      </w:r>
      <w:r w:rsidR="00BC5C7B">
        <w:rPr>
          <w:rFonts w:ascii="Garamond" w:hAnsi="Garamond"/>
          <w:sz w:val="24"/>
          <w:lang w:val="sq-AL"/>
        </w:rPr>
        <w:t>të</w:t>
      </w:r>
      <w:r w:rsidRPr="0096371A">
        <w:rPr>
          <w:rFonts w:ascii="Garamond" w:hAnsi="Garamond"/>
          <w:sz w:val="24"/>
          <w:lang w:val="sq-AL"/>
        </w:rPr>
        <w:t xml:space="preserve"> Kushtetutës, </w:t>
      </w:r>
      <w:r w:rsidR="00BC5C7B">
        <w:rPr>
          <w:rFonts w:ascii="Garamond" w:hAnsi="Garamond"/>
          <w:sz w:val="24"/>
          <w:lang w:val="sq-AL"/>
        </w:rPr>
        <w:t xml:space="preserve">të </w:t>
      </w:r>
      <w:r w:rsidRPr="0096371A">
        <w:rPr>
          <w:rFonts w:ascii="Garamond" w:hAnsi="Garamond"/>
          <w:sz w:val="24"/>
          <w:lang w:val="sq-AL"/>
        </w:rPr>
        <w:t xml:space="preserve">pikës 3, të nenit 81, të </w:t>
      </w:r>
      <w:r w:rsidR="00BC5C7B" w:rsidRPr="0096371A">
        <w:rPr>
          <w:rFonts w:ascii="Garamond" w:hAnsi="Garamond"/>
          <w:sz w:val="24"/>
          <w:lang w:val="sq-AL"/>
        </w:rPr>
        <w:t>ligjit n</w:t>
      </w:r>
      <w:r w:rsidRPr="0096371A">
        <w:rPr>
          <w:rFonts w:ascii="Garamond" w:hAnsi="Garamond"/>
          <w:sz w:val="24"/>
          <w:lang w:val="sq-AL"/>
        </w:rPr>
        <w:t>r. 10465, datë 29.9.2011</w:t>
      </w:r>
      <w:r w:rsidR="00BC5C7B">
        <w:rPr>
          <w:rFonts w:ascii="Garamond" w:hAnsi="Garamond"/>
          <w:sz w:val="24"/>
          <w:lang w:val="sq-AL"/>
        </w:rPr>
        <w:t>,</w:t>
      </w:r>
      <w:r w:rsidRPr="0096371A">
        <w:rPr>
          <w:rFonts w:ascii="Garamond" w:hAnsi="Garamond"/>
          <w:sz w:val="24"/>
          <w:lang w:val="sq-AL"/>
        </w:rPr>
        <w:t xml:space="preserve"> “Për shërbimin veterinar në Republikën e Shqipërisë”, të ndryshuar, </w:t>
      </w:r>
    </w:p>
    <w:p w14:paraId="53CA226D" w14:textId="77777777" w:rsidR="001754A2" w:rsidRPr="0096371A" w:rsidRDefault="001754A2" w:rsidP="007953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C97907C" w14:textId="70FC0977" w:rsidR="001754A2" w:rsidRPr="0096371A" w:rsidRDefault="001754A2" w:rsidP="0079532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6371A">
        <w:rPr>
          <w:rFonts w:ascii="Garamond" w:hAnsi="Garamond"/>
          <w:sz w:val="24"/>
          <w:lang w:val="sq-AL"/>
        </w:rPr>
        <w:t>URDHËROJ:</w:t>
      </w:r>
    </w:p>
    <w:p w14:paraId="1004133E" w14:textId="77777777" w:rsidR="00E65793" w:rsidRPr="0096371A" w:rsidRDefault="00E65793" w:rsidP="007953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D8E9334" w14:textId="66D678EC" w:rsidR="001754A2" w:rsidRPr="0096371A" w:rsidRDefault="00E65793" w:rsidP="007953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371A">
        <w:rPr>
          <w:rFonts w:ascii="Garamond" w:hAnsi="Garamond"/>
          <w:sz w:val="24"/>
          <w:lang w:val="sq-AL"/>
        </w:rPr>
        <w:t xml:space="preserve">1. </w:t>
      </w:r>
      <w:r w:rsidR="001754A2" w:rsidRPr="0096371A">
        <w:rPr>
          <w:rFonts w:ascii="Garamond" w:hAnsi="Garamond"/>
          <w:sz w:val="24"/>
          <w:lang w:val="sq-AL"/>
        </w:rPr>
        <w:t>Në tabelën 1, “substancat e lejuara”, të shtojcës “</w:t>
      </w:r>
      <w:bookmarkStart w:id="0" w:name="_Hlk157590602"/>
      <w:r w:rsidR="001754A2" w:rsidRPr="0096371A">
        <w:rPr>
          <w:rFonts w:ascii="Garamond" w:hAnsi="Garamond"/>
          <w:sz w:val="24"/>
          <w:lang w:val="sq-AL"/>
        </w:rPr>
        <w:t>Substancat aktive farmakologjike dhe klasifikimi i tyre sipas maksimumit të lejuar të mbetjeve (</w:t>
      </w:r>
      <w:proofErr w:type="spellStart"/>
      <w:r w:rsidR="001754A2" w:rsidRPr="0096371A">
        <w:rPr>
          <w:rFonts w:ascii="Garamond" w:hAnsi="Garamond"/>
          <w:sz w:val="24"/>
          <w:lang w:val="sq-AL"/>
        </w:rPr>
        <w:t>LMM</w:t>
      </w:r>
      <w:proofErr w:type="spellEnd"/>
      <w:r w:rsidR="001754A2" w:rsidRPr="0096371A">
        <w:rPr>
          <w:rFonts w:ascii="Garamond" w:hAnsi="Garamond"/>
          <w:sz w:val="24"/>
          <w:lang w:val="sq-AL"/>
        </w:rPr>
        <w:t xml:space="preserve">)”, bashkëlidhur </w:t>
      </w:r>
      <w:bookmarkEnd w:id="0"/>
      <w:r w:rsidR="00BC5C7B" w:rsidRPr="0096371A">
        <w:rPr>
          <w:rFonts w:ascii="Garamond" w:hAnsi="Garamond"/>
          <w:sz w:val="24"/>
          <w:lang w:val="sq-AL"/>
        </w:rPr>
        <w:t>urdhrit nr</w:t>
      </w:r>
      <w:r w:rsidR="001754A2" w:rsidRPr="0096371A">
        <w:rPr>
          <w:rFonts w:ascii="Garamond" w:hAnsi="Garamond"/>
          <w:sz w:val="24"/>
          <w:lang w:val="sq-AL"/>
        </w:rPr>
        <w:t>. 139/1, datë 7.4.2017</w:t>
      </w:r>
      <w:r w:rsidR="00BC5C7B">
        <w:rPr>
          <w:rFonts w:ascii="Garamond" w:hAnsi="Garamond"/>
          <w:sz w:val="24"/>
          <w:lang w:val="sq-AL"/>
        </w:rPr>
        <w:t>,</w:t>
      </w:r>
      <w:r w:rsidR="001754A2" w:rsidRPr="0096371A">
        <w:rPr>
          <w:rFonts w:ascii="Garamond" w:hAnsi="Garamond"/>
          <w:sz w:val="24"/>
          <w:lang w:val="sq-AL"/>
        </w:rPr>
        <w:t xml:space="preserve"> “Për substancat aktive farmakologjike dhe klasifikimin e tyre</w:t>
      </w:r>
      <w:r w:rsidR="00BC5C7B">
        <w:rPr>
          <w:rFonts w:ascii="Garamond" w:hAnsi="Garamond"/>
          <w:sz w:val="24"/>
          <w:lang w:val="sq-AL"/>
        </w:rPr>
        <w:t>,</w:t>
      </w:r>
      <w:r w:rsidR="001754A2" w:rsidRPr="0096371A">
        <w:rPr>
          <w:rFonts w:ascii="Garamond" w:hAnsi="Garamond"/>
          <w:sz w:val="24"/>
          <w:lang w:val="sq-AL"/>
        </w:rPr>
        <w:t xml:space="preserve"> në lidhje me kufijtë maksimalë të mbetjeve në produktet ushqimore me origjinë shtazore”, bëhen disa shtesa dhe </w:t>
      </w:r>
      <w:r w:rsidR="00BC5C7B" w:rsidRPr="0096371A">
        <w:rPr>
          <w:rFonts w:ascii="Garamond" w:hAnsi="Garamond"/>
          <w:sz w:val="24"/>
          <w:lang w:val="sq-AL"/>
        </w:rPr>
        <w:t>ndryshime</w:t>
      </w:r>
      <w:r w:rsidR="00BC5C7B">
        <w:rPr>
          <w:rFonts w:ascii="Garamond" w:hAnsi="Garamond"/>
          <w:sz w:val="24"/>
          <w:lang w:val="sq-AL"/>
        </w:rPr>
        <w:t>,</w:t>
      </w:r>
      <w:r w:rsidR="001754A2" w:rsidRPr="0096371A">
        <w:rPr>
          <w:rFonts w:ascii="Garamond" w:hAnsi="Garamond"/>
          <w:sz w:val="24"/>
          <w:lang w:val="sq-AL"/>
        </w:rPr>
        <w:t xml:space="preserve"> si vijon: </w:t>
      </w:r>
    </w:p>
    <w:p w14:paraId="35D7DDD9" w14:textId="77777777" w:rsidR="001754A2" w:rsidRPr="0096371A" w:rsidRDefault="001754A2" w:rsidP="001754A2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3E4102E6" w14:textId="456D8BD0" w:rsidR="001754A2" w:rsidRPr="0096371A" w:rsidRDefault="001754A2" w:rsidP="001754A2">
      <w:pPr>
        <w:spacing w:after="0" w:line="276" w:lineRule="auto"/>
        <w:contextualSpacing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96371A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SHTOJC</w:t>
      </w:r>
      <w:r w:rsidR="0096371A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Ë</w:t>
      </w:r>
    </w:p>
    <w:p w14:paraId="5F1902B3" w14:textId="77777777" w:rsidR="001754A2" w:rsidRPr="0096371A" w:rsidRDefault="001754A2" w:rsidP="001754A2">
      <w:pPr>
        <w:spacing w:after="0" w:line="276" w:lineRule="auto"/>
        <w:contextualSpacing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bookmarkStart w:id="1" w:name="_Hlk157590548"/>
      <w:r w:rsidRPr="0096371A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SUBSTANCAT AKTIVE FARMAKOLOGJIKE DHE KLASIFIKIMI I TYRE SIPAS MAKSIMUMIT TË LEJUAR TË MBETJEVE (</w:t>
      </w:r>
      <w:proofErr w:type="spellStart"/>
      <w:r w:rsidRPr="0096371A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LMM</w:t>
      </w:r>
      <w:proofErr w:type="spellEnd"/>
      <w:r w:rsidRPr="0096371A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)</w:t>
      </w:r>
    </w:p>
    <w:bookmarkEnd w:id="1"/>
    <w:p w14:paraId="5D89825D" w14:textId="77777777" w:rsidR="001754A2" w:rsidRPr="0096371A" w:rsidRDefault="001754A2" w:rsidP="001754A2">
      <w:pPr>
        <w:spacing w:after="0" w:line="276" w:lineRule="auto"/>
        <w:contextualSpacing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</w:p>
    <w:p w14:paraId="643C050D" w14:textId="0A1F5978" w:rsidR="001754A2" w:rsidRPr="0096371A" w:rsidRDefault="001754A2" w:rsidP="0096371A">
      <w:pPr>
        <w:spacing w:after="0" w:line="276" w:lineRule="auto"/>
        <w:contextualSpacing/>
        <w:jc w:val="center"/>
        <w:rPr>
          <w:rFonts w:ascii="Garamond" w:eastAsia="Times New Roman" w:hAnsi="Garamond" w:cs="Times New Roman"/>
          <w:bCs/>
          <w:i/>
          <w:iCs/>
          <w:color w:val="000000" w:themeColor="text1"/>
          <w:sz w:val="24"/>
          <w:szCs w:val="24"/>
          <w:lang w:val="sq-AL"/>
        </w:rPr>
      </w:pPr>
      <w:r w:rsidRPr="0096371A">
        <w:rPr>
          <w:rFonts w:ascii="Garamond" w:eastAsia="Times New Roman" w:hAnsi="Garamond" w:cs="Times New Roman"/>
          <w:b/>
          <w:i/>
          <w:iCs/>
          <w:color w:val="000000" w:themeColor="text1"/>
          <w:sz w:val="24"/>
          <w:szCs w:val="24"/>
          <w:lang w:val="sq-AL"/>
        </w:rPr>
        <w:t>Tabela 1</w:t>
      </w:r>
      <w:r w:rsidR="0096371A" w:rsidRPr="0096371A">
        <w:rPr>
          <w:rFonts w:ascii="Garamond" w:eastAsia="Times New Roman" w:hAnsi="Garamond" w:cs="Times New Roman"/>
          <w:b/>
          <w:i/>
          <w:iCs/>
          <w:color w:val="000000" w:themeColor="text1"/>
          <w:sz w:val="24"/>
          <w:szCs w:val="24"/>
          <w:lang w:val="sq-AL"/>
        </w:rPr>
        <w:t>.</w:t>
      </w:r>
      <w:r w:rsidR="0096371A" w:rsidRPr="0096371A">
        <w:rPr>
          <w:rFonts w:ascii="Garamond" w:eastAsia="Times New Roman" w:hAnsi="Garamond" w:cs="Times New Roman"/>
          <w:bCs/>
          <w:i/>
          <w:iCs/>
          <w:color w:val="000000" w:themeColor="text1"/>
          <w:sz w:val="24"/>
          <w:szCs w:val="24"/>
          <w:lang w:val="sq-AL"/>
        </w:rPr>
        <w:t xml:space="preserve"> </w:t>
      </w:r>
      <w:r w:rsidRPr="0096371A">
        <w:rPr>
          <w:rFonts w:ascii="Garamond" w:eastAsia="Times New Roman" w:hAnsi="Garamond" w:cs="Times New Roman"/>
          <w:bCs/>
          <w:i/>
          <w:iCs/>
          <w:color w:val="000000" w:themeColor="text1"/>
          <w:sz w:val="24"/>
          <w:szCs w:val="24"/>
          <w:lang w:val="sq-AL"/>
        </w:rPr>
        <w:t>Substancat e lejuara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62"/>
        <w:gridCol w:w="1331"/>
        <w:gridCol w:w="1331"/>
        <w:gridCol w:w="1328"/>
        <w:gridCol w:w="1331"/>
        <w:gridCol w:w="1332"/>
        <w:gridCol w:w="1335"/>
      </w:tblGrid>
      <w:tr w:rsidR="001754A2" w:rsidRPr="0096371A" w14:paraId="3FF5CDEC" w14:textId="77777777" w:rsidTr="0096371A">
        <w:trPr>
          <w:trHeight w:val="20"/>
          <w:jc w:val="center"/>
        </w:trPr>
        <w:tc>
          <w:tcPr>
            <w:tcW w:w="1362" w:type="dxa"/>
            <w:vAlign w:val="center"/>
          </w:tcPr>
          <w:p w14:paraId="61395C5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</w:pPr>
            <w:bookmarkStart w:id="2" w:name="_Hlk157762517"/>
            <w:r w:rsidRPr="0096371A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Substanca aktive farmakologjike</w:t>
            </w:r>
          </w:p>
        </w:tc>
        <w:tc>
          <w:tcPr>
            <w:tcW w:w="1331" w:type="dxa"/>
            <w:vAlign w:val="center"/>
          </w:tcPr>
          <w:p w14:paraId="7099235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Lloji i mbetjeve</w:t>
            </w:r>
          </w:p>
        </w:tc>
        <w:tc>
          <w:tcPr>
            <w:tcW w:w="1331" w:type="dxa"/>
            <w:vAlign w:val="center"/>
          </w:tcPr>
          <w:p w14:paraId="3DEDAC5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Lloji i kafshës</w:t>
            </w:r>
          </w:p>
        </w:tc>
        <w:tc>
          <w:tcPr>
            <w:tcW w:w="1328" w:type="dxa"/>
            <w:vAlign w:val="center"/>
          </w:tcPr>
          <w:p w14:paraId="61F9DA5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</w:pPr>
            <w:proofErr w:type="spellStart"/>
            <w:r w:rsidRPr="0096371A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LMM</w:t>
            </w:r>
            <w:proofErr w:type="spellEnd"/>
          </w:p>
        </w:tc>
        <w:tc>
          <w:tcPr>
            <w:tcW w:w="1331" w:type="dxa"/>
            <w:vAlign w:val="center"/>
          </w:tcPr>
          <w:p w14:paraId="493995FE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Lloji i indeve</w:t>
            </w:r>
          </w:p>
        </w:tc>
        <w:tc>
          <w:tcPr>
            <w:tcW w:w="1332" w:type="dxa"/>
            <w:vAlign w:val="center"/>
          </w:tcPr>
          <w:p w14:paraId="413C0412" w14:textId="5B9D3161" w:rsidR="001754A2" w:rsidRPr="0096371A" w:rsidRDefault="001754A2" w:rsidP="004D2442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Dispozita të tjera në përputhje (me nenin 6, pika 7</w:t>
            </w:r>
            <w:r w:rsidR="00BC5C7B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,</w:t>
            </w:r>
            <w:r w:rsidRPr="0096371A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 xml:space="preserve"> të urdhrit 363</w:t>
            </w:r>
            <w:r w:rsidR="00BC5C7B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,</w:t>
            </w:r>
            <w:r w:rsidRPr="0096371A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 xml:space="preserve"> datë 3</w:t>
            </w:r>
            <w:r w:rsidR="00BC5C7B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.</w:t>
            </w:r>
            <w:r w:rsidRPr="0096371A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1</w:t>
            </w:r>
            <w:r w:rsidR="00BC5C7B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.</w:t>
            </w:r>
            <w:r w:rsidRPr="0096371A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2013</w:t>
            </w:r>
          </w:p>
        </w:tc>
        <w:tc>
          <w:tcPr>
            <w:tcW w:w="1335" w:type="dxa"/>
            <w:vAlign w:val="center"/>
          </w:tcPr>
          <w:p w14:paraId="3674F55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b/>
                <w:bCs/>
                <w:sz w:val="18"/>
                <w:szCs w:val="20"/>
                <w:lang w:val="sq-AL"/>
              </w:rPr>
              <w:t>Klasifikimi terapeutik</w:t>
            </w:r>
          </w:p>
        </w:tc>
      </w:tr>
      <w:tr w:rsidR="001754A2" w:rsidRPr="0096371A" w14:paraId="37BBECBF" w14:textId="77777777" w:rsidTr="0096371A">
        <w:trPr>
          <w:trHeight w:val="20"/>
          <w:jc w:val="center"/>
        </w:trPr>
        <w:tc>
          <w:tcPr>
            <w:tcW w:w="1362" w:type="dxa"/>
            <w:vMerge w:val="restart"/>
            <w:vAlign w:val="center"/>
          </w:tcPr>
          <w:p w14:paraId="53E9A81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Ketoprofen</w:t>
            </w:r>
            <w:proofErr w:type="spellEnd"/>
          </w:p>
        </w:tc>
        <w:tc>
          <w:tcPr>
            <w:tcW w:w="1331" w:type="dxa"/>
            <w:vMerge w:val="restart"/>
            <w:vAlign w:val="center"/>
          </w:tcPr>
          <w:p w14:paraId="45E2F7B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aplikohet</w:t>
            </w:r>
          </w:p>
          <w:p w14:paraId="2F44F9A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042A1F9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5F098B0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0C26D8A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Align w:val="center"/>
          </w:tcPr>
          <w:p w14:paraId="4952E52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Gjedhë,</w:t>
            </w:r>
          </w:p>
        </w:tc>
        <w:tc>
          <w:tcPr>
            <w:tcW w:w="1328" w:type="dxa"/>
            <w:vMerge w:val="restart"/>
            <w:vAlign w:val="center"/>
          </w:tcPr>
          <w:p w14:paraId="0C2DB22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Nuk kërkohet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LMM</w:t>
            </w:r>
            <w:proofErr w:type="spellEnd"/>
          </w:p>
        </w:tc>
        <w:tc>
          <w:tcPr>
            <w:tcW w:w="1331" w:type="dxa"/>
            <w:vMerge w:val="restart"/>
            <w:vAlign w:val="center"/>
          </w:tcPr>
          <w:p w14:paraId="501869B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aplikohet</w:t>
            </w:r>
          </w:p>
        </w:tc>
        <w:tc>
          <w:tcPr>
            <w:tcW w:w="1332" w:type="dxa"/>
            <w:vMerge w:val="restart"/>
            <w:vAlign w:val="center"/>
          </w:tcPr>
          <w:p w14:paraId="539C92B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përfshihet</w:t>
            </w:r>
          </w:p>
        </w:tc>
        <w:tc>
          <w:tcPr>
            <w:tcW w:w="1335" w:type="dxa"/>
            <w:vMerge w:val="restart"/>
            <w:vAlign w:val="center"/>
          </w:tcPr>
          <w:p w14:paraId="38B5F67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përfshihet</w:t>
            </w:r>
          </w:p>
        </w:tc>
      </w:tr>
      <w:tr w:rsidR="001754A2" w:rsidRPr="0096371A" w14:paraId="6067E81E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3F762ED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33F06EB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Align w:val="center"/>
          </w:tcPr>
          <w:p w14:paraId="29D500B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Derr,</w:t>
            </w:r>
          </w:p>
        </w:tc>
        <w:tc>
          <w:tcPr>
            <w:tcW w:w="1328" w:type="dxa"/>
            <w:vMerge/>
            <w:vAlign w:val="center"/>
          </w:tcPr>
          <w:p w14:paraId="6B88F47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001896B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2" w:type="dxa"/>
            <w:vMerge/>
            <w:vAlign w:val="center"/>
          </w:tcPr>
          <w:p w14:paraId="4A599CC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6AE14D8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60EF725F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0D40AA0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04C7B44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Align w:val="center"/>
          </w:tcPr>
          <w:p w14:paraId="7C5C94B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Kuaj</w:t>
            </w:r>
          </w:p>
        </w:tc>
        <w:tc>
          <w:tcPr>
            <w:tcW w:w="1328" w:type="dxa"/>
            <w:vMerge/>
            <w:vAlign w:val="center"/>
          </w:tcPr>
          <w:p w14:paraId="06C1E07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56CBE5C1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2" w:type="dxa"/>
            <w:vMerge/>
            <w:vAlign w:val="center"/>
          </w:tcPr>
          <w:p w14:paraId="6739F86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35FA5DD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25A2E790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5D03A23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 w:val="restart"/>
            <w:vAlign w:val="center"/>
          </w:tcPr>
          <w:p w14:paraId="6F7313E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Ketoprofen</w:t>
            </w:r>
            <w:proofErr w:type="spellEnd"/>
          </w:p>
          <w:p w14:paraId="2CCFBC1E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 w:val="restart"/>
            <w:vAlign w:val="center"/>
          </w:tcPr>
          <w:p w14:paraId="3870A91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551370D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Shpend</w:t>
            </w:r>
          </w:p>
          <w:p w14:paraId="65DC6BE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5425470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3523A36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Muskul</w:t>
            </w:r>
          </w:p>
        </w:tc>
        <w:tc>
          <w:tcPr>
            <w:tcW w:w="1332" w:type="dxa"/>
            <w:vMerge w:val="restart"/>
            <w:vAlign w:val="center"/>
          </w:tcPr>
          <w:p w14:paraId="33406C8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Nuk përdoret në kafshët, vezët e të cilave prodhohen për </w:t>
            </w: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lastRenderedPageBreak/>
              <w:t>konsum njerëzor</w:t>
            </w:r>
          </w:p>
        </w:tc>
        <w:tc>
          <w:tcPr>
            <w:tcW w:w="1335" w:type="dxa"/>
            <w:vMerge w:val="restart"/>
            <w:vAlign w:val="center"/>
          </w:tcPr>
          <w:p w14:paraId="499137A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lastRenderedPageBreak/>
              <w:t>Nuk përfshihet</w:t>
            </w:r>
          </w:p>
          <w:p w14:paraId="6311317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603E435B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759A508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3C106DB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5D4DC624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0BB749E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30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119B72F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1397641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Lëkurë dhe dhjam në </w:t>
            </w: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lastRenderedPageBreak/>
              <w:t>proporcion natyral</w:t>
            </w:r>
          </w:p>
        </w:tc>
        <w:tc>
          <w:tcPr>
            <w:tcW w:w="1332" w:type="dxa"/>
            <w:vMerge/>
            <w:vAlign w:val="center"/>
          </w:tcPr>
          <w:p w14:paraId="31E6F2A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03F81B5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05614FAE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4FAAD6F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6805CAE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4146AFF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4FD9E76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758F559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16D3C01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Mëlçi</w:t>
            </w:r>
          </w:p>
        </w:tc>
        <w:tc>
          <w:tcPr>
            <w:tcW w:w="1332" w:type="dxa"/>
            <w:vMerge/>
            <w:vAlign w:val="center"/>
          </w:tcPr>
          <w:p w14:paraId="547D601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68DD1AF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28F6DFAE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013A6BAE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39419EC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2575AE8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2EB4919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6041F19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Veshkë</w:t>
            </w:r>
          </w:p>
        </w:tc>
        <w:tc>
          <w:tcPr>
            <w:tcW w:w="1332" w:type="dxa"/>
            <w:vMerge/>
            <w:vAlign w:val="center"/>
          </w:tcPr>
          <w:p w14:paraId="5CDE46B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564B7C92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4C61CF15" w14:textId="77777777" w:rsidTr="0096371A">
        <w:trPr>
          <w:trHeight w:val="20"/>
          <w:jc w:val="center"/>
        </w:trPr>
        <w:tc>
          <w:tcPr>
            <w:tcW w:w="1362" w:type="dxa"/>
            <w:vMerge w:val="restart"/>
            <w:vAlign w:val="center"/>
          </w:tcPr>
          <w:p w14:paraId="21EFEC9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Praziquantel</w:t>
            </w:r>
            <w:proofErr w:type="spellEnd"/>
          </w:p>
        </w:tc>
        <w:tc>
          <w:tcPr>
            <w:tcW w:w="1331" w:type="dxa"/>
            <w:vAlign w:val="center"/>
          </w:tcPr>
          <w:p w14:paraId="0C54BA5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aplikohet</w:t>
            </w:r>
          </w:p>
        </w:tc>
        <w:tc>
          <w:tcPr>
            <w:tcW w:w="1331" w:type="dxa"/>
            <w:vAlign w:val="center"/>
          </w:tcPr>
          <w:p w14:paraId="297D991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Në të gjithë ripërtypësit përveç gjedhit, kuajve</w:t>
            </w:r>
          </w:p>
        </w:tc>
        <w:tc>
          <w:tcPr>
            <w:tcW w:w="1328" w:type="dxa"/>
            <w:vAlign w:val="center"/>
          </w:tcPr>
          <w:p w14:paraId="5267AA8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Nuk kërkohet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LMM</w:t>
            </w:r>
            <w:proofErr w:type="spellEnd"/>
          </w:p>
        </w:tc>
        <w:tc>
          <w:tcPr>
            <w:tcW w:w="1331" w:type="dxa"/>
            <w:vAlign w:val="center"/>
          </w:tcPr>
          <w:p w14:paraId="6E05D15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aplikohet</w:t>
            </w:r>
          </w:p>
        </w:tc>
        <w:tc>
          <w:tcPr>
            <w:tcW w:w="1332" w:type="dxa"/>
            <w:vAlign w:val="center"/>
          </w:tcPr>
          <w:p w14:paraId="703CB75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përfshihet</w:t>
            </w:r>
          </w:p>
        </w:tc>
        <w:tc>
          <w:tcPr>
            <w:tcW w:w="1335" w:type="dxa"/>
            <w:vAlign w:val="center"/>
          </w:tcPr>
          <w:p w14:paraId="6452826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përfshihet</w:t>
            </w:r>
          </w:p>
        </w:tc>
      </w:tr>
      <w:tr w:rsidR="001754A2" w:rsidRPr="0096371A" w14:paraId="2D4C6C56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5F5249C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Align w:val="center"/>
          </w:tcPr>
          <w:p w14:paraId="72E4EF0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Praziquantel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 (shuma e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izomerëve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)</w:t>
            </w:r>
          </w:p>
        </w:tc>
        <w:tc>
          <w:tcPr>
            <w:tcW w:w="1331" w:type="dxa"/>
            <w:vAlign w:val="center"/>
          </w:tcPr>
          <w:p w14:paraId="53B3691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Fin fish</w:t>
            </w:r>
          </w:p>
        </w:tc>
        <w:tc>
          <w:tcPr>
            <w:tcW w:w="1328" w:type="dxa"/>
            <w:vAlign w:val="center"/>
          </w:tcPr>
          <w:p w14:paraId="24D36702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20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5D236E6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Muskul dhe lëkurë në proporcion natyral</w:t>
            </w:r>
          </w:p>
        </w:tc>
        <w:tc>
          <w:tcPr>
            <w:tcW w:w="1332" w:type="dxa"/>
            <w:vAlign w:val="center"/>
          </w:tcPr>
          <w:p w14:paraId="33501601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përfshihet</w:t>
            </w:r>
          </w:p>
        </w:tc>
        <w:tc>
          <w:tcPr>
            <w:tcW w:w="1335" w:type="dxa"/>
            <w:vAlign w:val="center"/>
          </w:tcPr>
          <w:p w14:paraId="2268E601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përfshihet</w:t>
            </w:r>
          </w:p>
        </w:tc>
      </w:tr>
      <w:tr w:rsidR="001754A2" w:rsidRPr="0096371A" w14:paraId="4FE92E9D" w14:textId="77777777" w:rsidTr="0096371A">
        <w:trPr>
          <w:trHeight w:val="20"/>
          <w:jc w:val="center"/>
        </w:trPr>
        <w:tc>
          <w:tcPr>
            <w:tcW w:w="1362" w:type="dxa"/>
            <w:vMerge w:val="restart"/>
            <w:vAlign w:val="center"/>
          </w:tcPr>
          <w:p w14:paraId="67E4ED04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5465A11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Rafoxanide</w:t>
            </w:r>
            <w:proofErr w:type="spellEnd"/>
          </w:p>
        </w:tc>
        <w:tc>
          <w:tcPr>
            <w:tcW w:w="1331" w:type="dxa"/>
            <w:vMerge w:val="restart"/>
            <w:vAlign w:val="center"/>
          </w:tcPr>
          <w:p w14:paraId="59E306F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758F105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Rafoxanide</w:t>
            </w:r>
            <w:proofErr w:type="spellEnd"/>
          </w:p>
        </w:tc>
        <w:tc>
          <w:tcPr>
            <w:tcW w:w="1331" w:type="dxa"/>
            <w:vMerge w:val="restart"/>
            <w:vAlign w:val="center"/>
          </w:tcPr>
          <w:p w14:paraId="0C73A97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4C37E5A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Në të gjithë ripërtypësit përveç dhenve</w:t>
            </w:r>
          </w:p>
          <w:p w14:paraId="1772522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17C72A4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30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4EAE3D9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Muskul</w:t>
            </w:r>
          </w:p>
        </w:tc>
        <w:tc>
          <w:tcPr>
            <w:tcW w:w="1332" w:type="dxa"/>
            <w:vMerge w:val="restart"/>
            <w:vAlign w:val="center"/>
          </w:tcPr>
          <w:p w14:paraId="0D7D8221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përfshihet</w:t>
            </w:r>
          </w:p>
        </w:tc>
        <w:tc>
          <w:tcPr>
            <w:tcW w:w="1335" w:type="dxa"/>
            <w:vMerge w:val="restart"/>
            <w:vAlign w:val="center"/>
          </w:tcPr>
          <w:p w14:paraId="22F5EF47" w14:textId="2D2D9172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Agjentë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antiparazitarë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/ Agjentët (që veprojnë) kundër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endoparazitëve</w:t>
            </w:r>
            <w:proofErr w:type="spellEnd"/>
          </w:p>
        </w:tc>
      </w:tr>
      <w:tr w:rsidR="001754A2" w:rsidRPr="0096371A" w14:paraId="7D61A217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3FAE233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168AABB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60EA22B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11425F6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30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3A53EB7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Dhjam</w:t>
            </w:r>
          </w:p>
        </w:tc>
        <w:tc>
          <w:tcPr>
            <w:tcW w:w="1332" w:type="dxa"/>
            <w:vMerge/>
            <w:vAlign w:val="center"/>
          </w:tcPr>
          <w:p w14:paraId="407CC1F1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0D291D9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292FE7FB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259443F1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43FF4A7E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33D9AAB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40776B1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40539902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Mëlçi</w:t>
            </w:r>
          </w:p>
        </w:tc>
        <w:tc>
          <w:tcPr>
            <w:tcW w:w="1332" w:type="dxa"/>
            <w:vMerge/>
            <w:vAlign w:val="center"/>
          </w:tcPr>
          <w:p w14:paraId="6221CB2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457B607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00542D97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2DE3579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05A4C3D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1CF972C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28B5498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40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4DD2CF4E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Veshkë</w:t>
            </w:r>
          </w:p>
        </w:tc>
        <w:tc>
          <w:tcPr>
            <w:tcW w:w="1332" w:type="dxa"/>
            <w:vMerge/>
            <w:vAlign w:val="center"/>
          </w:tcPr>
          <w:p w14:paraId="2B67C891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4786255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33AB8023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3865B44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30C2BB8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39A0EBD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6D84104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7E71AC6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Qumësht</w:t>
            </w:r>
          </w:p>
        </w:tc>
        <w:tc>
          <w:tcPr>
            <w:tcW w:w="1332" w:type="dxa"/>
            <w:vMerge/>
            <w:vAlign w:val="center"/>
          </w:tcPr>
          <w:p w14:paraId="69F04DE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42EA5AD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21927733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555F81A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4BFCB8D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 w:val="restart"/>
            <w:vAlign w:val="center"/>
          </w:tcPr>
          <w:p w14:paraId="394B97D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240C4854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Dhen</w:t>
            </w:r>
          </w:p>
          <w:p w14:paraId="063F8DB8" w14:textId="77777777" w:rsidR="001754A2" w:rsidRPr="0096371A" w:rsidRDefault="001754A2" w:rsidP="004D2442">
            <w:pPr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4F2C7F1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79149ED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271ED09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100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6434D7BE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Muskul</w:t>
            </w:r>
          </w:p>
        </w:tc>
        <w:tc>
          <w:tcPr>
            <w:tcW w:w="1332" w:type="dxa"/>
            <w:vMerge w:val="restart"/>
            <w:vAlign w:val="center"/>
          </w:tcPr>
          <w:p w14:paraId="5A45784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përfshihet</w:t>
            </w:r>
          </w:p>
        </w:tc>
        <w:tc>
          <w:tcPr>
            <w:tcW w:w="1335" w:type="dxa"/>
            <w:vMerge/>
            <w:vAlign w:val="center"/>
          </w:tcPr>
          <w:p w14:paraId="362416F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497F7569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0AF3951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3DABDB6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050D4A9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69F3A84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250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438C47D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Dhjam</w:t>
            </w:r>
          </w:p>
        </w:tc>
        <w:tc>
          <w:tcPr>
            <w:tcW w:w="1332" w:type="dxa"/>
            <w:vMerge/>
            <w:vAlign w:val="center"/>
          </w:tcPr>
          <w:p w14:paraId="77AD1A4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46D737A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379645EC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39C81244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4B717B5E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5B96959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3AF6D1C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150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29D9763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Mëlçi</w:t>
            </w:r>
          </w:p>
        </w:tc>
        <w:tc>
          <w:tcPr>
            <w:tcW w:w="1332" w:type="dxa"/>
            <w:vMerge/>
            <w:vAlign w:val="center"/>
          </w:tcPr>
          <w:p w14:paraId="1697D53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59DABD1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0CC73051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1B054BA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3533DBC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218304D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3A5C56C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150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037A31D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Veshkë</w:t>
            </w:r>
          </w:p>
        </w:tc>
        <w:tc>
          <w:tcPr>
            <w:tcW w:w="1332" w:type="dxa"/>
            <w:vMerge/>
            <w:vAlign w:val="center"/>
          </w:tcPr>
          <w:p w14:paraId="01D6D04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290054E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7190AC48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5095559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0C01443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27A3D5D1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534E7DD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053F069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Qumësht</w:t>
            </w:r>
          </w:p>
        </w:tc>
        <w:tc>
          <w:tcPr>
            <w:tcW w:w="1332" w:type="dxa"/>
            <w:vMerge/>
            <w:vAlign w:val="center"/>
          </w:tcPr>
          <w:p w14:paraId="5DED768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79E8C31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73F2718C" w14:textId="77777777" w:rsidTr="0096371A">
        <w:trPr>
          <w:trHeight w:val="20"/>
          <w:jc w:val="center"/>
        </w:trPr>
        <w:tc>
          <w:tcPr>
            <w:tcW w:w="1362" w:type="dxa"/>
            <w:vMerge w:val="restart"/>
            <w:vAlign w:val="center"/>
          </w:tcPr>
          <w:p w14:paraId="562E341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Toltrazuril</w:t>
            </w:r>
            <w:proofErr w:type="spellEnd"/>
          </w:p>
        </w:tc>
        <w:tc>
          <w:tcPr>
            <w:tcW w:w="1331" w:type="dxa"/>
            <w:vMerge w:val="restart"/>
            <w:vAlign w:val="center"/>
          </w:tcPr>
          <w:p w14:paraId="4590A8B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Toltrazuril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sulfone</w:t>
            </w:r>
            <w:proofErr w:type="spellEnd"/>
          </w:p>
        </w:tc>
        <w:tc>
          <w:tcPr>
            <w:tcW w:w="1331" w:type="dxa"/>
            <w:vMerge w:val="restart"/>
            <w:vAlign w:val="center"/>
          </w:tcPr>
          <w:p w14:paraId="59A5A9A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Në të gjitha llojet e gjitarëve që prodhojnë ushqim</w:t>
            </w:r>
          </w:p>
          <w:p w14:paraId="436A73D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65E9CDF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100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  <w:p w14:paraId="558FBA5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Align w:val="center"/>
          </w:tcPr>
          <w:p w14:paraId="05EDC474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Muskul</w:t>
            </w:r>
          </w:p>
        </w:tc>
        <w:tc>
          <w:tcPr>
            <w:tcW w:w="1332" w:type="dxa"/>
            <w:vMerge w:val="restart"/>
            <w:vAlign w:val="center"/>
          </w:tcPr>
          <w:p w14:paraId="0D9645E0" w14:textId="5FAFEB0B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Për speciet e derrit,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LMM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 e dhjamit lidhet me </w:t>
            </w:r>
            <w:r w:rsidR="00BC5C7B">
              <w:rPr>
                <w:rFonts w:ascii="Garamond" w:hAnsi="Garamond" w:cs="Times New Roman"/>
                <w:sz w:val="18"/>
                <w:szCs w:val="20"/>
                <w:lang w:val="sq-AL"/>
              </w:rPr>
              <w:t>“</w:t>
            </w: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lëkurën dhe dhjamin në proporcion natyral</w:t>
            </w:r>
            <w:r w:rsidR="00BC5C7B">
              <w:rPr>
                <w:rFonts w:ascii="Garamond" w:hAnsi="Garamond" w:cs="Times New Roman"/>
                <w:sz w:val="18"/>
                <w:szCs w:val="20"/>
                <w:lang w:val="sq-AL"/>
              </w:rPr>
              <w:t>”</w:t>
            </w: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.</w:t>
            </w:r>
          </w:p>
          <w:p w14:paraId="59034A8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përdoret në kafshët, qumështi i të cilëve prodhohet për konsum njerëzor.</w:t>
            </w:r>
          </w:p>
        </w:tc>
        <w:tc>
          <w:tcPr>
            <w:tcW w:w="1335" w:type="dxa"/>
            <w:vMerge w:val="restart"/>
            <w:vAlign w:val="center"/>
          </w:tcPr>
          <w:p w14:paraId="6E4F5165" w14:textId="47AF5A72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Agjentë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antiparazitar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/ </w:t>
            </w:r>
            <w:r w:rsidR="00BC5C7B"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agjentë </w:t>
            </w: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që veprojnë kundër protozoarëve</w:t>
            </w:r>
          </w:p>
        </w:tc>
      </w:tr>
      <w:tr w:rsidR="001754A2" w:rsidRPr="0096371A" w14:paraId="29A48B79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36FAEA64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52FED2C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14E8C49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40CB3D82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150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  <w:p w14:paraId="50037DD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Align w:val="center"/>
          </w:tcPr>
          <w:p w14:paraId="30FF843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Dhjam</w:t>
            </w:r>
          </w:p>
        </w:tc>
        <w:tc>
          <w:tcPr>
            <w:tcW w:w="1332" w:type="dxa"/>
            <w:vMerge/>
            <w:vAlign w:val="center"/>
          </w:tcPr>
          <w:p w14:paraId="5580D78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4ADA095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5CDA6F14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28875E0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6C2EE771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5E71BD0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4C6DB3C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500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  <w:p w14:paraId="2797756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Align w:val="center"/>
          </w:tcPr>
          <w:p w14:paraId="788081AE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Mëlçi</w:t>
            </w:r>
          </w:p>
        </w:tc>
        <w:tc>
          <w:tcPr>
            <w:tcW w:w="1332" w:type="dxa"/>
            <w:vMerge/>
            <w:vAlign w:val="center"/>
          </w:tcPr>
          <w:p w14:paraId="74FBDB0E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7D0FA92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0917993D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42E4279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45D0613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662F4BA2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3F7563F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250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1588B39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Veshkë</w:t>
            </w:r>
          </w:p>
        </w:tc>
        <w:tc>
          <w:tcPr>
            <w:tcW w:w="1332" w:type="dxa"/>
            <w:vMerge/>
            <w:vAlign w:val="center"/>
          </w:tcPr>
          <w:p w14:paraId="385EEF9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2D1B3D9E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649301AC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695E6D8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669CF95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 w:val="restart"/>
            <w:vAlign w:val="center"/>
          </w:tcPr>
          <w:p w14:paraId="2F16268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Shpendë</w:t>
            </w:r>
          </w:p>
        </w:tc>
        <w:tc>
          <w:tcPr>
            <w:tcW w:w="1328" w:type="dxa"/>
            <w:vAlign w:val="center"/>
          </w:tcPr>
          <w:p w14:paraId="7FD1753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100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218AAD34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Muskul</w:t>
            </w:r>
          </w:p>
        </w:tc>
        <w:tc>
          <w:tcPr>
            <w:tcW w:w="1332" w:type="dxa"/>
            <w:vMerge w:val="restart"/>
            <w:vAlign w:val="center"/>
          </w:tcPr>
          <w:p w14:paraId="60235ED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47FAF5E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01B7E8C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Nuk përfshihet</w:t>
            </w:r>
          </w:p>
          <w:p w14:paraId="0768B4B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56E9955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5A1318A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29A61C2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222E75BA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76B406D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73773A6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4008423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17E1AFE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200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4826A615" w14:textId="5D98227E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Lëkurë dhe </w:t>
            </w:r>
            <w:r w:rsidR="00BC5C7B"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dhjam</w:t>
            </w:r>
          </w:p>
        </w:tc>
        <w:tc>
          <w:tcPr>
            <w:tcW w:w="1332" w:type="dxa"/>
            <w:vMerge/>
            <w:vAlign w:val="center"/>
          </w:tcPr>
          <w:p w14:paraId="0DBE5A0F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5A91B08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767FCC90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6B672102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6E6A2BA8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7A19B574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475312D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600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5907552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Mëlçi</w:t>
            </w:r>
          </w:p>
        </w:tc>
        <w:tc>
          <w:tcPr>
            <w:tcW w:w="1332" w:type="dxa"/>
            <w:vMerge/>
            <w:vAlign w:val="center"/>
          </w:tcPr>
          <w:p w14:paraId="095B24E5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08A3299B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021F2BC6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1FD7A56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2EF21CD7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19494092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2A3EDA1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400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4840540E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Veshkë</w:t>
            </w:r>
          </w:p>
        </w:tc>
        <w:tc>
          <w:tcPr>
            <w:tcW w:w="1332" w:type="dxa"/>
            <w:vMerge/>
            <w:vAlign w:val="center"/>
          </w:tcPr>
          <w:p w14:paraId="66E5786C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0C49B130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tr w:rsidR="001754A2" w:rsidRPr="0096371A" w14:paraId="3C8D3D86" w14:textId="77777777" w:rsidTr="0096371A">
        <w:trPr>
          <w:trHeight w:val="20"/>
          <w:jc w:val="center"/>
        </w:trPr>
        <w:tc>
          <w:tcPr>
            <w:tcW w:w="1362" w:type="dxa"/>
            <w:vMerge/>
            <w:vAlign w:val="center"/>
          </w:tcPr>
          <w:p w14:paraId="00DEFA4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05349493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1" w:type="dxa"/>
            <w:vMerge/>
            <w:vAlign w:val="center"/>
          </w:tcPr>
          <w:p w14:paraId="4D346B8A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28" w:type="dxa"/>
            <w:vAlign w:val="center"/>
          </w:tcPr>
          <w:p w14:paraId="6F0E7749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140 </w:t>
            </w:r>
            <w:proofErr w:type="spellStart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μg</w:t>
            </w:r>
            <w:proofErr w:type="spellEnd"/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/kg</w:t>
            </w:r>
          </w:p>
        </w:tc>
        <w:tc>
          <w:tcPr>
            <w:tcW w:w="1331" w:type="dxa"/>
            <w:vAlign w:val="center"/>
          </w:tcPr>
          <w:p w14:paraId="19031BF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96371A">
              <w:rPr>
                <w:rFonts w:ascii="Garamond" w:hAnsi="Garamond" w:cs="Times New Roman"/>
                <w:sz w:val="18"/>
                <w:szCs w:val="20"/>
                <w:lang w:val="sq-AL"/>
              </w:rPr>
              <w:t>Vezë</w:t>
            </w:r>
          </w:p>
        </w:tc>
        <w:tc>
          <w:tcPr>
            <w:tcW w:w="1332" w:type="dxa"/>
            <w:vMerge/>
            <w:vAlign w:val="center"/>
          </w:tcPr>
          <w:p w14:paraId="2755851D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335" w:type="dxa"/>
            <w:vMerge/>
            <w:vAlign w:val="center"/>
          </w:tcPr>
          <w:p w14:paraId="16E078F6" w14:textId="77777777" w:rsidR="001754A2" w:rsidRPr="0096371A" w:rsidRDefault="001754A2" w:rsidP="004D2442">
            <w:pPr>
              <w:jc w:val="center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</w:tr>
      <w:bookmarkEnd w:id="2"/>
    </w:tbl>
    <w:p w14:paraId="117E1473" w14:textId="77777777" w:rsidR="001754A2" w:rsidRPr="0096371A" w:rsidRDefault="001754A2" w:rsidP="001754A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q-AL"/>
        </w:rPr>
      </w:pPr>
    </w:p>
    <w:p w14:paraId="3F198727" w14:textId="75F1D88F" w:rsidR="001754A2" w:rsidRPr="0096371A" w:rsidRDefault="00CD2F3E" w:rsidP="00CD2F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371A">
        <w:rPr>
          <w:rFonts w:ascii="Garamond" w:hAnsi="Garamond"/>
          <w:sz w:val="24"/>
          <w:lang w:val="sq-AL"/>
        </w:rPr>
        <w:t xml:space="preserve">2. </w:t>
      </w:r>
      <w:r w:rsidR="001754A2" w:rsidRPr="0096371A">
        <w:rPr>
          <w:rFonts w:ascii="Garamond" w:hAnsi="Garamond"/>
          <w:sz w:val="24"/>
          <w:lang w:val="sq-AL"/>
        </w:rPr>
        <w:t>Për zbatimin e këtij urdhri, ngarkohen Drejtoria e Përgjithshme e Zhvillimit në Fushën e Sigurisë Ushqimore, Veterinarisë, Mbrojtjes së Bimëve dhe Peshkimit, Autoriteti Kombëtar i Veterinarisë dhe Mbrojtjes së Bimëve, Autoriteti Kombëtar i Ushq</w:t>
      </w:r>
      <w:bookmarkStart w:id="3" w:name="_GoBack"/>
      <w:bookmarkEnd w:id="3"/>
      <w:r w:rsidR="001754A2" w:rsidRPr="0096371A">
        <w:rPr>
          <w:rFonts w:ascii="Garamond" w:hAnsi="Garamond"/>
          <w:sz w:val="24"/>
          <w:lang w:val="sq-AL"/>
        </w:rPr>
        <w:t>imit dhe Instituti i Sigurisë Ushqimore dhe Veterinarisë.</w:t>
      </w:r>
    </w:p>
    <w:p w14:paraId="52059DE6" w14:textId="77777777" w:rsidR="001754A2" w:rsidRPr="0096371A" w:rsidRDefault="001754A2" w:rsidP="00CD2F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371A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7C6CEE22" w14:textId="77777777" w:rsidR="001754A2" w:rsidRPr="0096371A" w:rsidRDefault="001754A2" w:rsidP="00CD2F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DB60BAC" w14:textId="77777777" w:rsidR="00CD2F3E" w:rsidRPr="0096371A" w:rsidRDefault="001754A2" w:rsidP="00CD2F3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6371A">
        <w:rPr>
          <w:rFonts w:ascii="Garamond" w:hAnsi="Garamond"/>
          <w:sz w:val="24"/>
          <w:lang w:val="sq-AL"/>
        </w:rPr>
        <w:t>MINISTËR</w:t>
      </w:r>
      <w:r w:rsidR="00401E9D" w:rsidRPr="0096371A">
        <w:rPr>
          <w:rFonts w:ascii="Garamond" w:hAnsi="Garamond"/>
          <w:sz w:val="24"/>
          <w:lang w:val="sq-AL"/>
        </w:rPr>
        <w:t xml:space="preserve"> </w:t>
      </w:r>
      <w:r w:rsidR="00CD2F3E" w:rsidRPr="0096371A">
        <w:rPr>
          <w:rFonts w:ascii="Garamond" w:hAnsi="Garamond"/>
          <w:sz w:val="24"/>
          <w:lang w:val="sq-AL"/>
        </w:rPr>
        <w:t xml:space="preserve">I </w:t>
      </w:r>
      <w:r w:rsidR="00401E9D" w:rsidRPr="0096371A">
        <w:rPr>
          <w:rFonts w:ascii="Garamond" w:hAnsi="Garamond"/>
          <w:sz w:val="24"/>
          <w:lang w:val="sq-AL"/>
        </w:rPr>
        <w:t xml:space="preserve">BUJQËSISË DHE </w:t>
      </w:r>
    </w:p>
    <w:p w14:paraId="2AAA19DF" w14:textId="7A0BB1EF" w:rsidR="00401E9D" w:rsidRPr="0096371A" w:rsidRDefault="00401E9D" w:rsidP="00CD2F3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6371A">
        <w:rPr>
          <w:rFonts w:ascii="Garamond" w:hAnsi="Garamond"/>
          <w:sz w:val="24"/>
          <w:lang w:val="sq-AL"/>
        </w:rPr>
        <w:t>ZHVILLIMIT RURAL</w:t>
      </w:r>
    </w:p>
    <w:p w14:paraId="6D081DB1" w14:textId="6B291129" w:rsidR="001754A2" w:rsidRPr="0096371A" w:rsidRDefault="00CD2F3E" w:rsidP="00CD2F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6371A">
        <w:rPr>
          <w:rFonts w:ascii="Garamond" w:hAnsi="Garamond"/>
          <w:b/>
          <w:sz w:val="24"/>
          <w:lang w:val="sq-AL"/>
        </w:rPr>
        <w:t xml:space="preserve">Anila </w:t>
      </w:r>
      <w:proofErr w:type="spellStart"/>
      <w:r w:rsidRPr="0096371A">
        <w:rPr>
          <w:rFonts w:ascii="Garamond" w:hAnsi="Garamond"/>
          <w:b/>
          <w:sz w:val="24"/>
          <w:lang w:val="sq-AL"/>
        </w:rPr>
        <w:t>Denaj</w:t>
      </w:r>
      <w:proofErr w:type="spellEnd"/>
    </w:p>
    <w:p w14:paraId="6B67F1AE" w14:textId="77777777" w:rsidR="001754A2" w:rsidRPr="0096371A" w:rsidRDefault="001754A2" w:rsidP="00CD2F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C8227FC" w14:textId="77777777" w:rsidR="001754A2" w:rsidRPr="0096371A" w:rsidRDefault="001754A2" w:rsidP="00CD2F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1754A2" w:rsidRPr="00963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8E784" w14:textId="77777777" w:rsidR="0096371A" w:rsidRDefault="0096371A" w:rsidP="001754A2">
      <w:pPr>
        <w:spacing w:after="0" w:line="240" w:lineRule="auto"/>
      </w:pPr>
      <w:r>
        <w:separator/>
      </w:r>
    </w:p>
  </w:endnote>
  <w:endnote w:type="continuationSeparator" w:id="0">
    <w:p w14:paraId="15B35693" w14:textId="77777777" w:rsidR="0096371A" w:rsidRDefault="0096371A" w:rsidP="001754A2">
      <w:pPr>
        <w:spacing w:after="0" w:line="240" w:lineRule="auto"/>
      </w:pPr>
      <w:r>
        <w:continuationSeparator/>
      </w:r>
    </w:p>
  </w:endnote>
  <w:endnote w:type="continuationNotice" w:id="1">
    <w:p w14:paraId="6EC721A8" w14:textId="77777777" w:rsidR="004B5CA4" w:rsidRDefault="004B5C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73854" w14:textId="77777777" w:rsidR="0096371A" w:rsidRDefault="0096371A" w:rsidP="001754A2">
      <w:pPr>
        <w:spacing w:after="0" w:line="240" w:lineRule="auto"/>
      </w:pPr>
      <w:r>
        <w:separator/>
      </w:r>
    </w:p>
  </w:footnote>
  <w:footnote w:type="continuationSeparator" w:id="0">
    <w:p w14:paraId="08CAD645" w14:textId="77777777" w:rsidR="0096371A" w:rsidRDefault="0096371A" w:rsidP="001754A2">
      <w:pPr>
        <w:spacing w:after="0" w:line="240" w:lineRule="auto"/>
      </w:pPr>
      <w:r>
        <w:continuationSeparator/>
      </w:r>
    </w:p>
  </w:footnote>
  <w:footnote w:type="continuationNotice" w:id="1">
    <w:p w14:paraId="5EF4C1AB" w14:textId="77777777" w:rsidR="004B5CA4" w:rsidRDefault="004B5CA4">
      <w:pPr>
        <w:spacing w:after="0" w:line="240" w:lineRule="auto"/>
      </w:pPr>
    </w:p>
  </w:footnote>
  <w:footnote w:id="2">
    <w:p w14:paraId="0DAF8D16" w14:textId="0FD71F08" w:rsidR="0096371A" w:rsidRPr="0096371A" w:rsidRDefault="0096371A" w:rsidP="001754A2">
      <w:pPr>
        <w:pStyle w:val="FootnoteText"/>
        <w:jc w:val="both"/>
        <w:rPr>
          <w:rFonts w:ascii="Garamond" w:hAnsi="Garamond" w:cs="Times New Roman"/>
          <w:lang w:val="sq-AL"/>
        </w:rPr>
      </w:pPr>
      <w:r w:rsidRPr="0096371A">
        <w:rPr>
          <w:rStyle w:val="FootnoteReference"/>
          <w:rFonts w:ascii="Garamond" w:hAnsi="Garamond"/>
          <w:lang w:val="sq-AL"/>
        </w:rPr>
        <w:footnoteRef/>
      </w:r>
      <w:r w:rsidRPr="0096371A">
        <w:rPr>
          <w:rFonts w:ascii="Garamond" w:hAnsi="Garamond"/>
          <w:lang w:val="sq-AL"/>
        </w:rPr>
        <w:t xml:space="preserve"> </w:t>
      </w:r>
      <w:r w:rsidRPr="0096371A">
        <w:rPr>
          <w:rFonts w:ascii="Garamond" w:hAnsi="Garamond" w:cs="Times New Roman"/>
          <w:lang w:val="sq-AL"/>
        </w:rPr>
        <w:t xml:space="preserve">Rregullorja </w:t>
      </w:r>
      <w:r w:rsidR="00BC5C7B" w:rsidRPr="0096371A">
        <w:rPr>
          <w:rFonts w:ascii="Garamond" w:hAnsi="Garamond" w:cs="Times New Roman"/>
          <w:lang w:val="sq-AL"/>
        </w:rPr>
        <w:t xml:space="preserve">zbatuese </w:t>
      </w:r>
      <w:r w:rsidRPr="0096371A">
        <w:rPr>
          <w:rFonts w:ascii="Garamond" w:hAnsi="Garamond" w:cs="Times New Roman"/>
          <w:lang w:val="sq-AL"/>
        </w:rPr>
        <w:t xml:space="preserve">e Komisionit (BE) 2023/2203, e datës 20 tetor 2023, që ndryshon </w:t>
      </w:r>
      <w:r w:rsidR="00BC5C7B" w:rsidRPr="0096371A">
        <w:rPr>
          <w:rFonts w:ascii="Garamond" w:hAnsi="Garamond" w:cs="Times New Roman"/>
          <w:lang w:val="sq-AL"/>
        </w:rPr>
        <w:t xml:space="preserve">rregulloren </w:t>
      </w:r>
      <w:r w:rsidRPr="0096371A">
        <w:rPr>
          <w:rFonts w:ascii="Garamond" w:hAnsi="Garamond" w:cs="Times New Roman"/>
          <w:lang w:val="sq-AL"/>
        </w:rPr>
        <w:t xml:space="preserve">(BE) </w:t>
      </w:r>
      <w:r w:rsidR="00BC5C7B" w:rsidRPr="0096371A">
        <w:rPr>
          <w:rFonts w:ascii="Garamond" w:hAnsi="Garamond" w:cs="Times New Roman"/>
          <w:lang w:val="sq-AL"/>
        </w:rPr>
        <w:t>nr</w:t>
      </w:r>
      <w:r w:rsidRPr="0096371A">
        <w:rPr>
          <w:rFonts w:ascii="Garamond" w:hAnsi="Garamond" w:cs="Times New Roman"/>
          <w:lang w:val="sq-AL"/>
        </w:rPr>
        <w:t xml:space="preserve">. 37/2010, në lidhje me klasifikimin e substancës </w:t>
      </w:r>
      <w:proofErr w:type="spellStart"/>
      <w:r w:rsidRPr="00BC5C7B">
        <w:rPr>
          <w:rFonts w:ascii="Garamond" w:hAnsi="Garamond" w:cs="Times New Roman"/>
          <w:i/>
          <w:iCs/>
          <w:lang w:val="sq-AL"/>
        </w:rPr>
        <w:t>Rafoxanide</w:t>
      </w:r>
      <w:proofErr w:type="spellEnd"/>
      <w:r w:rsidR="00BC5C7B">
        <w:rPr>
          <w:rFonts w:ascii="Garamond" w:hAnsi="Garamond" w:cs="Times New Roman"/>
          <w:lang w:val="sq-AL"/>
        </w:rPr>
        <w:t>,</w:t>
      </w:r>
      <w:r w:rsidRPr="0096371A">
        <w:rPr>
          <w:rFonts w:ascii="Garamond" w:hAnsi="Garamond" w:cs="Times New Roman"/>
          <w:lang w:val="sq-AL"/>
        </w:rPr>
        <w:t xml:space="preserve"> në lidhje me kufirin maksimal të mbetjes së saj në produktet ushqimore me origjinë shtazore.</w:t>
      </w:r>
    </w:p>
  </w:footnote>
  <w:footnote w:id="3">
    <w:p w14:paraId="22C4359F" w14:textId="7CE234CF" w:rsidR="0096371A" w:rsidRPr="0096371A" w:rsidRDefault="0096371A" w:rsidP="001754A2">
      <w:pPr>
        <w:pStyle w:val="FootnoteText"/>
        <w:jc w:val="both"/>
        <w:rPr>
          <w:rFonts w:ascii="Garamond" w:hAnsi="Garamond" w:cs="Times New Roman"/>
          <w:lang w:val="sq-AL"/>
        </w:rPr>
      </w:pPr>
      <w:r w:rsidRPr="0096371A">
        <w:rPr>
          <w:rStyle w:val="FootnoteReference"/>
          <w:rFonts w:ascii="Garamond" w:hAnsi="Garamond" w:cs="Times New Roman"/>
          <w:lang w:val="sq-AL"/>
        </w:rPr>
        <w:footnoteRef/>
      </w:r>
      <w:r w:rsidRPr="0096371A">
        <w:rPr>
          <w:rFonts w:ascii="Garamond" w:hAnsi="Garamond" w:cs="Times New Roman"/>
          <w:lang w:val="sq-AL"/>
        </w:rPr>
        <w:t xml:space="preserve"> </w:t>
      </w:r>
      <w:r w:rsidRPr="0096371A">
        <w:rPr>
          <w:rFonts w:ascii="Garamond" w:hAnsi="Garamond" w:cs="Times New Roman"/>
          <w:lang w:val="sq-AL"/>
        </w:rPr>
        <w:t xml:space="preserve">Rregullorja </w:t>
      </w:r>
      <w:r w:rsidR="00BC5C7B" w:rsidRPr="0096371A">
        <w:rPr>
          <w:rFonts w:ascii="Garamond" w:hAnsi="Garamond" w:cs="Times New Roman"/>
          <w:lang w:val="sq-AL"/>
        </w:rPr>
        <w:t xml:space="preserve">zbatuese </w:t>
      </w:r>
      <w:r w:rsidRPr="0096371A">
        <w:rPr>
          <w:rFonts w:ascii="Garamond" w:hAnsi="Garamond" w:cs="Times New Roman"/>
          <w:lang w:val="sq-AL"/>
        </w:rPr>
        <w:t xml:space="preserve">e Komisionit (BE) 2023/454, e datës 2 mars 2023, që ndryshon </w:t>
      </w:r>
      <w:r w:rsidR="00BC5C7B" w:rsidRPr="0096371A">
        <w:rPr>
          <w:rFonts w:ascii="Garamond" w:hAnsi="Garamond" w:cs="Times New Roman"/>
          <w:lang w:val="sq-AL"/>
        </w:rPr>
        <w:t xml:space="preserve">rregulloren </w:t>
      </w:r>
      <w:r w:rsidRPr="0096371A">
        <w:rPr>
          <w:rFonts w:ascii="Garamond" w:hAnsi="Garamond" w:cs="Times New Roman"/>
          <w:lang w:val="sq-AL"/>
        </w:rPr>
        <w:t xml:space="preserve">(BE) </w:t>
      </w:r>
      <w:r w:rsidR="00BC5C7B" w:rsidRPr="0096371A">
        <w:rPr>
          <w:rFonts w:ascii="Garamond" w:hAnsi="Garamond" w:cs="Times New Roman"/>
          <w:lang w:val="sq-AL"/>
        </w:rPr>
        <w:t>nr</w:t>
      </w:r>
      <w:r w:rsidRPr="0096371A">
        <w:rPr>
          <w:rFonts w:ascii="Garamond" w:hAnsi="Garamond" w:cs="Times New Roman"/>
          <w:lang w:val="sq-AL"/>
        </w:rPr>
        <w:t xml:space="preserve">. 37/2010, në lidhje me klasifikimin e substancës </w:t>
      </w:r>
      <w:proofErr w:type="spellStart"/>
      <w:r w:rsidRPr="00BC5C7B">
        <w:rPr>
          <w:rFonts w:ascii="Garamond" w:hAnsi="Garamond" w:cs="Times New Roman"/>
          <w:i/>
          <w:iCs/>
          <w:lang w:val="sq-AL"/>
        </w:rPr>
        <w:t>Toltrazuril</w:t>
      </w:r>
      <w:proofErr w:type="spellEnd"/>
      <w:r w:rsidR="00BC5C7B">
        <w:rPr>
          <w:rFonts w:ascii="Garamond" w:hAnsi="Garamond" w:cs="Times New Roman"/>
          <w:lang w:val="sq-AL"/>
        </w:rPr>
        <w:t>,</w:t>
      </w:r>
      <w:r w:rsidRPr="0096371A">
        <w:rPr>
          <w:rFonts w:ascii="Garamond" w:hAnsi="Garamond" w:cs="Times New Roman"/>
          <w:lang w:val="sq-AL"/>
        </w:rPr>
        <w:t xml:space="preserve"> në lidhje me kufirin maksimal të mbetjeve të saj në produktet ushqimore me origjinë shtazore.</w:t>
      </w:r>
    </w:p>
  </w:footnote>
  <w:footnote w:id="4">
    <w:p w14:paraId="5C49EA2E" w14:textId="0D10D660" w:rsidR="0096371A" w:rsidRPr="0096371A" w:rsidRDefault="0096371A" w:rsidP="001754A2">
      <w:pPr>
        <w:pStyle w:val="FootnoteText"/>
        <w:jc w:val="both"/>
        <w:rPr>
          <w:rFonts w:ascii="Garamond" w:hAnsi="Garamond" w:cs="Times New Roman"/>
          <w:lang w:val="sq-AL"/>
        </w:rPr>
      </w:pPr>
      <w:r w:rsidRPr="0096371A">
        <w:rPr>
          <w:rStyle w:val="FootnoteReference"/>
          <w:rFonts w:ascii="Garamond" w:hAnsi="Garamond" w:cs="Times New Roman"/>
          <w:lang w:val="sq-AL"/>
        </w:rPr>
        <w:footnoteRef/>
      </w:r>
      <w:r w:rsidRPr="0096371A">
        <w:rPr>
          <w:rFonts w:ascii="Garamond" w:hAnsi="Garamond" w:cs="Times New Roman"/>
          <w:lang w:val="sq-AL"/>
        </w:rPr>
        <w:t xml:space="preserve"> </w:t>
      </w:r>
      <w:r w:rsidRPr="0096371A">
        <w:rPr>
          <w:rFonts w:ascii="Garamond" w:hAnsi="Garamond" w:cs="Times New Roman"/>
          <w:lang w:val="sq-AL"/>
        </w:rPr>
        <w:t xml:space="preserve">Rregullorja </w:t>
      </w:r>
      <w:r w:rsidR="00BC5C7B" w:rsidRPr="0096371A">
        <w:rPr>
          <w:rFonts w:ascii="Garamond" w:hAnsi="Garamond" w:cs="Times New Roman"/>
          <w:lang w:val="sq-AL"/>
        </w:rPr>
        <w:t xml:space="preserve">zbatuese </w:t>
      </w:r>
      <w:r w:rsidRPr="0096371A">
        <w:rPr>
          <w:rFonts w:ascii="Garamond" w:hAnsi="Garamond" w:cs="Times New Roman"/>
          <w:lang w:val="sq-AL"/>
        </w:rPr>
        <w:t xml:space="preserve">e Komisionit (BE) 2023/981, e datës 17 maj 2023, që ndryshon </w:t>
      </w:r>
      <w:r w:rsidR="00BC5C7B" w:rsidRPr="0096371A">
        <w:rPr>
          <w:rFonts w:ascii="Garamond" w:hAnsi="Garamond" w:cs="Times New Roman"/>
          <w:lang w:val="sq-AL"/>
        </w:rPr>
        <w:t xml:space="preserve">rregulloren </w:t>
      </w:r>
      <w:r w:rsidRPr="0096371A">
        <w:rPr>
          <w:rFonts w:ascii="Garamond" w:hAnsi="Garamond" w:cs="Times New Roman"/>
          <w:lang w:val="sq-AL"/>
        </w:rPr>
        <w:t xml:space="preserve">(BE) </w:t>
      </w:r>
      <w:r w:rsidR="00BC5C7B" w:rsidRPr="0096371A">
        <w:rPr>
          <w:rFonts w:ascii="Garamond" w:hAnsi="Garamond" w:cs="Times New Roman"/>
          <w:lang w:val="sq-AL"/>
        </w:rPr>
        <w:t>nr</w:t>
      </w:r>
      <w:r w:rsidRPr="0096371A">
        <w:rPr>
          <w:rFonts w:ascii="Garamond" w:hAnsi="Garamond" w:cs="Times New Roman"/>
          <w:lang w:val="sq-AL"/>
        </w:rPr>
        <w:t xml:space="preserve">. 37/2010, në lidhje me klasifikimin e substancës </w:t>
      </w:r>
      <w:proofErr w:type="spellStart"/>
      <w:r w:rsidRPr="00BC5C7B">
        <w:rPr>
          <w:rFonts w:ascii="Garamond" w:hAnsi="Garamond" w:cs="Times New Roman"/>
          <w:i/>
          <w:iCs/>
          <w:lang w:val="sq-AL"/>
        </w:rPr>
        <w:t>Praziquantel</w:t>
      </w:r>
      <w:proofErr w:type="spellEnd"/>
      <w:r w:rsidR="00BC5C7B">
        <w:rPr>
          <w:rFonts w:ascii="Garamond" w:hAnsi="Garamond" w:cs="Times New Roman"/>
          <w:i/>
          <w:iCs/>
          <w:lang w:val="sq-AL"/>
        </w:rPr>
        <w:t>,</w:t>
      </w:r>
      <w:r w:rsidRPr="0096371A">
        <w:rPr>
          <w:rFonts w:ascii="Garamond" w:hAnsi="Garamond" w:cs="Times New Roman"/>
          <w:lang w:val="sq-AL"/>
        </w:rPr>
        <w:t xml:space="preserve"> në lidhje me kufirin maksimal të mbetjeve të saj në produktet ushqimore me origjinë shtazore.</w:t>
      </w:r>
    </w:p>
  </w:footnote>
  <w:footnote w:id="5">
    <w:p w14:paraId="1AA9C340" w14:textId="59FCC703" w:rsidR="0096371A" w:rsidRPr="0096371A" w:rsidRDefault="0096371A" w:rsidP="001754A2">
      <w:pPr>
        <w:pStyle w:val="FootnoteText"/>
        <w:jc w:val="both"/>
        <w:rPr>
          <w:rFonts w:ascii="Times New Roman" w:hAnsi="Times New Roman" w:cs="Times New Roman"/>
          <w:lang w:val="sq-AL"/>
        </w:rPr>
      </w:pPr>
      <w:r w:rsidRPr="0096371A">
        <w:rPr>
          <w:rStyle w:val="FootnoteReference"/>
          <w:rFonts w:ascii="Garamond" w:hAnsi="Garamond" w:cs="Times New Roman"/>
          <w:lang w:val="sq-AL"/>
        </w:rPr>
        <w:footnoteRef/>
      </w:r>
      <w:r w:rsidRPr="0096371A">
        <w:rPr>
          <w:rFonts w:ascii="Garamond" w:hAnsi="Garamond" w:cs="Times New Roman"/>
          <w:lang w:val="sq-AL"/>
        </w:rPr>
        <w:t xml:space="preserve"> </w:t>
      </w:r>
      <w:r w:rsidRPr="0096371A">
        <w:rPr>
          <w:rFonts w:ascii="Garamond" w:hAnsi="Garamond" w:cs="Times New Roman"/>
          <w:lang w:val="sq-AL"/>
        </w:rPr>
        <w:t xml:space="preserve">Rregullorja </w:t>
      </w:r>
      <w:r w:rsidR="00BC5C7B" w:rsidRPr="0096371A">
        <w:rPr>
          <w:rFonts w:ascii="Garamond" w:hAnsi="Garamond" w:cs="Times New Roman"/>
          <w:lang w:val="sq-AL"/>
        </w:rPr>
        <w:t xml:space="preserve">zbatuese </w:t>
      </w:r>
      <w:r w:rsidRPr="0096371A">
        <w:rPr>
          <w:rFonts w:ascii="Garamond" w:hAnsi="Garamond" w:cs="Times New Roman"/>
          <w:lang w:val="sq-AL"/>
        </w:rPr>
        <w:t xml:space="preserve">e Komisionit (BE) 2023/2194, e datës 19 tetor 2023, që ndryshon </w:t>
      </w:r>
      <w:r w:rsidR="00BC5C7B" w:rsidRPr="0096371A">
        <w:rPr>
          <w:rFonts w:ascii="Garamond" w:hAnsi="Garamond" w:cs="Times New Roman"/>
          <w:lang w:val="sq-AL"/>
        </w:rPr>
        <w:t xml:space="preserve">rregulloren </w:t>
      </w:r>
      <w:r w:rsidRPr="0096371A">
        <w:rPr>
          <w:rFonts w:ascii="Garamond" w:hAnsi="Garamond" w:cs="Times New Roman"/>
          <w:lang w:val="sq-AL"/>
        </w:rPr>
        <w:t xml:space="preserve">(BE) </w:t>
      </w:r>
      <w:r w:rsidR="00BC5C7B" w:rsidRPr="0096371A">
        <w:rPr>
          <w:rFonts w:ascii="Garamond" w:hAnsi="Garamond" w:cs="Times New Roman"/>
          <w:lang w:val="sq-AL"/>
        </w:rPr>
        <w:t>nr</w:t>
      </w:r>
      <w:r w:rsidRPr="0096371A">
        <w:rPr>
          <w:rFonts w:ascii="Garamond" w:hAnsi="Garamond" w:cs="Times New Roman"/>
          <w:lang w:val="sq-AL"/>
        </w:rPr>
        <w:t xml:space="preserve">. 37/2010, në lidhje me klasifikimin e substancës </w:t>
      </w:r>
      <w:proofErr w:type="spellStart"/>
      <w:r w:rsidRPr="00BC5C7B">
        <w:rPr>
          <w:rFonts w:ascii="Garamond" w:hAnsi="Garamond" w:cs="Times New Roman"/>
          <w:i/>
          <w:iCs/>
          <w:lang w:val="sq-AL"/>
        </w:rPr>
        <w:t>Ketoprofen</w:t>
      </w:r>
      <w:proofErr w:type="spellEnd"/>
      <w:r w:rsidR="00BC5C7B">
        <w:rPr>
          <w:rFonts w:ascii="Garamond" w:hAnsi="Garamond" w:cs="Times New Roman"/>
          <w:i/>
          <w:iCs/>
          <w:lang w:val="sq-AL"/>
        </w:rPr>
        <w:t>,</w:t>
      </w:r>
      <w:r w:rsidRPr="0096371A">
        <w:rPr>
          <w:rFonts w:ascii="Garamond" w:hAnsi="Garamond" w:cs="Times New Roman"/>
          <w:lang w:val="sq-AL"/>
        </w:rPr>
        <w:t xml:space="preserve"> në lidhje me kufirin maksimal të mbetjeve të saj në produktet ushqimore me origjinë shtazore.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4701B"/>
    <w:multiLevelType w:val="hybridMultilevel"/>
    <w:tmpl w:val="C110F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F74B6"/>
    <w:rsid w:val="00114237"/>
    <w:rsid w:val="0015318C"/>
    <w:rsid w:val="001754A2"/>
    <w:rsid w:val="002B40CE"/>
    <w:rsid w:val="00401E9D"/>
    <w:rsid w:val="00420FCC"/>
    <w:rsid w:val="00495544"/>
    <w:rsid w:val="004B5CA4"/>
    <w:rsid w:val="004D2442"/>
    <w:rsid w:val="005276E4"/>
    <w:rsid w:val="005B5F43"/>
    <w:rsid w:val="005D7D2D"/>
    <w:rsid w:val="006D4302"/>
    <w:rsid w:val="00795321"/>
    <w:rsid w:val="007A461B"/>
    <w:rsid w:val="008C7EE7"/>
    <w:rsid w:val="0096371A"/>
    <w:rsid w:val="00981936"/>
    <w:rsid w:val="009F48E5"/>
    <w:rsid w:val="00A40966"/>
    <w:rsid w:val="00AD6F91"/>
    <w:rsid w:val="00BC5C7B"/>
    <w:rsid w:val="00C04D7A"/>
    <w:rsid w:val="00C532CB"/>
    <w:rsid w:val="00CD2F3E"/>
    <w:rsid w:val="00E6579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FC178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54A2"/>
    <w:pPr>
      <w:ind w:left="720"/>
      <w:contextualSpacing/>
    </w:pPr>
    <w:rPr>
      <w:rFonts w:eastAsia="MS Mincho"/>
    </w:rPr>
  </w:style>
  <w:style w:type="table" w:styleId="TableGrid">
    <w:name w:val="Table Grid"/>
    <w:basedOn w:val="TableNormal"/>
    <w:uiPriority w:val="39"/>
    <w:rsid w:val="00175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754A2"/>
    <w:pPr>
      <w:spacing w:after="0" w:line="240" w:lineRule="auto"/>
    </w:pPr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54A2"/>
    <w:rPr>
      <w:rFonts w:eastAsia="MS Minch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54A2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4B5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5CA4"/>
  </w:style>
  <w:style w:type="paragraph" w:styleId="Footer">
    <w:name w:val="footer"/>
    <w:basedOn w:val="Normal"/>
    <w:link w:val="FooterChar"/>
    <w:uiPriority w:val="99"/>
    <w:semiHidden/>
    <w:unhideWhenUsed/>
    <w:rsid w:val="004B5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5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2024-04-15T11:36:37Z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2024-04-12T00:00:00Z</Date_x0020_protokolli>
    <Titulli xmlns="0e656187-b300-4fb0-8bf4-3a50f872073c">Për disa shtesa dhe ndryshime në urdhrin nr. 139/1, datë 7.4.2017 "Për substancat aktive farmakologjike dhe klasifikimin e tyre në lidhje me kufijtë maksimalë të mbetjeve në produktet ushqimore me origjinë shtazore</Titulli>
    <Modifikuesi xmlns="0e656187-b300-4fb0-8bf4-3a50f872073c">ermira.bukaci</Modifikuesi>
    <Nr_x002e__x0020_prot_x0020_QBZ xmlns="0e656187-b300-4fb0-8bf4-3a50f872073c">668/1</Nr_x002e__x0020_prot_x0020_QBZ>
    <Data_x0020_e_x0020_Modifikimit xmlns="0e656187-b300-4fb0-8bf4-3a50f872073c">2024-04-15T12:27:27Z</Data_x0020_e_x0020_Modifikimit>
    <Dekretuar xmlns="0e656187-b300-4fb0-8bf4-3a50f872073c">false</Dekretuar>
    <Data xmlns="0e656187-b300-4fb0-8bf4-3a50f872073c">2024-02-29T00:00:00Z</Data>
    <Nr_x002e__x0020_protokolli_x0020_i_x0020_aktit xmlns="0e656187-b300-4fb0-8bf4-3a50f872073c">1599/1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189C0F3F13429AAEF46DCD6856D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189C0F3F13429AAEF46DCD6856D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044F13-5F83-4B9B-9964-C9F1E371DB7E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A58ED59-1B73-43B3-9634-88FD3A1A83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63A70D-36F9-4E82-9180-1A39906C5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782EFE-A1D6-46B3-9314-1E2292BD4A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E0B742-1A9C-4629-8CD3-96E828901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nr. 139/1, datë 7.4.2017 "Për substancat aktive farmakologjike dhe klasifikimin e tyre në lidhje me kufijtë maksimalë të mbetjeve në produktet ushqimore me origjinë shtazore</vt:lpstr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nr. 139/1, datë 7.4.2017 "Për substancat aktive farmakologjike dhe klasifikimin e tyre në lidhje me kufijtë maksimalë të mbetjeve në produktet ushqimore me origjinë shtazore</dc:title>
  <dc:creator>Entela Suli</dc:creator>
  <cp:lastModifiedBy>Alma Lisaku</cp:lastModifiedBy>
  <cp:revision>11</cp:revision>
  <dcterms:created xsi:type="dcterms:W3CDTF">2024-04-15T10:25:00Z</dcterms:created>
  <dcterms:modified xsi:type="dcterms:W3CDTF">2024-04-16T08:02:00Z</dcterms:modified>
</cp:coreProperties>
</file>