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446B0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</w:rPr>
      </w:pPr>
      <w:r w:rsidRPr="00EA49BD">
        <w:rPr>
          <w:rFonts w:ascii="Garamond" w:hAnsi="Garamond" w:cs="Times New Roman"/>
          <w:b/>
          <w:bCs/>
          <w:sz w:val="24"/>
        </w:rPr>
        <w:t>URDHËR</w:t>
      </w:r>
    </w:p>
    <w:p w14:paraId="780897E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</w:rPr>
      </w:pPr>
      <w:r w:rsidRPr="00EA49BD">
        <w:rPr>
          <w:rFonts w:ascii="Garamond" w:hAnsi="Garamond" w:cs="Times New Roman"/>
          <w:b/>
          <w:bCs/>
          <w:sz w:val="24"/>
        </w:rPr>
        <w:t xml:space="preserve">Nr. </w:t>
      </w:r>
      <w:r w:rsidR="00CD6AAE" w:rsidRPr="00EA49BD">
        <w:rPr>
          <w:rFonts w:ascii="Garamond" w:hAnsi="Garamond" w:cs="Times New Roman"/>
          <w:b/>
          <w:bCs/>
          <w:sz w:val="24"/>
        </w:rPr>
        <w:t>745</w:t>
      </w:r>
      <w:r w:rsidRPr="00EA49BD">
        <w:rPr>
          <w:rFonts w:ascii="Garamond" w:hAnsi="Garamond" w:cs="Times New Roman"/>
          <w:b/>
          <w:bCs/>
          <w:sz w:val="24"/>
        </w:rPr>
        <w:t xml:space="preserve">, datë </w:t>
      </w:r>
      <w:r w:rsidR="00CD6AAE" w:rsidRPr="00EA49BD">
        <w:rPr>
          <w:rFonts w:ascii="Garamond" w:hAnsi="Garamond" w:cs="Times New Roman"/>
          <w:b/>
          <w:bCs/>
          <w:sz w:val="24"/>
        </w:rPr>
        <w:t>24.9</w:t>
      </w:r>
      <w:r w:rsidRPr="00EA49BD">
        <w:rPr>
          <w:rFonts w:ascii="Garamond" w:hAnsi="Garamond" w:cs="Times New Roman"/>
          <w:b/>
          <w:bCs/>
          <w:sz w:val="24"/>
        </w:rPr>
        <w:t>.2024</w:t>
      </w:r>
    </w:p>
    <w:p w14:paraId="7CB7EA61" w14:textId="77777777" w:rsidR="000C59B3" w:rsidRPr="00EA49BD" w:rsidRDefault="000C59B3" w:rsidP="005B67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</w:rPr>
      </w:pPr>
    </w:p>
    <w:p w14:paraId="36A78273" w14:textId="77777777" w:rsidR="000C59B3" w:rsidRPr="00EA49BD" w:rsidRDefault="000C59B3" w:rsidP="005B67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</w:rPr>
      </w:pPr>
      <w:r w:rsidRPr="00EA49BD">
        <w:rPr>
          <w:rFonts w:ascii="Garamond" w:hAnsi="Garamond" w:cs="Times New Roman"/>
          <w:b/>
          <w:bCs/>
          <w:sz w:val="24"/>
        </w:rPr>
        <w:t xml:space="preserve">PËR </w:t>
      </w:r>
      <w:r w:rsidRPr="00EA49BD">
        <w:rPr>
          <w:rFonts w:ascii="Garamond" w:hAnsi="Garamond" w:cs="Calibri"/>
          <w:b/>
          <w:bCs/>
          <w:sz w:val="24"/>
        </w:rPr>
        <w:t>DISA MASA MBROJTËSE NDAJ SËMUNDJES SË LISË SË DHENVE DHE DHIVE TË SHFAQUR NË SHTETIN E TURQISË</w:t>
      </w:r>
    </w:p>
    <w:p w14:paraId="53444F51" w14:textId="77777777" w:rsidR="000C59B3" w:rsidRPr="00EA49BD" w:rsidRDefault="000C59B3" w:rsidP="000C59B3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</w:rPr>
      </w:pPr>
    </w:p>
    <w:p w14:paraId="7EA3B296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 xml:space="preserve">Mbështetur në nenin 102, pika 4 e Kushtetutës, neni 43, </w:t>
      </w:r>
      <w:r w:rsidR="00EA49BD" w:rsidRPr="00EA49BD">
        <w:rPr>
          <w:rFonts w:ascii="Garamond" w:hAnsi="Garamond" w:cs="Times New Roman"/>
          <w:sz w:val="24"/>
        </w:rPr>
        <w:t>i ligjit nr</w:t>
      </w:r>
      <w:r w:rsidRPr="00EA49BD">
        <w:rPr>
          <w:rFonts w:ascii="Garamond" w:hAnsi="Garamond" w:cs="Times New Roman"/>
          <w:sz w:val="24"/>
        </w:rPr>
        <w:t>. 10465, datë 29.9.2011</w:t>
      </w:r>
      <w:r w:rsidR="00EA49BD">
        <w:rPr>
          <w:rFonts w:ascii="Garamond" w:hAnsi="Garamond" w:cs="Times New Roman"/>
          <w:sz w:val="24"/>
        </w:rPr>
        <w:t>,</w:t>
      </w:r>
      <w:r w:rsidRPr="00EA49BD">
        <w:rPr>
          <w:rFonts w:ascii="Garamond" w:hAnsi="Garamond" w:cs="Times New Roman"/>
          <w:sz w:val="24"/>
        </w:rPr>
        <w:t xml:space="preserve"> “Për shërbimin veterinar në Republikën e Shqipërisë”, të ndryshuar, </w:t>
      </w:r>
    </w:p>
    <w:p w14:paraId="69070E5D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</w:rPr>
      </w:pPr>
    </w:p>
    <w:p w14:paraId="4EBEF8F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</w:rPr>
      </w:pPr>
      <w:r w:rsidRPr="00EA49BD">
        <w:rPr>
          <w:rFonts w:ascii="Garamond" w:hAnsi="Garamond" w:cs="Times New Roman"/>
          <w:bCs/>
          <w:sz w:val="24"/>
        </w:rPr>
        <w:t>URDHËROJ:</w:t>
      </w:r>
    </w:p>
    <w:p w14:paraId="0F616317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</w:p>
    <w:p w14:paraId="2623108B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 xml:space="preserve">1. Ndalimin e importit dhe tranzitimit për në territorin e Republikës së Shqipërisë </w:t>
      </w:r>
      <w:r w:rsidR="00EA49BD" w:rsidRPr="008B63A3">
        <w:rPr>
          <w:rFonts w:ascii="Garamond" w:hAnsi="Garamond" w:cs="Times New Roman"/>
          <w:sz w:val="24"/>
          <w:szCs w:val="24"/>
        </w:rPr>
        <w:t>të</w:t>
      </w:r>
      <w:r w:rsidRPr="00EA49BD">
        <w:rPr>
          <w:rFonts w:ascii="Garamond" w:hAnsi="Garamond" w:cs="Times New Roman"/>
          <w:sz w:val="24"/>
        </w:rPr>
        <w:t xml:space="preserve"> të gjith</w:t>
      </w:r>
      <w:r w:rsidR="00EA49BD">
        <w:rPr>
          <w:rFonts w:ascii="Garamond" w:hAnsi="Garamond" w:cs="Times New Roman"/>
          <w:sz w:val="24"/>
        </w:rPr>
        <w:t>a</w:t>
      </w:r>
      <w:r w:rsidRPr="00EA49BD">
        <w:rPr>
          <w:rFonts w:ascii="Garamond" w:hAnsi="Garamond" w:cs="Times New Roman"/>
          <w:sz w:val="24"/>
        </w:rPr>
        <w:t xml:space="preserve"> kafshëve të gjalla të llojit të dhirta dhe të leshta, materialit biologjik, dhe nënprodukteve të kafshëve të llojit të dhirta dhe të leshta, sipas njoftimeve të marra nga faqja zyrtare e OIE</w:t>
      </w:r>
      <w:r w:rsidR="00EA49BD">
        <w:rPr>
          <w:rFonts w:ascii="Garamond" w:hAnsi="Garamond" w:cs="Times New Roman"/>
          <w:sz w:val="24"/>
        </w:rPr>
        <w:t>-së</w:t>
      </w:r>
      <w:r w:rsidRPr="00EA49BD">
        <w:rPr>
          <w:rFonts w:ascii="Garamond" w:hAnsi="Garamond" w:cs="Times New Roman"/>
          <w:sz w:val="24"/>
        </w:rPr>
        <w:t xml:space="preserve"> dhe ADIS</w:t>
      </w:r>
      <w:r w:rsidR="00EA49BD">
        <w:rPr>
          <w:rFonts w:ascii="Garamond" w:hAnsi="Garamond" w:cs="Times New Roman"/>
          <w:sz w:val="24"/>
        </w:rPr>
        <w:t>-it</w:t>
      </w:r>
      <w:r w:rsidRPr="00EA49BD">
        <w:rPr>
          <w:rFonts w:ascii="Garamond" w:hAnsi="Garamond" w:cs="Times New Roman"/>
          <w:sz w:val="24"/>
        </w:rPr>
        <w:t>, përkatësisht nga ndarjet administrative të përcaktuara në tabelën e mëposhtme.</w:t>
      </w:r>
    </w:p>
    <w:p w14:paraId="2A3E7E4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3157"/>
        <w:gridCol w:w="3101"/>
      </w:tblGrid>
      <w:tr w:rsidR="007546CA" w:rsidRPr="00EA49BD" w14:paraId="414D358A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A7E9B0B" w14:textId="77777777" w:rsidR="007546CA" w:rsidRPr="00EA49BD" w:rsidRDefault="007546CA" w:rsidP="009D02B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Ndarja </w:t>
            </w:r>
            <w:r w:rsidR="00EA49BD"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>administrative e nivelit të parë</w:t>
            </w:r>
          </w:p>
        </w:tc>
        <w:tc>
          <w:tcPr>
            <w:tcW w:w="0" w:type="auto"/>
            <w:shd w:val="clear" w:color="auto" w:fill="auto"/>
          </w:tcPr>
          <w:p w14:paraId="260ED282" w14:textId="77777777" w:rsidR="007546CA" w:rsidRPr="00EA49BD" w:rsidRDefault="007546CA" w:rsidP="009D02B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Ndarja </w:t>
            </w:r>
            <w:r w:rsidR="00EA49BD"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>administrative e nivelit të dytë</w:t>
            </w:r>
            <w:r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14:paraId="21AE9314" w14:textId="77777777" w:rsidR="007546CA" w:rsidRPr="00EA49BD" w:rsidRDefault="007546CA" w:rsidP="009D02B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Ndarja </w:t>
            </w:r>
            <w:r w:rsidR="00EA49BD" w:rsidRPr="00EA49BD">
              <w:rPr>
                <w:rFonts w:ascii="Garamond" w:hAnsi="Garamond"/>
                <w:b/>
                <w:color w:val="000000"/>
                <w:sz w:val="24"/>
                <w:szCs w:val="24"/>
              </w:rPr>
              <w:t>administrative e nivelit të tretë</w:t>
            </w:r>
          </w:p>
        </w:tc>
      </w:tr>
      <w:tr w:rsidR="007546CA" w:rsidRPr="00EA49BD" w14:paraId="7779E2B6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4A0BCFB7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Adana</w:t>
            </w:r>
          </w:p>
        </w:tc>
        <w:tc>
          <w:tcPr>
            <w:tcW w:w="0" w:type="auto"/>
            <w:shd w:val="clear" w:color="auto" w:fill="auto"/>
          </w:tcPr>
          <w:p w14:paraId="422C7E7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Kozan*</w:t>
            </w:r>
          </w:p>
        </w:tc>
        <w:tc>
          <w:tcPr>
            <w:tcW w:w="0" w:type="auto"/>
            <w:shd w:val="clear" w:color="auto" w:fill="auto"/>
          </w:tcPr>
          <w:p w14:paraId="3FFD678A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F35B5CD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9FB4832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Adana</w:t>
            </w:r>
          </w:p>
        </w:tc>
        <w:tc>
          <w:tcPr>
            <w:tcW w:w="0" w:type="auto"/>
            <w:shd w:val="clear" w:color="auto" w:fill="auto"/>
          </w:tcPr>
          <w:p w14:paraId="580D652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Aladağ*</w:t>
            </w:r>
          </w:p>
        </w:tc>
        <w:tc>
          <w:tcPr>
            <w:tcW w:w="0" w:type="auto"/>
            <w:shd w:val="clear" w:color="auto" w:fill="auto"/>
          </w:tcPr>
          <w:p w14:paraId="14EF665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AA5A10C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A8C5B0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Malatya</w:t>
            </w:r>
          </w:p>
        </w:tc>
        <w:tc>
          <w:tcPr>
            <w:tcW w:w="0" w:type="auto"/>
            <w:shd w:val="clear" w:color="auto" w:fill="auto"/>
          </w:tcPr>
          <w:p w14:paraId="458D086A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Arguvan*</w:t>
            </w:r>
          </w:p>
        </w:tc>
        <w:tc>
          <w:tcPr>
            <w:tcW w:w="0" w:type="auto"/>
            <w:shd w:val="clear" w:color="auto" w:fill="auto"/>
          </w:tcPr>
          <w:p w14:paraId="4E88A16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07A25EC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F202A04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Karaman</w:t>
            </w:r>
          </w:p>
        </w:tc>
        <w:tc>
          <w:tcPr>
            <w:tcW w:w="0" w:type="auto"/>
            <w:shd w:val="clear" w:color="auto" w:fill="auto"/>
          </w:tcPr>
          <w:p w14:paraId="3FF8C16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45217B0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1DE88893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590D88C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Izmir</w:t>
            </w:r>
          </w:p>
        </w:tc>
        <w:tc>
          <w:tcPr>
            <w:tcW w:w="0" w:type="auto"/>
            <w:shd w:val="clear" w:color="auto" w:fill="auto"/>
          </w:tcPr>
          <w:p w14:paraId="774617E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Dikili*</w:t>
            </w:r>
          </w:p>
        </w:tc>
        <w:tc>
          <w:tcPr>
            <w:tcW w:w="0" w:type="auto"/>
            <w:shd w:val="clear" w:color="auto" w:fill="auto"/>
          </w:tcPr>
          <w:p w14:paraId="57100DA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841AE4E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7CCC3F1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Izmir</w:t>
            </w:r>
          </w:p>
        </w:tc>
        <w:tc>
          <w:tcPr>
            <w:tcW w:w="0" w:type="auto"/>
            <w:shd w:val="clear" w:color="auto" w:fill="auto"/>
          </w:tcPr>
          <w:p w14:paraId="429E92A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Çiğli*</w:t>
            </w:r>
          </w:p>
        </w:tc>
        <w:tc>
          <w:tcPr>
            <w:tcW w:w="0" w:type="auto"/>
            <w:shd w:val="clear" w:color="auto" w:fill="auto"/>
          </w:tcPr>
          <w:p w14:paraId="586CFD6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16E63C7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AC8E364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Izmir</w:t>
            </w:r>
          </w:p>
        </w:tc>
        <w:tc>
          <w:tcPr>
            <w:tcW w:w="0" w:type="auto"/>
            <w:shd w:val="clear" w:color="auto" w:fill="auto"/>
          </w:tcPr>
          <w:p w14:paraId="47C8533C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Ödemiş*</w:t>
            </w:r>
          </w:p>
        </w:tc>
        <w:tc>
          <w:tcPr>
            <w:tcW w:w="0" w:type="auto"/>
            <w:shd w:val="clear" w:color="auto" w:fill="auto"/>
          </w:tcPr>
          <w:p w14:paraId="6B2E11D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095EE5D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2F6B60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Izmir</w:t>
            </w:r>
          </w:p>
        </w:tc>
        <w:tc>
          <w:tcPr>
            <w:tcW w:w="0" w:type="auto"/>
            <w:shd w:val="clear" w:color="auto" w:fill="auto"/>
          </w:tcPr>
          <w:p w14:paraId="2DB1806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Güzelbahçe*</w:t>
            </w:r>
          </w:p>
        </w:tc>
        <w:tc>
          <w:tcPr>
            <w:tcW w:w="0" w:type="auto"/>
            <w:shd w:val="clear" w:color="auto" w:fill="auto"/>
          </w:tcPr>
          <w:p w14:paraId="0D98F905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7AF145D0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52E62C7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Kars</w:t>
            </w:r>
          </w:p>
        </w:tc>
        <w:tc>
          <w:tcPr>
            <w:tcW w:w="0" w:type="auto"/>
            <w:shd w:val="clear" w:color="auto" w:fill="auto"/>
          </w:tcPr>
          <w:p w14:paraId="6343CFE7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Kağızman*</w:t>
            </w:r>
          </w:p>
        </w:tc>
        <w:tc>
          <w:tcPr>
            <w:tcW w:w="0" w:type="auto"/>
            <w:shd w:val="clear" w:color="auto" w:fill="auto"/>
          </w:tcPr>
          <w:p w14:paraId="3B8BBD7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030F431C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51041D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Hakkari</w:t>
            </w:r>
          </w:p>
        </w:tc>
        <w:tc>
          <w:tcPr>
            <w:tcW w:w="0" w:type="auto"/>
            <w:shd w:val="clear" w:color="auto" w:fill="auto"/>
          </w:tcPr>
          <w:p w14:paraId="2BBB742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5163F73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BB6CCB5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7B8E4C0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Aydin</w:t>
            </w:r>
          </w:p>
        </w:tc>
        <w:tc>
          <w:tcPr>
            <w:tcW w:w="0" w:type="auto"/>
            <w:shd w:val="clear" w:color="auto" w:fill="auto"/>
          </w:tcPr>
          <w:p w14:paraId="1D06C37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Sultanhisar*</w:t>
            </w:r>
          </w:p>
        </w:tc>
        <w:tc>
          <w:tcPr>
            <w:tcW w:w="0" w:type="auto"/>
            <w:shd w:val="clear" w:color="auto" w:fill="auto"/>
          </w:tcPr>
          <w:p w14:paraId="27859BC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882168A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ED80F4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Çankiri</w:t>
            </w:r>
          </w:p>
        </w:tc>
        <w:tc>
          <w:tcPr>
            <w:tcW w:w="0" w:type="auto"/>
            <w:shd w:val="clear" w:color="auto" w:fill="auto"/>
          </w:tcPr>
          <w:p w14:paraId="01CFC4C2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Çerkeş*</w:t>
            </w:r>
          </w:p>
        </w:tc>
        <w:tc>
          <w:tcPr>
            <w:tcW w:w="0" w:type="auto"/>
            <w:shd w:val="clear" w:color="auto" w:fill="auto"/>
          </w:tcPr>
          <w:p w14:paraId="1ABBFA6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27B62B75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71A783CC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Çankiri</w:t>
            </w:r>
          </w:p>
        </w:tc>
        <w:tc>
          <w:tcPr>
            <w:tcW w:w="0" w:type="auto"/>
            <w:shd w:val="clear" w:color="auto" w:fill="auto"/>
          </w:tcPr>
          <w:p w14:paraId="427816E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141293A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0425ADF9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2ADE22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14:paraId="33CA947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Bala*</w:t>
            </w:r>
          </w:p>
        </w:tc>
        <w:tc>
          <w:tcPr>
            <w:tcW w:w="0" w:type="auto"/>
            <w:shd w:val="clear" w:color="auto" w:fill="auto"/>
          </w:tcPr>
          <w:p w14:paraId="7DAD807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5F27719D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48FD60A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14:paraId="0D131A6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Polatlı*</w:t>
            </w:r>
          </w:p>
        </w:tc>
        <w:tc>
          <w:tcPr>
            <w:tcW w:w="0" w:type="auto"/>
            <w:shd w:val="clear" w:color="auto" w:fill="auto"/>
          </w:tcPr>
          <w:p w14:paraId="30E8699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53C8E916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73E70E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Ankara</w:t>
            </w:r>
          </w:p>
        </w:tc>
        <w:tc>
          <w:tcPr>
            <w:tcW w:w="0" w:type="auto"/>
            <w:shd w:val="clear" w:color="auto" w:fill="auto"/>
          </w:tcPr>
          <w:p w14:paraId="017CF6E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Elmadağ*</w:t>
            </w:r>
          </w:p>
        </w:tc>
        <w:tc>
          <w:tcPr>
            <w:tcW w:w="0" w:type="auto"/>
            <w:shd w:val="clear" w:color="auto" w:fill="auto"/>
          </w:tcPr>
          <w:p w14:paraId="3217BD6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1CFA1C7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5DA2D4D5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Afyon</w:t>
            </w:r>
          </w:p>
        </w:tc>
        <w:tc>
          <w:tcPr>
            <w:tcW w:w="0" w:type="auto"/>
            <w:shd w:val="clear" w:color="auto" w:fill="auto"/>
          </w:tcPr>
          <w:p w14:paraId="4ACBDDD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Sandıklı*</w:t>
            </w:r>
          </w:p>
        </w:tc>
        <w:tc>
          <w:tcPr>
            <w:tcW w:w="0" w:type="auto"/>
            <w:shd w:val="clear" w:color="auto" w:fill="auto"/>
          </w:tcPr>
          <w:p w14:paraId="0A09B774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E999930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57E1175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Aksaray</w:t>
            </w:r>
          </w:p>
        </w:tc>
        <w:tc>
          <w:tcPr>
            <w:tcW w:w="0" w:type="auto"/>
            <w:shd w:val="clear" w:color="auto" w:fill="auto"/>
          </w:tcPr>
          <w:p w14:paraId="507077E4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05B43D2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05E80164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596B8D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Balikesir</w:t>
            </w:r>
          </w:p>
        </w:tc>
        <w:tc>
          <w:tcPr>
            <w:tcW w:w="0" w:type="auto"/>
            <w:shd w:val="clear" w:color="auto" w:fill="auto"/>
          </w:tcPr>
          <w:p w14:paraId="523E6B1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Bandırma*</w:t>
            </w:r>
          </w:p>
        </w:tc>
        <w:tc>
          <w:tcPr>
            <w:tcW w:w="0" w:type="auto"/>
            <w:shd w:val="clear" w:color="auto" w:fill="auto"/>
          </w:tcPr>
          <w:p w14:paraId="3FA05BA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46B8B2A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089FAE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Balikesir</w:t>
            </w:r>
          </w:p>
        </w:tc>
        <w:tc>
          <w:tcPr>
            <w:tcW w:w="0" w:type="auto"/>
            <w:shd w:val="clear" w:color="auto" w:fill="auto"/>
          </w:tcPr>
          <w:p w14:paraId="386B0B6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İvrindi*</w:t>
            </w:r>
          </w:p>
        </w:tc>
        <w:tc>
          <w:tcPr>
            <w:tcW w:w="0" w:type="auto"/>
            <w:shd w:val="clear" w:color="auto" w:fill="auto"/>
          </w:tcPr>
          <w:p w14:paraId="7DA1D4B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3E0ABE3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CC693C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Balikesir</w:t>
            </w:r>
          </w:p>
        </w:tc>
        <w:tc>
          <w:tcPr>
            <w:tcW w:w="0" w:type="auto"/>
            <w:shd w:val="clear" w:color="auto" w:fill="auto"/>
          </w:tcPr>
          <w:p w14:paraId="191F80F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68A2AD5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5061939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D2EEFA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Bursa</w:t>
            </w:r>
          </w:p>
        </w:tc>
        <w:tc>
          <w:tcPr>
            <w:tcW w:w="0" w:type="auto"/>
            <w:shd w:val="clear" w:color="auto" w:fill="auto"/>
          </w:tcPr>
          <w:p w14:paraId="2CAD428C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Gemlik*</w:t>
            </w:r>
          </w:p>
        </w:tc>
        <w:tc>
          <w:tcPr>
            <w:tcW w:w="0" w:type="auto"/>
            <w:shd w:val="clear" w:color="auto" w:fill="auto"/>
          </w:tcPr>
          <w:p w14:paraId="0DDEBD05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06D116CE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4602603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Erzurum</w:t>
            </w:r>
          </w:p>
        </w:tc>
        <w:tc>
          <w:tcPr>
            <w:tcW w:w="0" w:type="auto"/>
            <w:shd w:val="clear" w:color="auto" w:fill="auto"/>
          </w:tcPr>
          <w:p w14:paraId="64322D3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Tekman*</w:t>
            </w:r>
          </w:p>
        </w:tc>
        <w:tc>
          <w:tcPr>
            <w:tcW w:w="0" w:type="auto"/>
            <w:shd w:val="clear" w:color="auto" w:fill="auto"/>
          </w:tcPr>
          <w:p w14:paraId="73FE88C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798CAA49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E64836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Erzincan</w:t>
            </w:r>
          </w:p>
        </w:tc>
        <w:tc>
          <w:tcPr>
            <w:tcW w:w="0" w:type="auto"/>
            <w:shd w:val="clear" w:color="auto" w:fill="auto"/>
          </w:tcPr>
          <w:p w14:paraId="1112B4F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Tercan*</w:t>
            </w:r>
          </w:p>
        </w:tc>
        <w:tc>
          <w:tcPr>
            <w:tcW w:w="0" w:type="auto"/>
            <w:shd w:val="clear" w:color="auto" w:fill="auto"/>
          </w:tcPr>
          <w:p w14:paraId="15B5C67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5876EF16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246D9C8C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Isparta</w:t>
            </w:r>
          </w:p>
        </w:tc>
        <w:tc>
          <w:tcPr>
            <w:tcW w:w="0" w:type="auto"/>
            <w:shd w:val="clear" w:color="auto" w:fill="auto"/>
          </w:tcPr>
          <w:p w14:paraId="1C1B5B3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Uluborlu*</w:t>
            </w:r>
          </w:p>
        </w:tc>
        <w:tc>
          <w:tcPr>
            <w:tcW w:w="0" w:type="auto"/>
            <w:shd w:val="clear" w:color="auto" w:fill="auto"/>
          </w:tcPr>
          <w:p w14:paraId="6087E55C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5F8BBC7F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5BEF1B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lastRenderedPageBreak/>
              <w:t>Karabük</w:t>
            </w:r>
          </w:p>
        </w:tc>
        <w:tc>
          <w:tcPr>
            <w:tcW w:w="0" w:type="auto"/>
            <w:shd w:val="clear" w:color="auto" w:fill="auto"/>
          </w:tcPr>
          <w:p w14:paraId="694BC15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Eflani*</w:t>
            </w:r>
          </w:p>
        </w:tc>
        <w:tc>
          <w:tcPr>
            <w:tcW w:w="0" w:type="auto"/>
            <w:shd w:val="clear" w:color="auto" w:fill="auto"/>
          </w:tcPr>
          <w:p w14:paraId="1A44E18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E13262F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ECB3B8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Giresun</w:t>
            </w:r>
          </w:p>
        </w:tc>
        <w:tc>
          <w:tcPr>
            <w:tcW w:w="0" w:type="auto"/>
            <w:shd w:val="clear" w:color="auto" w:fill="auto"/>
          </w:tcPr>
          <w:p w14:paraId="25B7EA1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Yağlıdere*</w:t>
            </w:r>
          </w:p>
        </w:tc>
        <w:tc>
          <w:tcPr>
            <w:tcW w:w="0" w:type="auto"/>
            <w:shd w:val="clear" w:color="auto" w:fill="auto"/>
          </w:tcPr>
          <w:p w14:paraId="1B9C166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5CE05BFE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4FACB39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Rize</w:t>
            </w:r>
          </w:p>
        </w:tc>
        <w:tc>
          <w:tcPr>
            <w:tcW w:w="0" w:type="auto"/>
            <w:shd w:val="clear" w:color="auto" w:fill="auto"/>
          </w:tcPr>
          <w:p w14:paraId="2F726B84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Çamlıhemşin*</w:t>
            </w:r>
          </w:p>
        </w:tc>
        <w:tc>
          <w:tcPr>
            <w:tcW w:w="0" w:type="auto"/>
            <w:shd w:val="clear" w:color="auto" w:fill="auto"/>
          </w:tcPr>
          <w:p w14:paraId="5393819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0DE24E9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2636180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Tokat</w:t>
            </w:r>
          </w:p>
        </w:tc>
        <w:tc>
          <w:tcPr>
            <w:tcW w:w="0" w:type="auto"/>
            <w:shd w:val="clear" w:color="auto" w:fill="auto"/>
          </w:tcPr>
          <w:p w14:paraId="0445C9C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Zile*</w:t>
            </w:r>
          </w:p>
        </w:tc>
        <w:tc>
          <w:tcPr>
            <w:tcW w:w="0" w:type="auto"/>
            <w:shd w:val="clear" w:color="auto" w:fill="auto"/>
          </w:tcPr>
          <w:p w14:paraId="045B627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70078906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253ACDC5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Tokat</w:t>
            </w:r>
          </w:p>
        </w:tc>
        <w:tc>
          <w:tcPr>
            <w:tcW w:w="0" w:type="auto"/>
            <w:shd w:val="clear" w:color="auto" w:fill="auto"/>
          </w:tcPr>
          <w:p w14:paraId="5BF4D13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Başçiftlik*</w:t>
            </w:r>
          </w:p>
        </w:tc>
        <w:tc>
          <w:tcPr>
            <w:tcW w:w="0" w:type="auto"/>
            <w:shd w:val="clear" w:color="auto" w:fill="auto"/>
          </w:tcPr>
          <w:p w14:paraId="5A0AEBD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CD37B72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C20A22A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Usak</w:t>
            </w:r>
          </w:p>
        </w:tc>
        <w:tc>
          <w:tcPr>
            <w:tcW w:w="0" w:type="auto"/>
            <w:shd w:val="clear" w:color="auto" w:fill="auto"/>
          </w:tcPr>
          <w:p w14:paraId="3AFA102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264B9658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85FA7CF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833973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Usak</w:t>
            </w:r>
          </w:p>
        </w:tc>
        <w:tc>
          <w:tcPr>
            <w:tcW w:w="0" w:type="auto"/>
            <w:shd w:val="clear" w:color="auto" w:fill="auto"/>
          </w:tcPr>
          <w:p w14:paraId="0E3CC172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Eşme*</w:t>
            </w:r>
          </w:p>
        </w:tc>
        <w:tc>
          <w:tcPr>
            <w:tcW w:w="0" w:type="auto"/>
            <w:shd w:val="clear" w:color="auto" w:fill="auto"/>
          </w:tcPr>
          <w:p w14:paraId="4BD5E93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DC0B8F7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8B59414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Aydin</w:t>
            </w:r>
          </w:p>
        </w:tc>
        <w:tc>
          <w:tcPr>
            <w:tcW w:w="0" w:type="auto"/>
            <w:shd w:val="clear" w:color="auto" w:fill="auto"/>
          </w:tcPr>
          <w:p w14:paraId="28FEA1FA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Köşk*</w:t>
            </w:r>
          </w:p>
        </w:tc>
        <w:tc>
          <w:tcPr>
            <w:tcW w:w="0" w:type="auto"/>
            <w:shd w:val="clear" w:color="auto" w:fill="auto"/>
          </w:tcPr>
          <w:p w14:paraId="4B98BE1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FA219FF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2584C24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Çorum</w:t>
            </w:r>
          </w:p>
        </w:tc>
        <w:tc>
          <w:tcPr>
            <w:tcW w:w="0" w:type="auto"/>
            <w:shd w:val="clear" w:color="auto" w:fill="auto"/>
          </w:tcPr>
          <w:p w14:paraId="711F1DB9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Kargı*</w:t>
            </w:r>
          </w:p>
        </w:tc>
        <w:tc>
          <w:tcPr>
            <w:tcW w:w="0" w:type="auto"/>
            <w:shd w:val="clear" w:color="auto" w:fill="auto"/>
          </w:tcPr>
          <w:p w14:paraId="51C437E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871A076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38CC2D7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Erzincan</w:t>
            </w:r>
          </w:p>
        </w:tc>
        <w:tc>
          <w:tcPr>
            <w:tcW w:w="0" w:type="auto"/>
            <w:shd w:val="clear" w:color="auto" w:fill="auto"/>
          </w:tcPr>
          <w:p w14:paraId="0BFA1D4F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Merkez*</w:t>
            </w:r>
          </w:p>
        </w:tc>
        <w:tc>
          <w:tcPr>
            <w:tcW w:w="0" w:type="auto"/>
            <w:shd w:val="clear" w:color="auto" w:fill="auto"/>
          </w:tcPr>
          <w:p w14:paraId="15430DB5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1EF6AD7F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4A25A23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Eskisehir</w:t>
            </w:r>
          </w:p>
        </w:tc>
        <w:tc>
          <w:tcPr>
            <w:tcW w:w="0" w:type="auto"/>
            <w:shd w:val="clear" w:color="auto" w:fill="auto"/>
          </w:tcPr>
          <w:p w14:paraId="20CBE4AE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Beylikova*</w:t>
            </w:r>
          </w:p>
        </w:tc>
        <w:tc>
          <w:tcPr>
            <w:tcW w:w="0" w:type="auto"/>
            <w:shd w:val="clear" w:color="auto" w:fill="auto"/>
          </w:tcPr>
          <w:p w14:paraId="4910A78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6345FAD0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786AAC5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Eskisehir</w:t>
            </w:r>
          </w:p>
        </w:tc>
        <w:tc>
          <w:tcPr>
            <w:tcW w:w="0" w:type="auto"/>
            <w:shd w:val="clear" w:color="auto" w:fill="auto"/>
          </w:tcPr>
          <w:p w14:paraId="2F6353B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424242"/>
                <w:sz w:val="24"/>
                <w:szCs w:val="24"/>
                <w:shd w:val="clear" w:color="auto" w:fill="FFFFFF"/>
              </w:rPr>
              <w:t>Seyitgazi*</w:t>
            </w:r>
          </w:p>
        </w:tc>
        <w:tc>
          <w:tcPr>
            <w:tcW w:w="0" w:type="auto"/>
            <w:shd w:val="clear" w:color="auto" w:fill="auto"/>
          </w:tcPr>
          <w:p w14:paraId="108F449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4CDA34D1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EB3E7B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Kütahya</w:t>
            </w:r>
          </w:p>
        </w:tc>
        <w:tc>
          <w:tcPr>
            <w:tcW w:w="0" w:type="auto"/>
            <w:shd w:val="clear" w:color="auto" w:fill="auto"/>
          </w:tcPr>
          <w:p w14:paraId="26CDFFE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Tavşanlı*</w:t>
            </w:r>
          </w:p>
        </w:tc>
        <w:tc>
          <w:tcPr>
            <w:tcW w:w="0" w:type="auto"/>
            <w:shd w:val="clear" w:color="auto" w:fill="auto"/>
          </w:tcPr>
          <w:p w14:paraId="47DEE3E9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2C02E318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A29013A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Bursa</w:t>
            </w:r>
          </w:p>
        </w:tc>
        <w:tc>
          <w:tcPr>
            <w:tcW w:w="0" w:type="auto"/>
            <w:shd w:val="clear" w:color="auto" w:fill="auto"/>
          </w:tcPr>
          <w:p w14:paraId="4220FCF7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Orhangazi*</w:t>
            </w:r>
          </w:p>
        </w:tc>
        <w:tc>
          <w:tcPr>
            <w:tcW w:w="0" w:type="auto"/>
            <w:shd w:val="clear" w:color="auto" w:fill="auto"/>
          </w:tcPr>
          <w:p w14:paraId="069562F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1F4AE967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5CED422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Bursa</w:t>
            </w:r>
          </w:p>
        </w:tc>
        <w:tc>
          <w:tcPr>
            <w:tcW w:w="0" w:type="auto"/>
            <w:shd w:val="clear" w:color="auto" w:fill="auto"/>
          </w:tcPr>
          <w:p w14:paraId="6AACC99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Orhaneli*</w:t>
            </w:r>
          </w:p>
        </w:tc>
        <w:tc>
          <w:tcPr>
            <w:tcW w:w="0" w:type="auto"/>
            <w:shd w:val="clear" w:color="auto" w:fill="auto"/>
          </w:tcPr>
          <w:p w14:paraId="01BF346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F6A4390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17E8E9E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pacing w:val="3"/>
                <w:sz w:val="24"/>
                <w:szCs w:val="24"/>
              </w:rPr>
              <w:t>Çanakkale</w:t>
            </w:r>
          </w:p>
        </w:tc>
        <w:tc>
          <w:tcPr>
            <w:tcW w:w="0" w:type="auto"/>
            <w:shd w:val="clear" w:color="auto" w:fill="auto"/>
          </w:tcPr>
          <w:p w14:paraId="5D628A27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</w:rPr>
              <w:t>Lapseki*</w:t>
            </w:r>
          </w:p>
        </w:tc>
        <w:tc>
          <w:tcPr>
            <w:tcW w:w="0" w:type="auto"/>
            <w:shd w:val="clear" w:color="auto" w:fill="auto"/>
          </w:tcPr>
          <w:p w14:paraId="285AD356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7CE758B2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6AAEC36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pacing w:val="3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Agri</w:t>
            </w:r>
          </w:p>
        </w:tc>
        <w:tc>
          <w:tcPr>
            <w:tcW w:w="0" w:type="auto"/>
            <w:shd w:val="clear" w:color="auto" w:fill="auto"/>
          </w:tcPr>
          <w:p w14:paraId="4D8C1DD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Doğubeyazıt*</w:t>
            </w:r>
          </w:p>
        </w:tc>
        <w:tc>
          <w:tcPr>
            <w:tcW w:w="0" w:type="auto"/>
            <w:shd w:val="clear" w:color="auto" w:fill="auto"/>
          </w:tcPr>
          <w:p w14:paraId="1360A00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1D34D960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52429B0D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Kütahya</w:t>
            </w:r>
          </w:p>
        </w:tc>
        <w:tc>
          <w:tcPr>
            <w:tcW w:w="0" w:type="auto"/>
            <w:shd w:val="clear" w:color="auto" w:fill="auto"/>
          </w:tcPr>
          <w:p w14:paraId="60431B43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</w:pPr>
            <w:r w:rsidRPr="00EA49BD">
              <w:rPr>
                <w:rFonts w:ascii="Garamond" w:hAnsi="Garamond"/>
                <w:color w:val="424242"/>
                <w:sz w:val="24"/>
                <w:szCs w:val="24"/>
                <w:shd w:val="clear" w:color="auto" w:fill="FFFFFF"/>
              </w:rPr>
              <w:t>Gediz*</w:t>
            </w:r>
          </w:p>
        </w:tc>
        <w:tc>
          <w:tcPr>
            <w:tcW w:w="0" w:type="auto"/>
            <w:shd w:val="clear" w:color="auto" w:fill="auto"/>
          </w:tcPr>
          <w:p w14:paraId="0979B581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7546CA" w:rsidRPr="00EA49BD" w14:paraId="3E42B8B1" w14:textId="77777777" w:rsidTr="00EA49BD">
        <w:trPr>
          <w:jc w:val="center"/>
        </w:trPr>
        <w:tc>
          <w:tcPr>
            <w:tcW w:w="0" w:type="auto"/>
            <w:shd w:val="clear" w:color="auto" w:fill="auto"/>
          </w:tcPr>
          <w:p w14:paraId="0F84049B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</w:pPr>
            <w:r w:rsidRPr="00EA49BD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</w:rPr>
              <w:t>Malatya</w:t>
            </w:r>
          </w:p>
        </w:tc>
        <w:tc>
          <w:tcPr>
            <w:tcW w:w="0" w:type="auto"/>
            <w:shd w:val="clear" w:color="auto" w:fill="auto"/>
          </w:tcPr>
          <w:p w14:paraId="56B161C9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424242"/>
                <w:sz w:val="24"/>
                <w:szCs w:val="24"/>
                <w:shd w:val="clear" w:color="auto" w:fill="FFFFFF"/>
              </w:rPr>
            </w:pPr>
            <w:r w:rsidRPr="00EA49BD">
              <w:rPr>
                <w:rFonts w:ascii="Garamond" w:hAnsi="Garamond"/>
                <w:color w:val="424242"/>
                <w:sz w:val="24"/>
                <w:szCs w:val="24"/>
                <w:shd w:val="clear" w:color="auto" w:fill="FFFFFF"/>
              </w:rPr>
              <w:t>Yazıhan*</w:t>
            </w:r>
          </w:p>
        </w:tc>
        <w:tc>
          <w:tcPr>
            <w:tcW w:w="0" w:type="auto"/>
            <w:shd w:val="clear" w:color="auto" w:fill="auto"/>
          </w:tcPr>
          <w:p w14:paraId="6E012DB0" w14:textId="77777777" w:rsidR="007546CA" w:rsidRPr="00EA49BD" w:rsidRDefault="007546CA" w:rsidP="009D02B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</w:tbl>
    <w:p w14:paraId="20B42C9A" w14:textId="77777777" w:rsidR="000C59B3" w:rsidRPr="00EA49BD" w:rsidRDefault="000C59B3" w:rsidP="000C59B3">
      <w:pPr>
        <w:tabs>
          <w:tab w:val="left" w:pos="3330"/>
          <w:tab w:val="left" w:pos="6210"/>
          <w:tab w:val="left" w:pos="902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i/>
          <w:iCs/>
          <w:sz w:val="24"/>
        </w:rPr>
        <w:t>Shënime</w:t>
      </w:r>
      <w:r w:rsidR="00EA49BD">
        <w:rPr>
          <w:rFonts w:ascii="Garamond" w:hAnsi="Garamond" w:cs="Times New Roman"/>
          <w:i/>
          <w:iCs/>
          <w:sz w:val="24"/>
        </w:rPr>
        <w:t>.</w:t>
      </w:r>
      <w:r w:rsidRPr="00EA49BD">
        <w:rPr>
          <w:rFonts w:ascii="Garamond" w:hAnsi="Garamond" w:cs="Times New Roman"/>
          <w:i/>
          <w:iCs/>
          <w:sz w:val="24"/>
        </w:rPr>
        <w:t xml:space="preserve"> Simboli (*) nënkupton zonën e infektuar që bllokohet.</w:t>
      </w:r>
    </w:p>
    <w:p w14:paraId="3B1FE2AB" w14:textId="77777777" w:rsidR="000C59B3" w:rsidRPr="00EA49BD" w:rsidRDefault="000C59B3" w:rsidP="000C59B3">
      <w:pPr>
        <w:tabs>
          <w:tab w:val="left" w:pos="3330"/>
          <w:tab w:val="left" w:pos="6210"/>
          <w:tab w:val="left" w:pos="902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</w:p>
    <w:p w14:paraId="514781FA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 xml:space="preserve">2. Lejimin e importit dhe tranzitimit për në territorin e Republikës së Shqipërisë </w:t>
      </w:r>
      <w:r w:rsidR="00EA49BD" w:rsidRPr="008B63A3">
        <w:rPr>
          <w:rFonts w:ascii="Garamond" w:hAnsi="Garamond" w:cs="Times New Roman"/>
          <w:sz w:val="24"/>
          <w:szCs w:val="24"/>
        </w:rPr>
        <w:t>të</w:t>
      </w:r>
      <w:r w:rsidRPr="00EA49BD">
        <w:rPr>
          <w:rFonts w:ascii="Garamond" w:hAnsi="Garamond" w:cs="Times New Roman"/>
          <w:sz w:val="24"/>
        </w:rPr>
        <w:t xml:space="preserve"> të gjith</w:t>
      </w:r>
      <w:r w:rsidR="00EA49BD">
        <w:rPr>
          <w:rFonts w:ascii="Garamond" w:hAnsi="Garamond" w:cs="Times New Roman"/>
          <w:sz w:val="24"/>
        </w:rPr>
        <w:t>a</w:t>
      </w:r>
      <w:r w:rsidRPr="00EA49BD">
        <w:rPr>
          <w:rFonts w:ascii="Garamond" w:hAnsi="Garamond" w:cs="Times New Roman"/>
          <w:sz w:val="24"/>
        </w:rPr>
        <w:t xml:space="preserve"> kafshëve të gjalla të llojit të dhirta dhe të leshta, materialit biologjik, dhe nënprodukteve të kafshëve të llojit të dhirta dhe të leshta, nga ndarjet administrative të shtetit të Turqisë</w:t>
      </w:r>
      <w:r w:rsidR="00EA49BD">
        <w:rPr>
          <w:rFonts w:ascii="Garamond" w:hAnsi="Garamond" w:cs="Times New Roman"/>
          <w:sz w:val="24"/>
        </w:rPr>
        <w:t>,</w:t>
      </w:r>
      <w:r w:rsidRPr="00EA49BD">
        <w:rPr>
          <w:rFonts w:ascii="Garamond" w:hAnsi="Garamond" w:cs="Times New Roman"/>
          <w:sz w:val="24"/>
        </w:rPr>
        <w:t xml:space="preserve"> të cilat nuk janë të cituara në tabelën e mësipërme, të pa infektuara nga sëmundja, nëse plotësohen kushtet e mëposhtme nga pika 2.1 deri në pikën 2.3:</w:t>
      </w:r>
    </w:p>
    <w:p w14:paraId="3F523514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2.1</w:t>
      </w:r>
      <w:r w:rsidR="00EA49BD">
        <w:rPr>
          <w:rFonts w:ascii="Garamond" w:hAnsi="Garamond" w:cs="Times New Roman"/>
          <w:sz w:val="24"/>
        </w:rPr>
        <w:t xml:space="preserve"> </w:t>
      </w:r>
      <w:r w:rsidRPr="00EA49BD">
        <w:rPr>
          <w:rFonts w:ascii="Garamond" w:hAnsi="Garamond" w:cs="Times New Roman"/>
          <w:sz w:val="24"/>
        </w:rPr>
        <w:t>Për kafshët e llojit të dhirta dhe të leshta certifikata veterinare duhet të vërtetojë që kafshët:</w:t>
      </w:r>
    </w:p>
    <w:p w14:paraId="4FCB114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a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nuk kanë shfaqur asnjë shenjë klinike të lisë së dhenve ose dhive në ditën e dërgesës;</w:t>
      </w:r>
    </w:p>
    <w:p w14:paraId="3C621EBE" w14:textId="77777777" w:rsidR="000C59B3" w:rsidRPr="00EA49BD" w:rsidRDefault="000C59B3" w:rsidP="0075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b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janë mbajtur që nga lindja, ose për 21 ditët e fundit, në një stabiliment ku nuk është raportuar zyrtarisht asnjë rast i lisë së dhenve ose dhive gjatë asaj periudhe, dhe se</w:t>
      </w:r>
      <w:r w:rsidR="00EA49BD">
        <w:rPr>
          <w:rFonts w:ascii="Garamond" w:hAnsi="Garamond" w:cs="Times New Roman"/>
          <w:sz w:val="24"/>
        </w:rPr>
        <w:t xml:space="preserve"> </w:t>
      </w:r>
      <w:r w:rsidRPr="00EA49BD">
        <w:rPr>
          <w:rFonts w:ascii="Garamond" w:hAnsi="Garamond" w:cs="Times New Roman"/>
          <w:sz w:val="24"/>
        </w:rPr>
        <w:t>stabilimenti nuk ka qenë i vendosur në një zonë të infektuar me linë e dhenve ose të dhive</w:t>
      </w:r>
      <w:r w:rsidR="00EA49BD">
        <w:rPr>
          <w:rFonts w:ascii="Garamond" w:hAnsi="Garamond" w:cs="Times New Roman"/>
          <w:sz w:val="24"/>
        </w:rPr>
        <w:t>;</w:t>
      </w:r>
      <w:r w:rsidRPr="00EA49BD">
        <w:rPr>
          <w:rFonts w:ascii="Garamond" w:hAnsi="Garamond" w:cs="Times New Roman"/>
          <w:sz w:val="24"/>
        </w:rPr>
        <w:t xml:space="preserve"> ose</w:t>
      </w:r>
    </w:p>
    <w:p w14:paraId="1B422BFA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c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janë mbajtur në një stacion karantine për 21 ditë para dërgesës;</w:t>
      </w:r>
    </w:p>
    <w:p w14:paraId="549DDE3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d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nuk janë vaksinuar kundër lisë së dhenve dhe dhive</w:t>
      </w:r>
      <w:r w:rsidR="00EA49BD">
        <w:rPr>
          <w:rFonts w:ascii="Garamond" w:hAnsi="Garamond" w:cs="Times New Roman"/>
          <w:sz w:val="24"/>
        </w:rPr>
        <w:t>;</w:t>
      </w:r>
      <w:r w:rsidRPr="00EA49BD">
        <w:rPr>
          <w:rFonts w:ascii="Garamond" w:hAnsi="Garamond" w:cs="Times New Roman"/>
          <w:sz w:val="24"/>
        </w:rPr>
        <w:t xml:space="preserve"> ose</w:t>
      </w:r>
    </w:p>
    <w:p w14:paraId="4762363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e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janë vaksinuar duke përdorur një vaksinë që përputhet me standardet e përshkruara në Manualin Tokësor jo më pak se 15 ditë dhe jo më shumë se 4 muaj përpara dërgesës (natyra e vaksinës së përdorur, nëse është virusi i gjallë, i çaktivizuar apo i modifikuar, llojet dhe shtamet e virusit të përfshirë në vaksinë duhet të shënohen në certifikatë).</w:t>
      </w:r>
    </w:p>
    <w:p w14:paraId="1DC61D0B" w14:textId="77777777" w:rsidR="000C59B3" w:rsidRPr="00EA49BD" w:rsidRDefault="000C59B3" w:rsidP="000C59B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2.2 Për spermën e cjepëve dhe deshëve, certifikata veterinare duhet të vërtetojë se kafshët dhuruese:</w:t>
      </w:r>
    </w:p>
    <w:p w14:paraId="5454F2A8" w14:textId="77777777" w:rsidR="000C59B3" w:rsidRPr="00EA49BD" w:rsidRDefault="000C59B3" w:rsidP="000C59B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a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nuk shfaqin asnjë shenjë klinike të lisë së dhenve ose dhive në ditën e mbledhjes së spermës dhe për 21 ditët në vijim;</w:t>
      </w:r>
    </w:p>
    <w:p w14:paraId="59EDF1B1" w14:textId="77777777" w:rsidR="000C59B3" w:rsidRPr="00EA49BD" w:rsidRDefault="000C59B3" w:rsidP="000C59B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b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janë mbajtur në vendin eksportues për 21 ditë para grumbullimit, në një stabiliment ose qendër fekondimi artificial ku nuk janë raportuar zyrtarisht asnjë rast i lisë së dhenve dhe dhive gjatë asaj periudhe, dhe se stabilimenti ose qendra e mbarështimit artificial nuk është e vendosur në zonën e infektuar të lisë së dhenve dhe dhive;</w:t>
      </w:r>
    </w:p>
    <w:p w14:paraId="185E0B44" w14:textId="77777777" w:rsidR="000C59B3" w:rsidRPr="00EA49BD" w:rsidRDefault="000C59B3" w:rsidP="000C59B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c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nuk janë vaksinuar kundër lisë së dhenve dhe dhive</w:t>
      </w:r>
      <w:r w:rsidR="00EA49BD">
        <w:rPr>
          <w:rFonts w:ascii="Garamond" w:hAnsi="Garamond" w:cs="Times New Roman"/>
          <w:sz w:val="24"/>
        </w:rPr>
        <w:t>;</w:t>
      </w:r>
      <w:r w:rsidRPr="00EA49BD">
        <w:rPr>
          <w:rFonts w:ascii="Garamond" w:hAnsi="Garamond" w:cs="Times New Roman"/>
          <w:sz w:val="24"/>
        </w:rPr>
        <w:t xml:space="preserve"> ose</w:t>
      </w:r>
    </w:p>
    <w:p w14:paraId="6AE2DBC2" w14:textId="77777777" w:rsidR="000C59B3" w:rsidRPr="00EA49BD" w:rsidRDefault="000C59B3" w:rsidP="000C59B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lastRenderedPageBreak/>
        <w:t>d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janë vaksinuar duke përdorur një vaksinë që përputhet me standardet e përshkruara në Manualin Tokësor (natyra e vaksinës së përdorur, nëse është virus i gjallë i inaktivuar apo i modifikuar, llojet dhe shtamet e virusit të përfshira në vaksinë do të tregohen gjithashtu në certifikatë).</w:t>
      </w:r>
    </w:p>
    <w:p w14:paraId="1C159A30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2.3 Për lëkurën dhe leshin e kafshëve të llojit të dhirta dhe të leshta, certifikata veterinare duhet të vërtetojë se këto produkte:</w:t>
      </w:r>
    </w:p>
    <w:p w14:paraId="03C8EEE5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a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vijnë nga kafshë që nuk janë mbajtur në zonën e infektuar me linë e dhenve dhe të dhive</w:t>
      </w:r>
      <w:r w:rsidR="00EA49BD">
        <w:rPr>
          <w:rFonts w:ascii="Garamond" w:hAnsi="Garamond" w:cs="Times New Roman"/>
          <w:sz w:val="24"/>
        </w:rPr>
        <w:t>;</w:t>
      </w:r>
      <w:r w:rsidRPr="00EA49BD">
        <w:rPr>
          <w:rFonts w:ascii="Garamond" w:hAnsi="Garamond" w:cs="Times New Roman"/>
          <w:sz w:val="24"/>
        </w:rPr>
        <w:t xml:space="preserve"> ose</w:t>
      </w:r>
    </w:p>
    <w:p w14:paraId="4E81774B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b</w:t>
      </w:r>
      <w:r w:rsidR="007546CA" w:rsidRPr="00EA49BD">
        <w:rPr>
          <w:rFonts w:ascii="Garamond" w:hAnsi="Garamond" w:cs="Times New Roman"/>
          <w:sz w:val="24"/>
        </w:rPr>
        <w:t>)</w:t>
      </w:r>
      <w:r w:rsidRPr="00EA49BD">
        <w:rPr>
          <w:rFonts w:ascii="Garamond" w:hAnsi="Garamond" w:cs="Times New Roman"/>
          <w:sz w:val="24"/>
        </w:rPr>
        <w:t xml:space="preserve"> janë përpunuar për të garantuar asgjësimin e virusit të lisë së dhenve dhe dhive, në ambiente të kontrolluara dhe të miratuara nga Autoriteti Veterinar i vendit eksportues.</w:t>
      </w:r>
    </w:p>
    <w:p w14:paraId="57CA699D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 xml:space="preserve">3.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 </w:t>
      </w:r>
    </w:p>
    <w:p w14:paraId="0B427F0F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 xml:space="preserve">4. Urdhri </w:t>
      </w:r>
      <w:r w:rsidR="00EA49BD">
        <w:rPr>
          <w:rFonts w:ascii="Garamond" w:hAnsi="Garamond" w:cs="Times New Roman"/>
          <w:sz w:val="24"/>
        </w:rPr>
        <w:t>n</w:t>
      </w:r>
      <w:r w:rsidRPr="00EA49BD">
        <w:rPr>
          <w:rFonts w:ascii="Garamond" w:hAnsi="Garamond" w:cs="Times New Roman"/>
          <w:sz w:val="24"/>
        </w:rPr>
        <w:t>r. 676, datë 6.9.2024</w:t>
      </w:r>
      <w:r w:rsidR="00EA49BD">
        <w:rPr>
          <w:rFonts w:ascii="Garamond" w:hAnsi="Garamond" w:cs="Times New Roman"/>
          <w:sz w:val="24"/>
        </w:rPr>
        <w:t>,</w:t>
      </w:r>
      <w:r w:rsidRPr="00EA49BD">
        <w:rPr>
          <w:rFonts w:ascii="Garamond" w:hAnsi="Garamond" w:cs="Times New Roman"/>
          <w:sz w:val="24"/>
        </w:rPr>
        <w:t xml:space="preserve"> </w:t>
      </w:r>
      <w:r w:rsidRPr="00EA49BD">
        <w:rPr>
          <w:rFonts w:ascii="Garamond" w:hAnsi="Garamond" w:cs="Times New Roman"/>
          <w:iCs/>
          <w:sz w:val="24"/>
        </w:rPr>
        <w:t>“Për disa masa mbrojtëse ndaj sëmundjes së lisë së dhenve dhe dhive të shfaqur në shtetin e Turqisë”,</w:t>
      </w:r>
      <w:r w:rsidRPr="00EA49BD">
        <w:rPr>
          <w:rFonts w:ascii="Garamond" w:hAnsi="Garamond" w:cs="Times New Roman"/>
          <w:sz w:val="24"/>
        </w:rPr>
        <w:t xml:space="preserve"> shfuqizohet.</w:t>
      </w:r>
    </w:p>
    <w:p w14:paraId="11111FD2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58FE65B3" w14:textId="77777777" w:rsidR="000C59B3" w:rsidRPr="00EA49BD" w:rsidRDefault="000C59B3" w:rsidP="000C59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EA49BD">
        <w:rPr>
          <w:rFonts w:ascii="Garamond" w:hAnsi="Garamond" w:cs="Times New Roman"/>
          <w:sz w:val="24"/>
        </w:rPr>
        <w:t>Ky urdhër hyn në fuqi menjëherë dhe botohet në Fletoren Zyrtare.</w:t>
      </w:r>
    </w:p>
    <w:p w14:paraId="32905686" w14:textId="77777777" w:rsidR="00FF11BA" w:rsidRPr="00EA49BD" w:rsidRDefault="00FF11BA" w:rsidP="000C59B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6289CE5" w14:textId="77777777" w:rsidR="007E01AE" w:rsidRPr="00EA49BD" w:rsidRDefault="007E01AE" w:rsidP="007E01A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0" w:name="_GoBack"/>
      <w:bookmarkEnd w:id="0"/>
      <w:r w:rsidRPr="00EA49BD">
        <w:rPr>
          <w:rFonts w:ascii="Garamond" w:hAnsi="Garamond"/>
          <w:sz w:val="24"/>
        </w:rPr>
        <w:t xml:space="preserve">ZËVENDËSMINISTËR I BUJQËSISË </w:t>
      </w:r>
    </w:p>
    <w:p w14:paraId="1F17CD11" w14:textId="77777777" w:rsidR="007E01AE" w:rsidRPr="00EA49BD" w:rsidRDefault="007E01AE" w:rsidP="007E01A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A49BD">
        <w:rPr>
          <w:rFonts w:ascii="Garamond" w:hAnsi="Garamond"/>
          <w:sz w:val="24"/>
        </w:rPr>
        <w:t>DHE ZHVILLIMIT RURAL</w:t>
      </w:r>
    </w:p>
    <w:p w14:paraId="6F22D0C7" w14:textId="77777777" w:rsidR="007E01AE" w:rsidRPr="00EA49BD" w:rsidRDefault="007E01AE" w:rsidP="007E01A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A49BD">
        <w:rPr>
          <w:rFonts w:ascii="Garamond" w:hAnsi="Garamond"/>
          <w:b/>
          <w:sz w:val="24"/>
        </w:rPr>
        <w:t>Arian Jaupllari</w:t>
      </w:r>
      <w:bookmarkStart w:id="1" w:name="_Hlk173411645"/>
      <w:bookmarkEnd w:id="1"/>
    </w:p>
    <w:p w14:paraId="25B046B3" w14:textId="77777777" w:rsidR="007E01AE" w:rsidRPr="00EA49BD" w:rsidRDefault="007E01AE" w:rsidP="000C59B3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7E01AE" w:rsidRPr="00EA49BD" w:rsidSect="009D02B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B3"/>
    <w:rsid w:val="000C59B3"/>
    <w:rsid w:val="005B6760"/>
    <w:rsid w:val="006F7F4C"/>
    <w:rsid w:val="007546CA"/>
    <w:rsid w:val="007E01AE"/>
    <w:rsid w:val="00944DBE"/>
    <w:rsid w:val="009D02B5"/>
    <w:rsid w:val="00B73CD8"/>
    <w:rsid w:val="00CD6AAE"/>
    <w:rsid w:val="00E82C7D"/>
    <w:rsid w:val="00EA49B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DCE90"/>
  <w15:chartTrackingRefBased/>
  <w15:docId w15:val="{9D1E5A6B-A18A-478F-9B12-1EDA522E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0C59B3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rsid w:val="000C59B3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C59B3"/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7546C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2024-10-07T12:28:00Z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disa masa mbrojtëse ndaj sëmundjes së lisë së dhenve dhe dhive të shfaqur në shtetin e Turqisë</Titulli>
    <Modifikuesi xmlns="0e656187-b300-4fb0-8bf4-3a50f872073c">Fjora.Cahani</Modifikuesi>
    <Nr_x002e__x0020_prot_x0020_QBZ xmlns="0e656187-b300-4fb0-8bf4-3a50f872073c">1730/2</Nr_x002e__x0020_prot_x0020_QBZ>
    <Data_x0020_e_x0020_Modifikimit xmlns="0e656187-b300-4fb0-8bf4-3a50f872073c">2024-10-08T08:52:58Z</Data_x0020_e_x0020_Modifikimit>
    <Dekretuar xmlns="0e656187-b300-4fb0-8bf4-3a50f872073c">false</Dekretuar>
    <Data xmlns="0e656187-b300-4fb0-8bf4-3a50f872073c">2024-09-24T00:00:00Z</Data>
    <Nr_x002e__x0020_protokolli_x0020_i_x0020_aktit xmlns="0e656187-b300-4fb0-8bf4-3a50f872073c">6326/2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434D3C04E6454EA4AA6C592F7685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434D3C04E6454EA4AA6C592F7685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CDD033-5DAB-43AC-B1BD-92A135DFBC22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CE2C54E-8327-44D7-A351-0177015E4A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D2C48-B0C7-4870-B9B0-431C982BA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22F62A-C44B-4BA5-88D0-B41C217FA3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73307A-2AD4-45CE-A765-7F1F72A70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lisë së dhenve dhe dhive të shfaqur në shtetin e Turqisë</vt:lpstr>
    </vt:vector>
  </TitlesOfParts>
  <Company>AKSHI</Company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Turqisë</dc:title>
  <dc:creator>Ermira Bukaci</dc:creator>
  <cp:lastModifiedBy>Entela Suli</cp:lastModifiedBy>
  <cp:revision>7</cp:revision>
  <dcterms:created xsi:type="dcterms:W3CDTF">2024-10-07T11:37:00Z</dcterms:created>
  <dcterms:modified xsi:type="dcterms:W3CDTF">2024-10-08T08:32:00Z</dcterms:modified>
</cp:coreProperties>
</file>