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36D04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91401">
        <w:rPr>
          <w:rFonts w:ascii="Garamond" w:hAnsi="Garamond"/>
          <w:b/>
          <w:bCs/>
          <w:sz w:val="24"/>
          <w:szCs w:val="24"/>
        </w:rPr>
        <w:t>URDHËR</w:t>
      </w:r>
    </w:p>
    <w:p w14:paraId="045A2D6A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91401">
        <w:rPr>
          <w:rFonts w:ascii="Garamond" w:hAnsi="Garamond"/>
          <w:b/>
          <w:bCs/>
          <w:sz w:val="24"/>
          <w:szCs w:val="24"/>
        </w:rPr>
        <w:t>Nr. 751, datë 25.9.2024</w:t>
      </w:r>
    </w:p>
    <w:p w14:paraId="128CF1C2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23666F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91401">
        <w:rPr>
          <w:rFonts w:ascii="Garamond" w:hAnsi="Garamond"/>
          <w:b/>
          <w:bCs/>
          <w:sz w:val="24"/>
          <w:szCs w:val="24"/>
        </w:rPr>
        <w:t>PËR PËRDITËSIMIN E URDHRIT TË MINISTRIT NR. 275, DATË 5.5.2023,</w:t>
      </w:r>
    </w:p>
    <w:p w14:paraId="1D1D8AB1" w14:textId="6FA017D4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91401">
        <w:rPr>
          <w:rFonts w:ascii="Garamond" w:hAnsi="Garamond"/>
          <w:b/>
          <w:bCs/>
          <w:sz w:val="24"/>
          <w:szCs w:val="24"/>
        </w:rPr>
        <w:t>“PËR MIRATIMIN E LËNDËVE VEPRUESE DHE PËRBËRËSVE TË TJERË, NË PËRMBAJTJE TË PMB-</w:t>
      </w:r>
      <w:r w:rsidR="00A91401" w:rsidRPr="00A91401">
        <w:rPr>
          <w:rFonts w:ascii="Garamond" w:hAnsi="Garamond"/>
          <w:b/>
          <w:bCs/>
          <w:sz w:val="24"/>
          <w:szCs w:val="24"/>
        </w:rPr>
        <w:t>ve</w:t>
      </w:r>
      <w:r w:rsidRPr="00A91401">
        <w:rPr>
          <w:rFonts w:ascii="Garamond" w:hAnsi="Garamond"/>
          <w:b/>
          <w:bCs/>
          <w:sz w:val="24"/>
          <w:szCs w:val="24"/>
        </w:rPr>
        <w:t>”, TË NDRYSHUAR</w:t>
      </w:r>
    </w:p>
    <w:p w14:paraId="115E5E07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49EF15" w14:textId="3B12BD9C" w:rsidR="00D00AEE" w:rsidRPr="00A91401" w:rsidRDefault="00D00AEE" w:rsidP="00D00AEE">
      <w:pPr>
        <w:tabs>
          <w:tab w:val="left" w:pos="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Në mbështetje të nenit 102, pika 4 të Kushtetutës</w:t>
      </w:r>
      <w:r w:rsidR="00A91401">
        <w:rPr>
          <w:rFonts w:ascii="Garamond" w:hAnsi="Garamond"/>
          <w:sz w:val="24"/>
          <w:szCs w:val="24"/>
        </w:rPr>
        <w:t>;</w:t>
      </w:r>
      <w:r w:rsidRPr="00A91401">
        <w:rPr>
          <w:rFonts w:ascii="Garamond" w:hAnsi="Garamond"/>
          <w:sz w:val="24"/>
          <w:szCs w:val="24"/>
        </w:rPr>
        <w:t xml:space="preserve"> të nenit 19, pika 5, të kreut V, të </w:t>
      </w:r>
      <w:r w:rsidR="00A91401" w:rsidRPr="00A91401">
        <w:rPr>
          <w:rFonts w:ascii="Garamond" w:hAnsi="Garamond"/>
          <w:sz w:val="24"/>
          <w:szCs w:val="24"/>
        </w:rPr>
        <w:t>ligjit</w:t>
      </w:r>
      <w:r w:rsidR="00A91401">
        <w:rPr>
          <w:rFonts w:ascii="Garamond" w:hAnsi="Garamond"/>
          <w:sz w:val="24"/>
          <w:szCs w:val="24"/>
        </w:rPr>
        <w:t xml:space="preserve"> </w:t>
      </w:r>
      <w:r w:rsidR="00A91401" w:rsidRPr="00A91401">
        <w:rPr>
          <w:rFonts w:ascii="Garamond" w:hAnsi="Garamond"/>
          <w:sz w:val="24"/>
          <w:szCs w:val="24"/>
        </w:rPr>
        <w:t>n</w:t>
      </w:r>
      <w:r w:rsidRPr="00A91401">
        <w:rPr>
          <w:rFonts w:ascii="Garamond" w:hAnsi="Garamond"/>
          <w:sz w:val="24"/>
          <w:szCs w:val="24"/>
        </w:rPr>
        <w:t xml:space="preserve">r. 105/2016, “Për mbrojtjen e bimëve”, </w:t>
      </w:r>
      <w:r w:rsidR="00A91401" w:rsidRPr="00A91401">
        <w:rPr>
          <w:rFonts w:ascii="Garamond" w:hAnsi="Garamond"/>
          <w:sz w:val="24"/>
          <w:szCs w:val="24"/>
        </w:rPr>
        <w:t>të</w:t>
      </w:r>
      <w:r w:rsidRPr="00A91401">
        <w:rPr>
          <w:rFonts w:ascii="Garamond" w:hAnsi="Garamond"/>
          <w:sz w:val="24"/>
          <w:szCs w:val="24"/>
        </w:rPr>
        <w:t xml:space="preserve"> ndryshuar, si dhe të </w:t>
      </w:r>
      <w:r w:rsidR="00A91401" w:rsidRPr="00A91401">
        <w:rPr>
          <w:rFonts w:ascii="Garamond" w:hAnsi="Garamond"/>
          <w:sz w:val="24"/>
          <w:szCs w:val="24"/>
        </w:rPr>
        <w:t>vendimit n</w:t>
      </w:r>
      <w:r w:rsidRPr="00A91401">
        <w:rPr>
          <w:rFonts w:ascii="Garamond" w:hAnsi="Garamond"/>
          <w:sz w:val="24"/>
          <w:szCs w:val="24"/>
        </w:rPr>
        <w:t>r. 335, datë 6.6.2018, të Këshillit të Ministrave, “Për miratimin e rregullave për regjistrimin</w:t>
      </w:r>
      <w:r w:rsidR="00A91401">
        <w:rPr>
          <w:rFonts w:ascii="Garamond" w:hAnsi="Garamond"/>
          <w:sz w:val="24"/>
          <w:szCs w:val="24"/>
        </w:rPr>
        <w:t>,</w:t>
      </w:r>
      <w:r w:rsidRPr="00A91401">
        <w:rPr>
          <w:rFonts w:ascii="Garamond" w:hAnsi="Garamond"/>
          <w:sz w:val="24"/>
          <w:szCs w:val="24"/>
        </w:rPr>
        <w:t xml:space="preserve"> </w:t>
      </w:r>
      <w:r w:rsidR="00A91401" w:rsidRPr="00A91401">
        <w:rPr>
          <w:rFonts w:ascii="Garamond" w:hAnsi="Garamond"/>
          <w:sz w:val="24"/>
          <w:szCs w:val="24"/>
        </w:rPr>
        <w:t>të</w:t>
      </w:r>
      <w:r w:rsidRPr="00A91401">
        <w:rPr>
          <w:rFonts w:ascii="Garamond" w:hAnsi="Garamond"/>
          <w:sz w:val="24"/>
          <w:szCs w:val="24"/>
        </w:rPr>
        <w:t xml:space="preserve"> procedurës dhe kritereve të vlerësimit të produkteve për mbrojtjen e bimëve”, të ndryshuar, dhe sipas propozimit të strukturës përgjegjëse për mbrojtjen e bimëve</w:t>
      </w:r>
      <w:r w:rsidR="00A91401">
        <w:rPr>
          <w:rFonts w:ascii="Garamond" w:hAnsi="Garamond"/>
          <w:sz w:val="24"/>
          <w:szCs w:val="24"/>
        </w:rPr>
        <w:t>,</w:t>
      </w:r>
    </w:p>
    <w:p w14:paraId="6B65EFD6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0AEE4A5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91401">
        <w:rPr>
          <w:rFonts w:ascii="Garamond" w:hAnsi="Garamond"/>
          <w:bCs/>
          <w:sz w:val="24"/>
          <w:szCs w:val="24"/>
        </w:rPr>
        <w:t>URDHËROJ:</w:t>
      </w:r>
    </w:p>
    <w:p w14:paraId="10866A2E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FA43131" w14:textId="30EA90C0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 xml:space="preserve">1. Në </w:t>
      </w:r>
      <w:r w:rsidR="00A91401" w:rsidRPr="00A91401">
        <w:rPr>
          <w:rFonts w:ascii="Garamond" w:hAnsi="Garamond"/>
          <w:sz w:val="24"/>
          <w:szCs w:val="24"/>
        </w:rPr>
        <w:t>urdhrin e ministrit nr</w:t>
      </w:r>
      <w:r w:rsidRPr="00A91401">
        <w:rPr>
          <w:rFonts w:ascii="Garamond" w:hAnsi="Garamond"/>
          <w:sz w:val="24"/>
          <w:szCs w:val="24"/>
        </w:rPr>
        <w:t>. 275, datë 5.5.2023, “Për miratimin e lëndëve vepruese dhe përbërësve të tjerë, në përmbajtje të PMB-ve”, të ndryshuar, bëhet përditësimi me ndryshimet dhe shtesat, si më poshtë:</w:t>
      </w:r>
    </w:p>
    <w:p w14:paraId="28FFED68" w14:textId="77777777" w:rsidR="00D00AEE" w:rsidRPr="00A91401" w:rsidRDefault="00D00AEE" w:rsidP="00D00AEE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a) Rinovohet regjistrimi për 3 (tre) lëndë vepruese, bashkëlidhur këtij urdhri;</w:t>
      </w:r>
    </w:p>
    <w:p w14:paraId="7D4388FE" w14:textId="77777777" w:rsidR="00D00AEE" w:rsidRPr="00A91401" w:rsidRDefault="00D00AEE" w:rsidP="00D00AEE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b) Zgjaten afatet e regjistrimit për 8 (tet</w:t>
      </w:r>
      <w:r w:rsidRPr="00A91401">
        <w:rPr>
          <w:rFonts w:ascii="Garamond" w:hAnsi="Garamond"/>
          <w:color w:val="000000"/>
          <w:sz w:val="24"/>
          <w:szCs w:val="24"/>
        </w:rPr>
        <w:t>ë)</w:t>
      </w:r>
      <w:r w:rsidRPr="00A91401">
        <w:rPr>
          <w:rFonts w:ascii="Garamond" w:hAnsi="Garamond"/>
          <w:b/>
          <w:bCs/>
          <w:sz w:val="24"/>
          <w:szCs w:val="24"/>
        </w:rPr>
        <w:t xml:space="preserve"> </w:t>
      </w:r>
      <w:r w:rsidRPr="00A91401">
        <w:rPr>
          <w:rFonts w:ascii="Garamond" w:hAnsi="Garamond"/>
          <w:sz w:val="24"/>
          <w:szCs w:val="24"/>
        </w:rPr>
        <w:t>lëndë vepruese, bashkëlidhur këtij urdhri;</w:t>
      </w:r>
    </w:p>
    <w:p w14:paraId="22EB6CCA" w14:textId="77777777" w:rsidR="00D00AEE" w:rsidRPr="00A91401" w:rsidRDefault="00D00AEE" w:rsidP="00D00AEE">
      <w:pPr>
        <w:tabs>
          <w:tab w:val="left" w:pos="9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 xml:space="preserve">c) </w:t>
      </w:r>
      <w:r w:rsidRPr="00A91401">
        <w:rPr>
          <w:rFonts w:ascii="Garamond" w:hAnsi="Garamond"/>
          <w:color w:val="000000"/>
          <w:sz w:val="24"/>
          <w:szCs w:val="24"/>
        </w:rPr>
        <w:t xml:space="preserve">Nuk miratohet si lëndë vepruese bazike </w:t>
      </w:r>
      <w:r w:rsidRPr="00A91401">
        <w:rPr>
          <w:rFonts w:ascii="Garamond" w:hAnsi="Garamond"/>
          <w:sz w:val="24"/>
          <w:szCs w:val="24"/>
        </w:rPr>
        <w:t>(një) lëndë vepruese, bashkëlidhur këtij urdhri.</w:t>
      </w:r>
    </w:p>
    <w:p w14:paraId="3CB9463E" w14:textId="77777777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2. Përditësimi sipas shkronjës “b” të pasqyrohet në dokumentet e regjistrimit të PMB-ve, të regjistruara.</w:t>
      </w:r>
    </w:p>
    <w:p w14:paraId="2AC88F97" w14:textId="554F38EF" w:rsidR="00D00AEE" w:rsidRPr="00A91401" w:rsidRDefault="00D00AEE" w:rsidP="00D00AE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3. Për zbatimin e këtij urdhri ngarkohet Drejtoria e Përgjithshme e Zhvillimit në Fushën e Sigurisë Ushqimore, Veterinarisë, Mbrojtjes së Bimëve dhe Peshkimit në Ministrinë e Bujqësisë dhe Zhvillimit Rural.</w:t>
      </w:r>
    </w:p>
    <w:p w14:paraId="6B39703D" w14:textId="77777777" w:rsidR="00D00AEE" w:rsidRPr="00A91401" w:rsidRDefault="00D00AEE" w:rsidP="00D00AEE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593D2F1" w14:textId="77777777" w:rsidR="00D00AEE" w:rsidRPr="00A91401" w:rsidRDefault="00D00AEE" w:rsidP="00D00AEE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D816F8" w14:textId="77777777" w:rsidR="00D00AEE" w:rsidRPr="00A91401" w:rsidRDefault="00D00AEE" w:rsidP="00D00A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bookmarkStart w:id="0" w:name="_GoBack"/>
      <w:bookmarkEnd w:id="0"/>
      <w:r w:rsidRPr="00A91401">
        <w:rPr>
          <w:rFonts w:ascii="Garamond" w:hAnsi="Garamond"/>
          <w:bCs/>
          <w:sz w:val="24"/>
          <w:szCs w:val="24"/>
        </w:rPr>
        <w:t xml:space="preserve">ZËVENDËSMINISTËR I BUJQËSISË </w:t>
      </w:r>
    </w:p>
    <w:p w14:paraId="65F61590" w14:textId="77777777" w:rsidR="00D00AEE" w:rsidRPr="00A91401" w:rsidRDefault="00D00AEE" w:rsidP="00D00A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A91401">
        <w:rPr>
          <w:rFonts w:ascii="Garamond" w:hAnsi="Garamond"/>
          <w:bCs/>
          <w:sz w:val="24"/>
          <w:szCs w:val="24"/>
        </w:rPr>
        <w:t>DHE ZHVILLIMIT RURAL</w:t>
      </w:r>
    </w:p>
    <w:p w14:paraId="2CA61DB0" w14:textId="77777777" w:rsidR="00D00AEE" w:rsidRPr="00A91401" w:rsidRDefault="00D00AEE" w:rsidP="00D00A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A91401">
        <w:rPr>
          <w:rFonts w:ascii="Garamond" w:hAnsi="Garamond"/>
          <w:b/>
          <w:bCs/>
          <w:sz w:val="24"/>
          <w:szCs w:val="24"/>
        </w:rPr>
        <w:t>Arian Jaupllari</w:t>
      </w:r>
    </w:p>
    <w:p w14:paraId="7BCDC3BF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FDB7C49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 xml:space="preserve">1. RINOVOHET REGJISTRIMI (RIREGJISTRIM) PËR LËNDËT VEPRUESE SI MË POSHTË: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"/>
        <w:gridCol w:w="1163"/>
        <w:gridCol w:w="2134"/>
        <w:gridCol w:w="1315"/>
        <w:gridCol w:w="901"/>
        <w:gridCol w:w="883"/>
        <w:gridCol w:w="2712"/>
      </w:tblGrid>
      <w:tr w:rsidR="003E1F50" w:rsidRPr="00A91401" w14:paraId="29A33AB5" w14:textId="19A5DBBF" w:rsidTr="00A91401">
        <w:trPr>
          <w:trHeight w:val="620"/>
        </w:trPr>
        <w:tc>
          <w:tcPr>
            <w:tcW w:w="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D0E4C" w14:textId="0AEBECC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Nr.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A46C9" w14:textId="17E85A1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Emri i zakonshëm</w:t>
            </w:r>
          </w:p>
          <w:p w14:paraId="2ABA6A4F" w14:textId="47D4706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dhe numri i identifikimit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D11A5" w14:textId="3BEA0A85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Emërtimi IUPAC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AC294" w14:textId="1CA2730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Pastërtia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378739" w14:textId="1F2282F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Data e miratimit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B7F49" w14:textId="0A063D6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Data e përfund</w:t>
            </w:r>
            <w:r w:rsidR="00A91401">
              <w:rPr>
                <w:rFonts w:ascii="Garamond" w:hAnsi="Garamond"/>
                <w:b/>
                <w:sz w:val="16"/>
                <w:szCs w:val="16"/>
              </w:rPr>
              <w:t>imit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EC473" w14:textId="2C6D864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Dispozita specifike</w:t>
            </w:r>
          </w:p>
        </w:tc>
      </w:tr>
      <w:tr w:rsidR="003E1F50" w:rsidRPr="00A91401" w14:paraId="18F4B8FC" w14:textId="00C656E6" w:rsidTr="00A91401">
        <w:trPr>
          <w:trHeight w:val="20"/>
        </w:trPr>
        <w:tc>
          <w:tcPr>
            <w:tcW w:w="1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0FFDCE" w14:textId="540072FF" w:rsidR="003E1F50" w:rsidRPr="00FF5DDE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F5DDE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88AFAF" w14:textId="3048786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Captan</w:t>
            </w:r>
          </w:p>
          <w:p w14:paraId="3CC8C37C" w14:textId="673EFB13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CAS No 133-06-2</w:t>
            </w:r>
          </w:p>
          <w:p w14:paraId="7D004FFF" w14:textId="7632FFE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CIPAC No 40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09F5AE" w14:textId="1D91739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N-[(trichloromethyl)thio] cyclohex-4-ene–1,2 -dicarboximide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22DA6B" w14:textId="700BC31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≥ 930 g/kg</w:t>
            </w:r>
          </w:p>
          <w:p w14:paraId="79221C46" w14:textId="0E4735E6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Perchloromethyl mercaptan: ≤ 5 g/kg;</w:t>
            </w:r>
          </w:p>
          <w:p w14:paraId="2CA3AEBB" w14:textId="5CEB8069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folpet: ≤ 10 g/kg;</w:t>
            </w:r>
          </w:p>
          <w:p w14:paraId="1E72F4CE" w14:textId="51AA1D67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carbon tetrachloride: ≤ 0,1 g/kg.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5781" w14:textId="0636C96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1 </w:t>
            </w:r>
            <w:r w:rsidR="00A91401">
              <w:rPr>
                <w:rFonts w:ascii="Garamond" w:hAnsi="Garamond"/>
                <w:sz w:val="16"/>
                <w:szCs w:val="16"/>
              </w:rPr>
              <w:t>n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ëntor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2024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F7D371" w14:textId="7ED9CEE8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31 </w:t>
            </w:r>
            <w:r w:rsidR="00A91401">
              <w:rPr>
                <w:rFonts w:ascii="Garamond" w:hAnsi="Garamond"/>
                <w:sz w:val="16"/>
                <w:szCs w:val="16"/>
              </w:rPr>
              <w:t>t</w:t>
            </w:r>
            <w:r w:rsidRPr="00A91401">
              <w:rPr>
                <w:rFonts w:ascii="Garamond" w:hAnsi="Garamond"/>
                <w:sz w:val="16"/>
                <w:szCs w:val="16"/>
              </w:rPr>
              <w:t>etor 2039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777F40" w14:textId="04E38D9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Për përdorime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në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terrene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të jashtme do të zbatohen kushtet e mëposhtme:</w:t>
            </w:r>
          </w:p>
          <w:p w14:paraId="115994FE" w14:textId="28BBEF0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mund të regjistrohet vetëm përdorimi jashtë lulëzimit të kulturës dhe kur nuk ka barëra të këqija të lulëzuara në rreshtat e kulturave të trajtuara,</w:t>
            </w:r>
          </w:p>
          <w:p w14:paraId="34B5867A" w14:textId="4CCE1EE9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do të kërkohet që aplikimet në pemëtore (psh. mollë, qershi) të bëhen vetëm me pajisje aplikimi që rrisin saktësinë dhe saktësinë e aplikimit (p</w:t>
            </w:r>
            <w:r w:rsidR="00A91401">
              <w:rPr>
                <w:rFonts w:ascii="Garamond" w:hAnsi="Garamond"/>
                <w:sz w:val="16"/>
                <w:szCs w:val="16"/>
              </w:rPr>
              <w:t>.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sh. mburojat e shkarkimeve, spërkatës të mbrojtur, spërkatës me kapuç, spërkatës tuneli, spërkatës të kontrolluar me sensorë) dhe, duke ruajtur shkallën e aplikimit në sipërfaqet e synuara, arrin një reduktim </w:t>
            </w:r>
            <w:r w:rsidRPr="00A91401">
              <w:rPr>
                <w:rFonts w:ascii="Garamond" w:hAnsi="Garamond"/>
                <w:sz w:val="16"/>
                <w:szCs w:val="16"/>
              </w:rPr>
              <w:lastRenderedPageBreak/>
              <w:t>mesatar prej të paktën 61% të PMB-s</w:t>
            </w:r>
            <w:r w:rsidR="00A91401">
              <w:rPr>
                <w:rFonts w:ascii="Garamond" w:hAnsi="Garamond"/>
                <w:sz w:val="16"/>
                <w:szCs w:val="16"/>
              </w:rPr>
              <w:t>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të aplikuar/ha dhe një reduktim minimal prej 20% të humbjes së PMB-s</w:t>
            </w:r>
            <w:r w:rsidR="00A91401">
              <w:rPr>
                <w:rFonts w:ascii="Garamond" w:hAnsi="Garamond"/>
                <w:sz w:val="16"/>
                <w:szCs w:val="16"/>
              </w:rPr>
              <w:t>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në tokë, në krahasim me praktikat dhe aplikimet me pajisjet e aplikimit konvencional.</w:t>
            </w:r>
          </w:p>
          <w:p w14:paraId="32F4C49F" w14:textId="1A84A70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Për zbatimin e parimeve uniforme, do të merren parasysh konkluzionet e raportit të rinovimit të kaptanit, dhe në veçanti </w:t>
            </w:r>
            <w:r w:rsidR="00A91401">
              <w:rPr>
                <w:rFonts w:ascii="Garamond" w:hAnsi="Garamond"/>
                <w:sz w:val="16"/>
                <w:szCs w:val="16"/>
              </w:rPr>
              <w:t>s</w:t>
            </w:r>
            <w:r w:rsidRPr="00A91401">
              <w:rPr>
                <w:rFonts w:ascii="Garamond" w:hAnsi="Garamond"/>
                <w:sz w:val="16"/>
                <w:szCs w:val="16"/>
              </w:rPr>
              <w:t>htojcat I dhe II të tij. Për më tepër, zbutjet e rrezikut si zonat mbrojtëse pa spërkatje nga kufijtë e fushës, do të kërkohen, kur është e përshtatshme, në bazë të vlerësimit të rrezikut për të mbrojtur bletët dhe organizmat ujorë.</w:t>
            </w:r>
          </w:p>
          <w:p w14:paraId="7327DA7B" w14:textId="6E08EEA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Në vlerësimin e përgjithshëm, do të kushtohet vëmendje e veçantë për:</w:t>
            </w:r>
          </w:p>
          <w:p w14:paraId="5AF58EE7" w14:textId="67B8ED43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pajtueshmërinë me specifikimet teknike të kaptanit, për të cilin janë paraqitur kërkesat për regjistrim</w:t>
            </w:r>
            <w:r w:rsidR="00A91401">
              <w:rPr>
                <w:rFonts w:ascii="Garamond" w:hAnsi="Garamond"/>
                <w:sz w:val="16"/>
                <w:szCs w:val="16"/>
              </w:rPr>
              <w:t>;</w:t>
            </w:r>
          </w:p>
          <w:p w14:paraId="19781541" w14:textId="3C7306C5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mbrojtjen e operatorëve dhe punëtorëve, duke siguruar që kushtet e përdorimit përfshijnë aplikimin e pajisjeve të përshtatshme mbrojtëse personale, duke marrë parasysh potencialin e lartë sensibilizues të lëkurës nga kaptani</w:t>
            </w:r>
            <w:r w:rsidR="00A91401">
              <w:rPr>
                <w:rFonts w:ascii="Garamond" w:hAnsi="Garamond"/>
                <w:sz w:val="16"/>
                <w:szCs w:val="16"/>
              </w:rPr>
              <w:t>;</w:t>
            </w:r>
          </w:p>
          <w:p w14:paraId="2ED41038" w14:textId="23D78ED5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mbrojtjen e kalimtarëve dhe banorëve, duke siguruar që kushtet e përdorimit përfshijnë masa të përshtatshme për zbutjen e rrezikut</w:t>
            </w:r>
            <w:r w:rsidR="00A91401">
              <w:rPr>
                <w:rFonts w:ascii="Garamond" w:hAnsi="Garamond"/>
                <w:sz w:val="16"/>
                <w:szCs w:val="16"/>
              </w:rPr>
              <w:t>,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duke marrë parasysh potencialin e lartë sensibilizues të lëkurës nga kaptani.</w:t>
            </w:r>
          </w:p>
          <w:p w14:paraId="187EF143" w14:textId="1F8F3E0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Brenda dy viteve nga 24 shtator</w:t>
            </w:r>
            <w:r w:rsidR="00A91401">
              <w:rPr>
                <w:rFonts w:ascii="Garamond" w:hAnsi="Garamond"/>
                <w:sz w:val="16"/>
                <w:szCs w:val="16"/>
              </w:rPr>
              <w:t>i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2024, aplikanti duhet t</w:t>
            </w:r>
            <w:r w:rsidR="00A91401">
              <w:rPr>
                <w:rFonts w:ascii="Garamond" w:hAnsi="Garamond"/>
                <w:sz w:val="16"/>
                <w:szCs w:val="16"/>
              </w:rPr>
              <w:t>’</w:t>
            </w:r>
            <w:r w:rsidRPr="00A91401">
              <w:rPr>
                <w:rFonts w:ascii="Garamond" w:hAnsi="Garamond"/>
                <w:sz w:val="16"/>
                <w:szCs w:val="16"/>
              </w:rPr>
              <w:t>i paraqesë Komisionit, informacion konfirmues</w:t>
            </w:r>
            <w:r w:rsidR="00A91401">
              <w:rPr>
                <w:rFonts w:ascii="Garamond" w:hAnsi="Garamond"/>
                <w:sz w:val="16"/>
                <w:szCs w:val="16"/>
              </w:rPr>
              <w:t>,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në lidhje me:</w:t>
            </w:r>
          </w:p>
          <w:p w14:paraId="554A3774" w14:textId="77777777" w:rsidR="00A91401" w:rsidRPr="00A91401" w:rsidRDefault="003E1F50" w:rsidP="00A9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1</w:t>
            </w:r>
            <w:r w:rsidR="00A91401">
              <w:rPr>
                <w:rFonts w:ascii="Garamond" w:hAnsi="Garamond"/>
                <w:sz w:val="16"/>
                <w:szCs w:val="16"/>
              </w:rPr>
              <w:t>.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efektin e proceseve të trajtimit të ujit në natyrën e mbetjeve të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metaboliteve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të kaptanit THPI dhe THPAM të pranishme në ujërat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 xml:space="preserve"> nëntokësore, kur ato përftohen për ujë të pijshëm;</w:t>
            </w:r>
          </w:p>
          <w:p w14:paraId="1B3E327D" w14:textId="77777777" w:rsidR="00A91401" w:rsidRPr="00A91401" w:rsidRDefault="00A91401" w:rsidP="00A9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2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rëndësinë e metaboliteve THPI dhe THPAM që mund të shfaqen në ujërat nëntokësore, duke marrë parasysh propozimin e klasifikimit të kaptanit si toksik për riprodhimin </w:t>
            </w:r>
            <w:r>
              <w:rPr>
                <w:rFonts w:ascii="Garamond" w:hAnsi="Garamond"/>
                <w:sz w:val="16"/>
                <w:szCs w:val="16"/>
              </w:rPr>
              <w:t>k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ategoria 2 dhe si STOT-RE </w:t>
            </w:r>
            <w:r>
              <w:rPr>
                <w:rFonts w:ascii="Garamond" w:hAnsi="Garamond"/>
                <w:sz w:val="16"/>
                <w:szCs w:val="16"/>
              </w:rPr>
              <w:t>k</w:t>
            </w:r>
            <w:r w:rsidRPr="00A91401">
              <w:rPr>
                <w:rFonts w:ascii="Garamond" w:hAnsi="Garamond"/>
                <w:sz w:val="16"/>
                <w:szCs w:val="16"/>
              </w:rPr>
              <w:t>ategoria 1;</w:t>
            </w:r>
          </w:p>
          <w:p w14:paraId="3C23949E" w14:textId="77777777" w:rsidR="00A91401" w:rsidRPr="00A91401" w:rsidRDefault="00A91401" w:rsidP="00A9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3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qëndrueshmërinë e ruajtjes së kaptanit në matricat me përmbajtje të lartë acidi, në përputhje me </w:t>
            </w:r>
            <w:r>
              <w:rPr>
                <w:rFonts w:ascii="Garamond" w:hAnsi="Garamond"/>
                <w:sz w:val="16"/>
                <w:szCs w:val="16"/>
              </w:rPr>
              <w:t>u</w:t>
            </w:r>
            <w:r w:rsidRPr="00A91401">
              <w:rPr>
                <w:rFonts w:ascii="Garamond" w:hAnsi="Garamond"/>
                <w:sz w:val="16"/>
                <w:szCs w:val="16"/>
              </w:rPr>
              <w:t>dhëzuesin përkatës të Testit të OECD; dhe</w:t>
            </w:r>
          </w:p>
          <w:p w14:paraId="58FA64AA" w14:textId="3C093582" w:rsidR="003E1F50" w:rsidRPr="00A91401" w:rsidRDefault="00A91401" w:rsidP="00A91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Për më tepër, brenda 18 muajve nga data 24 shtator 2024, aplikanti duhet t</w:t>
            </w:r>
            <w:r>
              <w:rPr>
                <w:rFonts w:ascii="Garamond" w:hAnsi="Garamond"/>
                <w:sz w:val="16"/>
                <w:szCs w:val="16"/>
              </w:rPr>
              <w:t>’</w:t>
            </w:r>
            <w:r w:rsidRPr="00A91401">
              <w:rPr>
                <w:rFonts w:ascii="Garamond" w:hAnsi="Garamond"/>
                <w:sz w:val="16"/>
                <w:szCs w:val="16"/>
              </w:rPr>
              <w:t>i paraqesë Komisionit informacionin dhe të dhënat e ekspozimit që tregojnë se pajisjet e aplikimit të pesticideve të përdorura në pemishte rrit saktësinë e aplikimit dhe arrin një reduktim të ekspozimit prej të paktën 61% të PMB-s</w:t>
            </w:r>
            <w:r>
              <w:rPr>
                <w:rFonts w:ascii="Garamond" w:hAnsi="Garamond"/>
                <w:sz w:val="16"/>
                <w:szCs w:val="16"/>
              </w:rPr>
              <w:t>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të aplikuar/ha dhe një minimum prej 20% reduktim i humbjes së PMB-s</w:t>
            </w:r>
            <w:r>
              <w:rPr>
                <w:rFonts w:ascii="Garamond" w:hAnsi="Garamond"/>
                <w:sz w:val="16"/>
                <w:szCs w:val="16"/>
              </w:rPr>
              <w:t>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në tokë, në krahasim me praktikat dhe aplikimet me pajisjet e aplikimit konvencional.</w:t>
            </w:r>
          </w:p>
        </w:tc>
      </w:tr>
      <w:tr w:rsidR="003E1F50" w:rsidRPr="00A91401" w14:paraId="0AFEC173" w14:textId="48569A56" w:rsidTr="00A91401">
        <w:trPr>
          <w:trHeight w:val="20"/>
        </w:trPr>
        <w:tc>
          <w:tcPr>
            <w:tcW w:w="1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125A15" w14:textId="0B62160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lastRenderedPageBreak/>
              <w:t>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16AF73" w14:textId="67F780F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Folpet</w:t>
            </w:r>
          </w:p>
          <w:p w14:paraId="73557DC1" w14:textId="1D1C4D7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CAS No: 133-07-3</w:t>
            </w:r>
          </w:p>
          <w:p w14:paraId="31C6510C" w14:textId="61D59D9C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CIPAC No: 75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1FFD9F" w14:textId="5B0C4469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N-[(trichloromethyl)thio]phthalimide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518273" w14:textId="00A948B7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≥ 940 g/kg</w:t>
            </w:r>
          </w:p>
          <w:p w14:paraId="00062669" w14:textId="79573C6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Papastërtitë e mëposhtme nuk duhet të kalojnë nivelet e mëposhtme në materialin teknik:</w:t>
            </w:r>
          </w:p>
          <w:p w14:paraId="06FC3934" w14:textId="22B5A798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-(trichloro (chlorosulfanyl) methane) (PCMM): 2 g/kg;</w:t>
            </w:r>
          </w:p>
          <w:p w14:paraId="152B3611" w14:textId="2DEB459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-carbon tetrachloride: 2 g/kg;</w:t>
            </w:r>
          </w:p>
          <w:p w14:paraId="35C5F7D2" w14:textId="35DA783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lastRenderedPageBreak/>
              <w:t>- captan: 3 g/kg;</w:t>
            </w:r>
          </w:p>
          <w:p w14:paraId="06C10C2D" w14:textId="1943C50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carbon disulphide: 2,5 g/kg.</w:t>
            </w:r>
          </w:p>
          <w:p w14:paraId="36FCD64B" w14:textId="57EB7E7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vanish/>
                <w:sz w:val="16"/>
                <w:szCs w:val="16"/>
              </w:rPr>
            </w:pPr>
          </w:p>
          <w:p w14:paraId="1CB5BAB6" w14:textId="005F1637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vanish/>
                <w:sz w:val="16"/>
                <w:szCs w:val="16"/>
              </w:rPr>
            </w:pPr>
          </w:p>
          <w:p w14:paraId="02C8AC31" w14:textId="5AE3E8F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7FA2" w14:textId="746C186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lastRenderedPageBreak/>
              <w:t>1 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nëntor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2024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674DA9" w14:textId="71F202A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31 </w:t>
            </w:r>
            <w:r w:rsidR="00A91401">
              <w:rPr>
                <w:rFonts w:ascii="Garamond" w:hAnsi="Garamond"/>
                <w:sz w:val="16"/>
                <w:szCs w:val="16"/>
              </w:rPr>
              <w:t>t</w:t>
            </w:r>
            <w:r w:rsidRPr="00A91401">
              <w:rPr>
                <w:rFonts w:ascii="Garamond" w:hAnsi="Garamond"/>
                <w:sz w:val="16"/>
                <w:szCs w:val="16"/>
              </w:rPr>
              <w:t>etor 2039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1B14C6" w14:textId="6C5BF69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Për zbatimin e parimeve uniforme, do të merren parasysh përfundimet e raportit të rinovimit për folpet, dhe në veçanti </w:t>
            </w:r>
            <w:r w:rsidR="00A91401">
              <w:rPr>
                <w:rFonts w:ascii="Garamond" w:hAnsi="Garamond"/>
                <w:sz w:val="16"/>
                <w:szCs w:val="16"/>
              </w:rPr>
              <w:t>s</w:t>
            </w:r>
            <w:r w:rsidRPr="00A91401">
              <w:rPr>
                <w:rFonts w:ascii="Garamond" w:hAnsi="Garamond"/>
                <w:sz w:val="16"/>
                <w:szCs w:val="16"/>
              </w:rPr>
              <w:t>htojcat I dhe II të tij.</w:t>
            </w:r>
          </w:p>
          <w:p w14:paraId="5BF8DB9A" w14:textId="1F0ED9F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Në këtë vlerësim të përgjithshëm, do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të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kushtohet vëmendje e veçantë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për</w:t>
            </w:r>
            <w:r w:rsidRPr="00A91401">
              <w:rPr>
                <w:rFonts w:ascii="Garamond" w:hAnsi="Garamond"/>
                <w:sz w:val="16"/>
                <w:szCs w:val="16"/>
              </w:rPr>
              <w:t>:</w:t>
            </w:r>
          </w:p>
          <w:p w14:paraId="750D7D75" w14:textId="17CBAE1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mbrojtjen e organizmave ujorë, duke siguruar një minimum prej 95% reduktim të lëvizjes së spërkatjes pranë trupave ujorë</w:t>
            </w:r>
            <w:r w:rsidR="00A91401">
              <w:rPr>
                <w:rFonts w:ascii="Garamond" w:hAnsi="Garamond"/>
                <w:sz w:val="16"/>
                <w:szCs w:val="16"/>
              </w:rPr>
              <w:t>,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të tillë si ai i ofruar nga një zonë tampon 20 m pa spërkatje, përveç rasteve kur rezultati i vlerësimit të rrezikut të ndërmarrë për </w:t>
            </w:r>
            <w:r w:rsidRPr="00A91401">
              <w:rPr>
                <w:rFonts w:ascii="Garamond" w:hAnsi="Garamond"/>
                <w:sz w:val="16"/>
                <w:szCs w:val="16"/>
              </w:rPr>
              <w:lastRenderedPageBreak/>
              <w:t>përdorimin e PMB-s</w:t>
            </w:r>
            <w:r w:rsidR="00A91401">
              <w:rPr>
                <w:rFonts w:ascii="Garamond" w:hAnsi="Garamond"/>
                <w:sz w:val="16"/>
                <w:szCs w:val="16"/>
              </w:rPr>
              <w:t>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tregon se masat për zbutjen e rrezikut nuk nevojiten ose mund të ulen sepse nuk ka rreziqe të papranueshme të shkaktuara nga zhvendosja e spërkatjes;</w:t>
            </w:r>
          </w:p>
          <w:p w14:paraId="2192DB88" w14:textId="7BE39E3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mbrojtjen e operatorëve (përdorimi i PPE për operatorët gjatë përzierjes, ngarkimit dhe aplikimit) dhe punëtorëve (përdorimi i veshjeve të punës dhe dorezave mbrojtëse për aktivitetet e rihyrjes); dhe</w:t>
            </w:r>
          </w:p>
          <w:p w14:paraId="19FCA4C9" w14:textId="663ABF8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mbrojtjen e kalimtarëve dhe banorëve, duke siguruar që kushtet e përdorimit të përfshijnë masat adekuate për zbutjen e rrezikut, të tilla si pajisjet për reduktimin e lëvizjes, me qëllim minimizimin e ekspozimit.</w:t>
            </w:r>
          </w:p>
          <w:p w14:paraId="0C4A653A" w14:textId="76D3C7B5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Kushtet e përdorimit do të përfshijnë masa për zbutjen e rrezikut, aty ku është e nevojshme.</w:t>
            </w:r>
          </w:p>
          <w:p w14:paraId="1D1A0A02" w14:textId="35A16723" w:rsidR="003E1F50" w:rsidRPr="00A91401" w:rsidRDefault="00A91401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Kërkuesi</w:t>
            </w:r>
            <w:r w:rsidR="003E1F50" w:rsidRPr="00A91401">
              <w:rPr>
                <w:rFonts w:ascii="Garamond" w:hAnsi="Garamond"/>
                <w:sz w:val="16"/>
                <w:szCs w:val="16"/>
              </w:rPr>
              <w:t xml:space="preserve"> duhet të paraqesë informacion konfirmues për të përcaktuar nivelet e acidit ftalik që rrjedhin nga përdorimi i folpetit, duke marrë parasysh nivelet e sfondit të acidit ftalik në grurë dhe elb gjatë provave në terren të mbetjeve për përdorimet e listuara vetëm në </w:t>
            </w:r>
            <w:r>
              <w:rPr>
                <w:rFonts w:ascii="Garamond" w:hAnsi="Garamond"/>
                <w:sz w:val="16"/>
                <w:szCs w:val="16"/>
              </w:rPr>
              <w:t>s</w:t>
            </w:r>
            <w:r w:rsidR="003E1F50" w:rsidRPr="00A91401">
              <w:rPr>
                <w:rFonts w:ascii="Garamond" w:hAnsi="Garamond"/>
                <w:sz w:val="16"/>
                <w:szCs w:val="16"/>
              </w:rPr>
              <w:t>htojcën II të raportit të rinovimit.</w:t>
            </w:r>
          </w:p>
        </w:tc>
      </w:tr>
      <w:tr w:rsidR="003E1F50" w:rsidRPr="00A91401" w14:paraId="10613260" w14:textId="0BFE7146" w:rsidTr="00A91401">
        <w:trPr>
          <w:trHeight w:val="20"/>
        </w:trPr>
        <w:tc>
          <w:tcPr>
            <w:tcW w:w="1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5020A2" w14:textId="4CF35E56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lastRenderedPageBreak/>
              <w:t>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00C81C" w14:textId="799EC00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sz w:val="16"/>
                <w:szCs w:val="16"/>
              </w:rPr>
            </w:pPr>
            <w:r w:rsidRPr="00A91401">
              <w:rPr>
                <w:rFonts w:ascii="Garamond" w:hAnsi="Garamond"/>
                <w:b/>
                <w:sz w:val="16"/>
                <w:szCs w:val="16"/>
              </w:rPr>
              <w:t>Metrafenone</w:t>
            </w:r>
          </w:p>
          <w:p w14:paraId="7C09AB2B" w14:textId="5A3A4BE6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CAS No: 220899-03-6</w:t>
            </w:r>
          </w:p>
          <w:p w14:paraId="19F87806" w14:textId="097E9199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CIPAC No: 752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214B21" w14:textId="57A4424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3′-bromo-2,3,4,6′-tetramethoxy-2′,6-dimethylbenzophenone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4C1FBB" w14:textId="53901B6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≥ 980 g/kg</w:t>
            </w:r>
          </w:p>
          <w:p w14:paraId="076A34C2" w14:textId="5A78F8D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Papastërtia dimethyl sulphate nuk duhet të kalojë 0,01 g/kg në materialin teknik.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6B891" w14:textId="6DEE4A0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1 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nëntor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2024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934E18" w14:textId="699BFD0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31 </w:t>
            </w:r>
            <w:r w:rsidR="00A91401">
              <w:rPr>
                <w:rFonts w:ascii="Garamond" w:hAnsi="Garamond"/>
                <w:sz w:val="16"/>
                <w:szCs w:val="16"/>
              </w:rPr>
              <w:t>t</w:t>
            </w:r>
            <w:r w:rsidRPr="00A91401">
              <w:rPr>
                <w:rFonts w:ascii="Garamond" w:hAnsi="Garamond"/>
                <w:sz w:val="16"/>
                <w:szCs w:val="16"/>
              </w:rPr>
              <w:t>etor 2039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27CA21" w14:textId="204634B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Për zbatimin e parimeve uniforme, do të merren parasysh konkluzionet e raportit të rinovimit për metrafenone, dhe në veçanti </w:t>
            </w:r>
            <w:r w:rsidR="00A91401">
              <w:rPr>
                <w:rFonts w:ascii="Garamond" w:hAnsi="Garamond"/>
                <w:sz w:val="16"/>
                <w:szCs w:val="16"/>
              </w:rPr>
              <w:t>s</w:t>
            </w:r>
            <w:r w:rsidRPr="00A91401">
              <w:rPr>
                <w:rFonts w:ascii="Garamond" w:hAnsi="Garamond"/>
                <w:sz w:val="16"/>
                <w:szCs w:val="16"/>
              </w:rPr>
              <w:t>htojcat I dhe II të tij.</w:t>
            </w:r>
          </w:p>
          <w:p w14:paraId="648244E7" w14:textId="4061BF3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 xml:space="preserve">Në këtë vlerësim të përgjithshëm, do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të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kushtohet vëmendje e veçantë </w:t>
            </w:r>
            <w:r w:rsidR="00A91401" w:rsidRPr="00A91401">
              <w:rPr>
                <w:rFonts w:ascii="Garamond" w:hAnsi="Garamond"/>
                <w:sz w:val="16"/>
                <w:szCs w:val="16"/>
              </w:rPr>
              <w:t>për</w:t>
            </w:r>
            <w:r w:rsidRPr="00A91401">
              <w:rPr>
                <w:rFonts w:ascii="Garamond" w:hAnsi="Garamond"/>
                <w:sz w:val="16"/>
                <w:szCs w:val="16"/>
              </w:rPr>
              <w:t>:</w:t>
            </w:r>
          </w:p>
          <w:p w14:paraId="749A47ED" w14:textId="00F0FC7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 mbrojtjen e operatorëve dhe punëtorëve;</w:t>
            </w:r>
          </w:p>
          <w:p w14:paraId="5DC65285" w14:textId="3813360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-</w:t>
            </w:r>
            <w:r w:rsidR="00A91401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A91401">
              <w:rPr>
                <w:rFonts w:ascii="Garamond" w:hAnsi="Garamond"/>
                <w:sz w:val="16"/>
                <w:szCs w:val="16"/>
              </w:rPr>
              <w:t>vlerësimin e ekspozimit të konsumatorit</w:t>
            </w:r>
            <w:r w:rsidR="00A91401">
              <w:rPr>
                <w:rFonts w:ascii="Garamond" w:hAnsi="Garamond"/>
                <w:sz w:val="16"/>
                <w:szCs w:val="16"/>
              </w:rPr>
              <w:t>,</w:t>
            </w:r>
            <w:r w:rsidRPr="00A91401">
              <w:rPr>
                <w:rFonts w:ascii="Garamond" w:hAnsi="Garamond"/>
                <w:sz w:val="16"/>
                <w:szCs w:val="16"/>
              </w:rPr>
              <w:t xml:space="preserve"> në lidhje me mbetjet që mund të jenë të pranishme në ushqim.</w:t>
            </w:r>
          </w:p>
          <w:p w14:paraId="1C58A93C" w14:textId="540BA219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A91401">
              <w:rPr>
                <w:rFonts w:ascii="Garamond" w:hAnsi="Garamond"/>
                <w:sz w:val="16"/>
                <w:szCs w:val="16"/>
              </w:rPr>
              <w:t>Kushtet e përdorimit do të përfshijnë masa për zbutjen e rrezikut, aty ku është e nevojshme.</w:t>
            </w:r>
          </w:p>
        </w:tc>
      </w:tr>
    </w:tbl>
    <w:p w14:paraId="1781F2F9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52E756" w14:textId="5B91763A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2. ZGJATEN AFATET E REGJISTRIMIT PËR LËNDËT VEPRUESE</w:t>
      </w:r>
      <w:r w:rsidR="00A91401">
        <w:rPr>
          <w:rFonts w:ascii="Garamond" w:hAnsi="Garamond"/>
          <w:sz w:val="24"/>
          <w:szCs w:val="24"/>
        </w:rPr>
        <w:t>,</w:t>
      </w:r>
      <w:r w:rsidRPr="00A91401">
        <w:rPr>
          <w:rFonts w:ascii="Garamond" w:hAnsi="Garamond"/>
          <w:sz w:val="24"/>
          <w:szCs w:val="24"/>
        </w:rPr>
        <w:t xml:space="preserve"> SI MË POSHTË:</w:t>
      </w:r>
    </w:p>
    <w:p w14:paraId="5A81C6E0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b/>
          <w:sz w:val="24"/>
          <w:szCs w:val="24"/>
        </w:rPr>
        <w:t>- Deri më 31 mars</w:t>
      </w:r>
      <w:r w:rsidRPr="00A91401">
        <w:rPr>
          <w:rFonts w:ascii="Garamond" w:hAnsi="Garamond"/>
          <w:sz w:val="24"/>
          <w:szCs w:val="24"/>
        </w:rPr>
        <w:t xml:space="preserve"> </w:t>
      </w:r>
      <w:r w:rsidRPr="00A91401">
        <w:rPr>
          <w:rFonts w:ascii="Garamond" w:hAnsi="Garamond"/>
          <w:b/>
          <w:sz w:val="24"/>
          <w:szCs w:val="24"/>
        </w:rPr>
        <w:t>2026:</w:t>
      </w:r>
    </w:p>
    <w:p w14:paraId="3FB76A4C" w14:textId="7C3F115C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1. Triclopyr</w:t>
      </w:r>
      <w:r w:rsidR="00A91401">
        <w:rPr>
          <w:rFonts w:ascii="Garamond" w:hAnsi="Garamond"/>
          <w:sz w:val="24"/>
          <w:szCs w:val="24"/>
        </w:rPr>
        <w:t>;</w:t>
      </w:r>
    </w:p>
    <w:p w14:paraId="7A75C72A" w14:textId="1A89E9BD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2. Aluminium silicate</w:t>
      </w:r>
      <w:r w:rsidR="00A91401">
        <w:rPr>
          <w:rFonts w:ascii="Garamond" w:hAnsi="Garamond"/>
          <w:sz w:val="24"/>
          <w:szCs w:val="24"/>
        </w:rPr>
        <w:t>;</w:t>
      </w:r>
    </w:p>
    <w:p w14:paraId="13668322" w14:textId="2B8B0333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 xml:space="preserve">3. Plant oils/rape seed oil (vajra bimore/vaj </w:t>
      </w:r>
      <w:r w:rsidR="00A91401" w:rsidRPr="00A91401">
        <w:rPr>
          <w:rFonts w:ascii="Garamond" w:hAnsi="Garamond"/>
          <w:sz w:val="24"/>
          <w:szCs w:val="24"/>
        </w:rPr>
        <w:t>bërsi</w:t>
      </w:r>
      <w:r w:rsidRPr="00A91401">
        <w:rPr>
          <w:rFonts w:ascii="Garamond" w:hAnsi="Garamond"/>
          <w:sz w:val="24"/>
          <w:szCs w:val="24"/>
        </w:rPr>
        <w:t xml:space="preserve"> rrushi)</w:t>
      </w:r>
      <w:r w:rsidR="00A91401">
        <w:rPr>
          <w:rFonts w:ascii="Garamond" w:hAnsi="Garamond"/>
          <w:sz w:val="24"/>
          <w:szCs w:val="24"/>
        </w:rPr>
        <w:t>.</w:t>
      </w:r>
    </w:p>
    <w:p w14:paraId="5EC15FFA" w14:textId="0F069778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Gjithsej: 3 (tr</w:t>
      </w:r>
      <w:r w:rsidR="00A91401">
        <w:rPr>
          <w:rFonts w:ascii="Garamond" w:hAnsi="Garamond"/>
          <w:sz w:val="24"/>
          <w:szCs w:val="24"/>
        </w:rPr>
        <w:t>i</w:t>
      </w:r>
      <w:r w:rsidRPr="00A91401">
        <w:rPr>
          <w:rFonts w:ascii="Garamond" w:hAnsi="Garamond"/>
          <w:sz w:val="24"/>
          <w:szCs w:val="24"/>
        </w:rPr>
        <w:t>) lëndë vepruese.</w:t>
      </w:r>
    </w:p>
    <w:p w14:paraId="3B8BF59A" w14:textId="0AED8534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b/>
          <w:sz w:val="24"/>
          <w:szCs w:val="24"/>
        </w:rPr>
        <w:t>- Deri më 15 </w:t>
      </w:r>
      <w:r w:rsidR="00A91401" w:rsidRPr="00A91401">
        <w:rPr>
          <w:rFonts w:ascii="Garamond" w:hAnsi="Garamond"/>
          <w:b/>
          <w:sz w:val="24"/>
          <w:szCs w:val="24"/>
        </w:rPr>
        <w:t>nëntor</w:t>
      </w:r>
      <w:r w:rsidRPr="00A91401">
        <w:rPr>
          <w:rFonts w:ascii="Garamond" w:hAnsi="Garamond"/>
          <w:sz w:val="24"/>
          <w:szCs w:val="24"/>
        </w:rPr>
        <w:t xml:space="preserve"> </w:t>
      </w:r>
      <w:r w:rsidRPr="00A91401">
        <w:rPr>
          <w:rFonts w:ascii="Garamond" w:hAnsi="Garamond"/>
          <w:b/>
          <w:sz w:val="24"/>
          <w:szCs w:val="24"/>
        </w:rPr>
        <w:t>2026:</w:t>
      </w:r>
    </w:p>
    <w:p w14:paraId="0359F17C" w14:textId="006CA410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1. Emamectin</w:t>
      </w:r>
      <w:r w:rsidR="00A91401">
        <w:rPr>
          <w:rFonts w:ascii="Garamond" w:hAnsi="Garamond"/>
          <w:sz w:val="24"/>
          <w:szCs w:val="24"/>
        </w:rPr>
        <w:t>;</w:t>
      </w:r>
      <w:r w:rsidRPr="00A91401">
        <w:rPr>
          <w:rFonts w:ascii="Garamond" w:hAnsi="Garamond"/>
          <w:sz w:val="24"/>
          <w:szCs w:val="24"/>
        </w:rPr>
        <w:t xml:space="preserve"> </w:t>
      </w:r>
    </w:p>
    <w:p w14:paraId="2C91E20A" w14:textId="62DEAA9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2. Acequinocyl</w:t>
      </w:r>
      <w:r w:rsidR="00A91401">
        <w:rPr>
          <w:rFonts w:ascii="Garamond" w:hAnsi="Garamond"/>
          <w:sz w:val="24"/>
          <w:szCs w:val="24"/>
        </w:rPr>
        <w:t>.</w:t>
      </w:r>
    </w:p>
    <w:p w14:paraId="739951C0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Gjithsej: 2 (dy) lëndë vepruese.</w:t>
      </w:r>
    </w:p>
    <w:p w14:paraId="5BE234D3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b/>
          <w:sz w:val="24"/>
          <w:szCs w:val="24"/>
        </w:rPr>
        <w:t>- Deri më 15 janar</w:t>
      </w:r>
      <w:r w:rsidRPr="00A91401">
        <w:rPr>
          <w:rFonts w:ascii="Garamond" w:hAnsi="Garamond"/>
          <w:sz w:val="24"/>
          <w:szCs w:val="24"/>
        </w:rPr>
        <w:t xml:space="preserve"> </w:t>
      </w:r>
      <w:r w:rsidRPr="00A91401">
        <w:rPr>
          <w:rFonts w:ascii="Garamond" w:hAnsi="Garamond"/>
          <w:b/>
          <w:sz w:val="24"/>
          <w:szCs w:val="24"/>
        </w:rPr>
        <w:t>2027:</w:t>
      </w:r>
    </w:p>
    <w:p w14:paraId="10116915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 xml:space="preserve">1. Pendimethalin </w:t>
      </w:r>
    </w:p>
    <w:p w14:paraId="06F909B9" w14:textId="551BCE9E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Gjithsej: 1 (</w:t>
      </w:r>
      <w:r w:rsidR="00A91401" w:rsidRPr="00A91401">
        <w:rPr>
          <w:rFonts w:ascii="Garamond" w:hAnsi="Garamond"/>
          <w:sz w:val="24"/>
          <w:szCs w:val="24"/>
        </w:rPr>
        <w:t>një</w:t>
      </w:r>
      <w:r w:rsidRPr="00A91401">
        <w:rPr>
          <w:rFonts w:ascii="Garamond" w:hAnsi="Garamond"/>
          <w:sz w:val="24"/>
          <w:szCs w:val="24"/>
        </w:rPr>
        <w:t>) lëndë vepruese.</w:t>
      </w:r>
    </w:p>
    <w:p w14:paraId="1AF6AF70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- Acidet yndyrore C7 deri në C20, si vijon: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1785"/>
        <w:gridCol w:w="2487"/>
        <w:gridCol w:w="1030"/>
        <w:gridCol w:w="817"/>
        <w:gridCol w:w="1000"/>
        <w:gridCol w:w="1873"/>
      </w:tblGrid>
      <w:tr w:rsidR="003E1F50" w:rsidRPr="00A91401" w14:paraId="6E514976" w14:textId="6705C65E" w:rsidTr="003E1F50">
        <w:trPr>
          <w:trHeight w:val="20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0A8052" w14:textId="6397E5E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Nr.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E9770B" w14:textId="555CB6D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Emri i zakonshëm</w:t>
            </w:r>
          </w:p>
          <w:p w14:paraId="0088D61D" w14:textId="60E079E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dhe numri i identifikimit</w:t>
            </w:r>
          </w:p>
        </w:tc>
        <w:tc>
          <w:tcPr>
            <w:tcW w:w="1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8AC66B" w14:textId="1EB26F0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Emërtimi IUPAC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EAACF9" w14:textId="3E5A825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Pastërtia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FA90FA" w14:textId="3147F85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Data e miratimit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98B813" w14:textId="310DD65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Data e përfundimit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DA8C9E" w14:textId="7AE4100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6"/>
                <w:szCs w:val="24"/>
              </w:rPr>
            </w:pPr>
            <w:r w:rsidRPr="00A91401">
              <w:rPr>
                <w:rFonts w:ascii="Garamond" w:hAnsi="Garamond"/>
                <w:b/>
                <w:sz w:val="16"/>
                <w:szCs w:val="24"/>
              </w:rPr>
              <w:t>Dispozita specifike</w:t>
            </w:r>
          </w:p>
        </w:tc>
      </w:tr>
      <w:tr w:rsidR="003E1F50" w:rsidRPr="00A91401" w14:paraId="005E8BD7" w14:textId="1A46FF1C" w:rsidTr="003E1F50">
        <w:trPr>
          <w:trHeight w:val="20"/>
        </w:trPr>
        <w:tc>
          <w:tcPr>
            <w:tcW w:w="1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7C1952" w14:textId="30B59BA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E43688" w14:textId="4222392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CAS No 112-05-0 (Pelargonic acid)</w:t>
            </w:r>
          </w:p>
          <w:p w14:paraId="4C0CCDC8" w14:textId="35F6757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67701-09-1 (acidet yndyrore C7-C18 dhe C18 kripëra të pangopura të kaliumit)</w:t>
            </w:r>
          </w:p>
          <w:p w14:paraId="223F4B59" w14:textId="4B042A58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124-07-2 (Caprylic acid)</w:t>
            </w:r>
          </w:p>
          <w:p w14:paraId="713A5911" w14:textId="79D957F1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334-48-5 (Capric acid)</w:t>
            </w:r>
          </w:p>
        </w:tc>
        <w:tc>
          <w:tcPr>
            <w:tcW w:w="1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77C2CE" w14:textId="220FC0EC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Nonanoic acid</w:t>
            </w:r>
          </w:p>
          <w:p w14:paraId="1B794CC1" w14:textId="5168E7B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Caprylic acid, Pelargonic acid, Capric acid, Lauric acid, Oleic acid (ISO në çdo rast)</w:t>
            </w:r>
          </w:p>
          <w:p w14:paraId="17823B84" w14:textId="408D2F7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Octanoic acid, Nonanoic acid, Decanoic acid, Dodecanoic acid, cis-9-Octadecenoic acid (IUPAC në çdo rast)</w:t>
            </w:r>
          </w:p>
          <w:p w14:paraId="7A3201A7" w14:textId="0363C57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lastRenderedPageBreak/>
              <w:t>Acidet yndyrore, C7-C10, Me estere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76678A" w14:textId="259B7E7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lastRenderedPageBreak/>
              <w:t>≥ 889 g/kg (Pelargonic acid)</w:t>
            </w:r>
          </w:p>
          <w:p w14:paraId="386F0D59" w14:textId="5950387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≥ 838 g/kg; acidet yndyrore</w:t>
            </w:r>
          </w:p>
          <w:p w14:paraId="175FDEAF" w14:textId="7593B3ED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lastRenderedPageBreak/>
              <w:t>≥ 99 % esteret metil të acideve yndyrore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EEA0C3" w14:textId="3E6A84D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lastRenderedPageBreak/>
              <w:t>1 shtator 2009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9A33BB" w14:textId="1777A5D8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31 gusht 2026</w:t>
            </w:r>
          </w:p>
        </w:tc>
        <w:tc>
          <w:tcPr>
            <w:tcW w:w="10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BF4D13" w14:textId="6422129A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Mund të regjistrohen vetëm përdorime</w:t>
            </w:r>
            <w:r w:rsidR="00A91401">
              <w:rPr>
                <w:rFonts w:ascii="Garamond" w:hAnsi="Garamond"/>
                <w:sz w:val="16"/>
                <w:szCs w:val="24"/>
              </w:rPr>
              <w:t>,</w:t>
            </w:r>
            <w:r w:rsidRPr="00A91401">
              <w:rPr>
                <w:rFonts w:ascii="Garamond" w:hAnsi="Garamond"/>
                <w:sz w:val="16"/>
                <w:szCs w:val="24"/>
              </w:rPr>
              <w:t xml:space="preserve"> si</w:t>
            </w:r>
            <w:r w:rsidR="00A91401">
              <w:rPr>
                <w:rFonts w:ascii="Garamond" w:hAnsi="Garamond"/>
                <w:sz w:val="16"/>
                <w:szCs w:val="24"/>
              </w:rPr>
              <w:t>:</w:t>
            </w:r>
            <w:r w:rsidRPr="00A91401">
              <w:rPr>
                <w:rFonts w:ascii="Garamond" w:hAnsi="Garamond"/>
                <w:sz w:val="16"/>
                <w:szCs w:val="24"/>
              </w:rPr>
              <w:t xml:space="preserve"> insekticide, akaricide, herbicide dhe rregullues të rritjes së bimëve.</w:t>
            </w:r>
          </w:p>
          <w:p w14:paraId="07FC97F7" w14:textId="0A30948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 xml:space="preserve">Kushtet e përdorimit do të përfshijnë, kur është e </w:t>
            </w:r>
            <w:r w:rsidRPr="00A91401">
              <w:rPr>
                <w:rFonts w:ascii="Garamond" w:hAnsi="Garamond"/>
                <w:sz w:val="16"/>
                <w:szCs w:val="24"/>
              </w:rPr>
              <w:lastRenderedPageBreak/>
              <w:t>përshtatshme, masa për zbutjen e rrezikut.</w:t>
            </w:r>
          </w:p>
        </w:tc>
      </w:tr>
      <w:tr w:rsidR="003E1F50" w:rsidRPr="00A91401" w14:paraId="7CEC7D4F" w14:textId="04BFFA09" w:rsidTr="003E1F50">
        <w:trPr>
          <w:trHeight w:val="20"/>
        </w:trPr>
        <w:tc>
          <w:tcPr>
            <w:tcW w:w="1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2777EB" w14:textId="53E7D4B4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3050C8" w14:textId="7FD7E86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143-07-7 (Lauric acid)</w:t>
            </w:r>
          </w:p>
          <w:p w14:paraId="1F97EBCA" w14:textId="18FB067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112-80-1 (Oleic acid)</w:t>
            </w:r>
          </w:p>
          <w:p w14:paraId="223D63D9" w14:textId="7134D23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85566-26-3 (acidet yndyrore C8-C10 Me estere)</w:t>
            </w:r>
          </w:p>
          <w:p w14:paraId="282C4FE7" w14:textId="1272260F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111-11-5 (Methyl octanoate)</w:t>
            </w:r>
          </w:p>
          <w:p w14:paraId="4702231D" w14:textId="402AD468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110-42-9 (Methyl decanoate)</w:t>
            </w:r>
          </w:p>
          <w:p w14:paraId="3809F357" w14:textId="46237425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CIPAC: Nuk caktohet</w:t>
            </w:r>
          </w:p>
        </w:tc>
        <w:tc>
          <w:tcPr>
            <w:tcW w:w="1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C92858" w14:textId="592B8B87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Nonanoic acid</w:t>
            </w:r>
          </w:p>
          <w:p w14:paraId="701DACB4" w14:textId="76949CF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Caprylic acid, Pelargonic acid, Capric acid, Lauric acid, Oleic acid (ISO në çdo rast)</w:t>
            </w:r>
          </w:p>
          <w:p w14:paraId="3D777598" w14:textId="3E55E720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Octanoic acid, Nonanoic acid, Decanoic acid, Dodecanoic acid, cis-9-Octadecenoic acid (IUPAC në çdo rast)</w:t>
            </w:r>
          </w:p>
          <w:p w14:paraId="2AE719F8" w14:textId="0090902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Acidet yndyrore, C7-C10, Me estere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DBF916" w14:textId="44F7776B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≥ 889 g/kg (Pelargonic acid)</w:t>
            </w:r>
          </w:p>
          <w:p w14:paraId="57EFB175" w14:textId="64AD2DBE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≥ 838 g/kg; acidet yndyrore</w:t>
            </w:r>
          </w:p>
          <w:p w14:paraId="2177C812" w14:textId="62C0D093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≥ 99 % esteret metil të acideve yndyrore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4329F7" w14:textId="1A0E8F97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1 shtator 2009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ADB0E3" w14:textId="3BA754D2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  <w:r w:rsidRPr="00A91401">
              <w:rPr>
                <w:rFonts w:ascii="Garamond" w:hAnsi="Garamond"/>
                <w:sz w:val="16"/>
                <w:szCs w:val="24"/>
              </w:rPr>
              <w:t>31 gusht 2024</w:t>
            </w:r>
          </w:p>
        </w:tc>
        <w:tc>
          <w:tcPr>
            <w:tcW w:w="10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67CB3B" w14:textId="1D6DC246" w:rsidR="003E1F50" w:rsidRPr="00A91401" w:rsidRDefault="003E1F50" w:rsidP="003E1F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sz w:val="16"/>
                <w:szCs w:val="24"/>
              </w:rPr>
            </w:pPr>
          </w:p>
        </w:tc>
      </w:tr>
    </w:tbl>
    <w:p w14:paraId="475B3EC1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83510D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Gjithsej: 2 (dy) lëndë vepruese.</w:t>
      </w:r>
    </w:p>
    <w:p w14:paraId="52C91884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  <w:r w:rsidRPr="00A91401">
        <w:rPr>
          <w:rFonts w:ascii="Garamond" w:hAnsi="Garamond"/>
          <w:b/>
          <w:i/>
          <w:sz w:val="24"/>
          <w:szCs w:val="24"/>
        </w:rPr>
        <w:t>Totali: 8 (tetë) lëndë vepruese.</w:t>
      </w:r>
    </w:p>
    <w:p w14:paraId="07BE7405" w14:textId="684875DA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3. MOSMIRATIM I LËNDËS VEPRUESE BAZIKE</w:t>
      </w:r>
      <w:r w:rsidR="00A91401">
        <w:rPr>
          <w:rFonts w:ascii="Garamond" w:hAnsi="Garamond"/>
          <w:sz w:val="24"/>
          <w:szCs w:val="24"/>
        </w:rPr>
        <w:t>,</w:t>
      </w:r>
      <w:r w:rsidRPr="00A91401">
        <w:rPr>
          <w:rFonts w:ascii="Garamond" w:hAnsi="Garamond"/>
          <w:sz w:val="24"/>
          <w:szCs w:val="24"/>
        </w:rPr>
        <w:t xml:space="preserve"> SI MË POSHTË:</w:t>
      </w:r>
    </w:p>
    <w:p w14:paraId="3075A528" w14:textId="3EDE2B59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b/>
          <w:sz w:val="24"/>
          <w:szCs w:val="24"/>
        </w:rPr>
        <w:t>1. Pluhuri i lëvozhgës së vezës</w:t>
      </w:r>
    </w:p>
    <w:p w14:paraId="2C4DB1FF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 xml:space="preserve">Substanca </w:t>
      </w:r>
      <w:r w:rsidRPr="00A91401">
        <w:rPr>
          <w:rFonts w:ascii="Garamond" w:hAnsi="Garamond"/>
          <w:i/>
          <w:sz w:val="24"/>
          <w:szCs w:val="24"/>
        </w:rPr>
        <w:t>pluhur i lëvozhgës së vezës</w:t>
      </w:r>
      <w:r w:rsidRPr="00A91401">
        <w:rPr>
          <w:rFonts w:ascii="Garamond" w:hAnsi="Garamond"/>
          <w:sz w:val="24"/>
          <w:szCs w:val="24"/>
        </w:rPr>
        <w:t xml:space="preserve"> nuk miratohet si lëndë vepruese bazike.</w:t>
      </w:r>
    </w:p>
    <w:p w14:paraId="3BB23B89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401">
        <w:rPr>
          <w:rFonts w:ascii="Garamond" w:hAnsi="Garamond"/>
          <w:sz w:val="24"/>
          <w:szCs w:val="24"/>
        </w:rPr>
        <w:t>Gjithsej: 1 (një) lëndë vepruese.</w:t>
      </w:r>
    </w:p>
    <w:p w14:paraId="3FA2BD94" w14:textId="77777777" w:rsidR="003E1F50" w:rsidRPr="00A91401" w:rsidRDefault="003E1F50" w:rsidP="003E1F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E1F50" w:rsidRPr="00A91401" w:rsidSect="00D00AEE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77057" w14:textId="77777777" w:rsidR="00161655" w:rsidRDefault="00161655" w:rsidP="00FA54AB">
      <w:pPr>
        <w:spacing w:after="0" w:line="240" w:lineRule="auto"/>
      </w:pPr>
      <w:r>
        <w:separator/>
      </w:r>
    </w:p>
  </w:endnote>
  <w:endnote w:type="continuationSeparator" w:id="0">
    <w:p w14:paraId="6E7464D8" w14:textId="77777777" w:rsidR="00161655" w:rsidRDefault="00161655" w:rsidP="00FA54AB">
      <w:pPr>
        <w:spacing w:after="0" w:line="240" w:lineRule="auto"/>
      </w:pPr>
      <w:r>
        <w:continuationSeparator/>
      </w:r>
    </w:p>
  </w:endnote>
  <w:endnote w:type="continuationNotice" w:id="1">
    <w:p w14:paraId="79310936" w14:textId="77777777" w:rsidR="00161655" w:rsidRDefault="001616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12B71" w14:textId="77777777" w:rsidR="00161655" w:rsidRDefault="00161655" w:rsidP="00FA54AB">
      <w:pPr>
        <w:spacing w:after="0" w:line="240" w:lineRule="auto"/>
      </w:pPr>
      <w:r>
        <w:separator/>
      </w:r>
    </w:p>
  </w:footnote>
  <w:footnote w:type="continuationSeparator" w:id="0">
    <w:p w14:paraId="552B55DB" w14:textId="77777777" w:rsidR="00161655" w:rsidRDefault="00161655" w:rsidP="00FA54AB">
      <w:pPr>
        <w:spacing w:after="0" w:line="240" w:lineRule="auto"/>
      </w:pPr>
      <w:r>
        <w:continuationSeparator/>
      </w:r>
    </w:p>
  </w:footnote>
  <w:footnote w:type="continuationNotice" w:id="1">
    <w:p w14:paraId="095A9C8D" w14:textId="77777777" w:rsidR="00161655" w:rsidRDefault="001616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70"/>
    <w:rsid w:val="000007B5"/>
    <w:rsid w:val="00002B0B"/>
    <w:rsid w:val="00005D3C"/>
    <w:rsid w:val="00013C57"/>
    <w:rsid w:val="00022EB1"/>
    <w:rsid w:val="00026F09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4BBF"/>
    <w:rsid w:val="000450AB"/>
    <w:rsid w:val="000451B2"/>
    <w:rsid w:val="00046719"/>
    <w:rsid w:val="000500FE"/>
    <w:rsid w:val="00055225"/>
    <w:rsid w:val="00057DC0"/>
    <w:rsid w:val="00061C3A"/>
    <w:rsid w:val="0006345E"/>
    <w:rsid w:val="00071520"/>
    <w:rsid w:val="00072843"/>
    <w:rsid w:val="00072B64"/>
    <w:rsid w:val="00075825"/>
    <w:rsid w:val="00075DA9"/>
    <w:rsid w:val="00076240"/>
    <w:rsid w:val="00081C00"/>
    <w:rsid w:val="00081EE9"/>
    <w:rsid w:val="00082024"/>
    <w:rsid w:val="00083450"/>
    <w:rsid w:val="00084B42"/>
    <w:rsid w:val="00086E5A"/>
    <w:rsid w:val="00087BDA"/>
    <w:rsid w:val="0009174A"/>
    <w:rsid w:val="00091BDC"/>
    <w:rsid w:val="00092DC3"/>
    <w:rsid w:val="000960B4"/>
    <w:rsid w:val="000979CB"/>
    <w:rsid w:val="000A1EA4"/>
    <w:rsid w:val="000A26AA"/>
    <w:rsid w:val="000B7357"/>
    <w:rsid w:val="000B73C0"/>
    <w:rsid w:val="000C20E8"/>
    <w:rsid w:val="000C2A0F"/>
    <w:rsid w:val="000C2E1E"/>
    <w:rsid w:val="000C39D1"/>
    <w:rsid w:val="000C54F9"/>
    <w:rsid w:val="000C7A06"/>
    <w:rsid w:val="000D00AB"/>
    <w:rsid w:val="000D1058"/>
    <w:rsid w:val="000D1D9D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06F07"/>
    <w:rsid w:val="0011011B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C79"/>
    <w:rsid w:val="00144D7B"/>
    <w:rsid w:val="00150773"/>
    <w:rsid w:val="00152020"/>
    <w:rsid w:val="00153DA6"/>
    <w:rsid w:val="001540F1"/>
    <w:rsid w:val="0015479B"/>
    <w:rsid w:val="00157234"/>
    <w:rsid w:val="00157860"/>
    <w:rsid w:val="00160961"/>
    <w:rsid w:val="0016138B"/>
    <w:rsid w:val="00161655"/>
    <w:rsid w:val="00161677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97E1B"/>
    <w:rsid w:val="001A6634"/>
    <w:rsid w:val="001B11FE"/>
    <w:rsid w:val="001B409E"/>
    <w:rsid w:val="001B42D6"/>
    <w:rsid w:val="001C0392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7FF3"/>
    <w:rsid w:val="00211A82"/>
    <w:rsid w:val="002124E6"/>
    <w:rsid w:val="00212CD6"/>
    <w:rsid w:val="00213840"/>
    <w:rsid w:val="00213AC1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37407"/>
    <w:rsid w:val="00241503"/>
    <w:rsid w:val="00243334"/>
    <w:rsid w:val="00243DE7"/>
    <w:rsid w:val="002446B6"/>
    <w:rsid w:val="00245BDA"/>
    <w:rsid w:val="002478B4"/>
    <w:rsid w:val="00247B61"/>
    <w:rsid w:val="00253609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5A5F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1C19"/>
    <w:rsid w:val="002A2169"/>
    <w:rsid w:val="002A2F82"/>
    <w:rsid w:val="002A4092"/>
    <w:rsid w:val="002A7BDA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3C48"/>
    <w:rsid w:val="002E55A0"/>
    <w:rsid w:val="002F22DB"/>
    <w:rsid w:val="00303B57"/>
    <w:rsid w:val="00305AF4"/>
    <w:rsid w:val="00307078"/>
    <w:rsid w:val="00313C31"/>
    <w:rsid w:val="003145A7"/>
    <w:rsid w:val="00315A9C"/>
    <w:rsid w:val="00321E16"/>
    <w:rsid w:val="003230CE"/>
    <w:rsid w:val="00324B18"/>
    <w:rsid w:val="00325EA6"/>
    <w:rsid w:val="0032635B"/>
    <w:rsid w:val="00332BBE"/>
    <w:rsid w:val="00335074"/>
    <w:rsid w:val="00335C2C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464C"/>
    <w:rsid w:val="003B72E9"/>
    <w:rsid w:val="003C0D39"/>
    <w:rsid w:val="003C79D6"/>
    <w:rsid w:val="003D20FB"/>
    <w:rsid w:val="003D32FD"/>
    <w:rsid w:val="003D378D"/>
    <w:rsid w:val="003D3D33"/>
    <w:rsid w:val="003D6A38"/>
    <w:rsid w:val="003D7652"/>
    <w:rsid w:val="003D7A18"/>
    <w:rsid w:val="003E0044"/>
    <w:rsid w:val="003E133B"/>
    <w:rsid w:val="003E1F50"/>
    <w:rsid w:val="003E4238"/>
    <w:rsid w:val="003F72D4"/>
    <w:rsid w:val="004010E0"/>
    <w:rsid w:val="00401788"/>
    <w:rsid w:val="004044FF"/>
    <w:rsid w:val="00406A65"/>
    <w:rsid w:val="00412DE9"/>
    <w:rsid w:val="004139C4"/>
    <w:rsid w:val="00413E35"/>
    <w:rsid w:val="0041523E"/>
    <w:rsid w:val="00421581"/>
    <w:rsid w:val="00421980"/>
    <w:rsid w:val="004225DA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135"/>
    <w:rsid w:val="004E5B1D"/>
    <w:rsid w:val="004E6EE1"/>
    <w:rsid w:val="004E738E"/>
    <w:rsid w:val="004F1EF4"/>
    <w:rsid w:val="004F3023"/>
    <w:rsid w:val="004F4488"/>
    <w:rsid w:val="004F4B46"/>
    <w:rsid w:val="004F4F3F"/>
    <w:rsid w:val="004F76C5"/>
    <w:rsid w:val="005002C3"/>
    <w:rsid w:val="00501755"/>
    <w:rsid w:val="00504099"/>
    <w:rsid w:val="005059BC"/>
    <w:rsid w:val="005102BE"/>
    <w:rsid w:val="00512221"/>
    <w:rsid w:val="00512D11"/>
    <w:rsid w:val="00513521"/>
    <w:rsid w:val="005205FA"/>
    <w:rsid w:val="005220B2"/>
    <w:rsid w:val="00523273"/>
    <w:rsid w:val="0052413E"/>
    <w:rsid w:val="005244D2"/>
    <w:rsid w:val="00525D66"/>
    <w:rsid w:val="005270AF"/>
    <w:rsid w:val="00535372"/>
    <w:rsid w:val="00536A37"/>
    <w:rsid w:val="0054178B"/>
    <w:rsid w:val="005443A5"/>
    <w:rsid w:val="00547F1D"/>
    <w:rsid w:val="00550985"/>
    <w:rsid w:val="00557027"/>
    <w:rsid w:val="00561A7D"/>
    <w:rsid w:val="00564235"/>
    <w:rsid w:val="0056651D"/>
    <w:rsid w:val="00570660"/>
    <w:rsid w:val="005734A6"/>
    <w:rsid w:val="0058010F"/>
    <w:rsid w:val="005806FB"/>
    <w:rsid w:val="00581026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E263D"/>
    <w:rsid w:val="005E397D"/>
    <w:rsid w:val="005E530A"/>
    <w:rsid w:val="005E6966"/>
    <w:rsid w:val="005F0653"/>
    <w:rsid w:val="005F12FC"/>
    <w:rsid w:val="005F248F"/>
    <w:rsid w:val="005F2F3E"/>
    <w:rsid w:val="005F5CB7"/>
    <w:rsid w:val="005F5CC3"/>
    <w:rsid w:val="005F6424"/>
    <w:rsid w:val="006002FA"/>
    <w:rsid w:val="00602588"/>
    <w:rsid w:val="00604D45"/>
    <w:rsid w:val="00604ED2"/>
    <w:rsid w:val="00606247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259DE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1BC9"/>
    <w:rsid w:val="00652763"/>
    <w:rsid w:val="006579A0"/>
    <w:rsid w:val="0066171B"/>
    <w:rsid w:val="006724D4"/>
    <w:rsid w:val="00675B52"/>
    <w:rsid w:val="00675C07"/>
    <w:rsid w:val="00675CCD"/>
    <w:rsid w:val="00676BF8"/>
    <w:rsid w:val="006777C1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3B5C"/>
    <w:rsid w:val="006A4701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D16EF"/>
    <w:rsid w:val="006D297E"/>
    <w:rsid w:val="006D5B04"/>
    <w:rsid w:val="006D5CBE"/>
    <w:rsid w:val="006D5E5A"/>
    <w:rsid w:val="006D726B"/>
    <w:rsid w:val="006E1744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1AD2"/>
    <w:rsid w:val="00762023"/>
    <w:rsid w:val="00762A23"/>
    <w:rsid w:val="007632DB"/>
    <w:rsid w:val="00763496"/>
    <w:rsid w:val="0077082A"/>
    <w:rsid w:val="00770B51"/>
    <w:rsid w:val="007815F2"/>
    <w:rsid w:val="0078459A"/>
    <w:rsid w:val="0078626B"/>
    <w:rsid w:val="00786886"/>
    <w:rsid w:val="0078695A"/>
    <w:rsid w:val="00786F9F"/>
    <w:rsid w:val="00787234"/>
    <w:rsid w:val="0079140E"/>
    <w:rsid w:val="00792C32"/>
    <w:rsid w:val="00794242"/>
    <w:rsid w:val="00794ECA"/>
    <w:rsid w:val="007A6E86"/>
    <w:rsid w:val="007A7F71"/>
    <w:rsid w:val="007B0238"/>
    <w:rsid w:val="007B0CAC"/>
    <w:rsid w:val="007B23B7"/>
    <w:rsid w:val="007B3C2F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440CF"/>
    <w:rsid w:val="00855929"/>
    <w:rsid w:val="00861EAA"/>
    <w:rsid w:val="00861F51"/>
    <w:rsid w:val="00863127"/>
    <w:rsid w:val="00863ABB"/>
    <w:rsid w:val="008647C3"/>
    <w:rsid w:val="008749E7"/>
    <w:rsid w:val="00874D3F"/>
    <w:rsid w:val="00882A79"/>
    <w:rsid w:val="0088520A"/>
    <w:rsid w:val="00886E73"/>
    <w:rsid w:val="00887EAF"/>
    <w:rsid w:val="00890BC4"/>
    <w:rsid w:val="0089139F"/>
    <w:rsid w:val="00891D60"/>
    <w:rsid w:val="00891E48"/>
    <w:rsid w:val="00892875"/>
    <w:rsid w:val="0089584E"/>
    <w:rsid w:val="008965F9"/>
    <w:rsid w:val="00896859"/>
    <w:rsid w:val="008977C9"/>
    <w:rsid w:val="00897E2C"/>
    <w:rsid w:val="008A5031"/>
    <w:rsid w:val="008A5D6E"/>
    <w:rsid w:val="008B05FB"/>
    <w:rsid w:val="008B0937"/>
    <w:rsid w:val="008B0D63"/>
    <w:rsid w:val="008B1FB7"/>
    <w:rsid w:val="008B3301"/>
    <w:rsid w:val="008B407C"/>
    <w:rsid w:val="008B6F1C"/>
    <w:rsid w:val="008C2945"/>
    <w:rsid w:val="008C54D0"/>
    <w:rsid w:val="008C758F"/>
    <w:rsid w:val="008D6AE5"/>
    <w:rsid w:val="008D6BF7"/>
    <w:rsid w:val="008E00BC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5377"/>
    <w:rsid w:val="00926860"/>
    <w:rsid w:val="00932B25"/>
    <w:rsid w:val="009343A9"/>
    <w:rsid w:val="0093538F"/>
    <w:rsid w:val="00936CBB"/>
    <w:rsid w:val="00951363"/>
    <w:rsid w:val="00953AC8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A5702"/>
    <w:rsid w:val="009B02BA"/>
    <w:rsid w:val="009B4EA1"/>
    <w:rsid w:val="009C2D7B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0648"/>
    <w:rsid w:val="00A01972"/>
    <w:rsid w:val="00A0475A"/>
    <w:rsid w:val="00A07C09"/>
    <w:rsid w:val="00A10236"/>
    <w:rsid w:val="00A13C9C"/>
    <w:rsid w:val="00A14F42"/>
    <w:rsid w:val="00A20362"/>
    <w:rsid w:val="00A2216B"/>
    <w:rsid w:val="00A25313"/>
    <w:rsid w:val="00A25643"/>
    <w:rsid w:val="00A272A2"/>
    <w:rsid w:val="00A33962"/>
    <w:rsid w:val="00A33F64"/>
    <w:rsid w:val="00A35FDC"/>
    <w:rsid w:val="00A41512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87029"/>
    <w:rsid w:val="00A91401"/>
    <w:rsid w:val="00A93D4B"/>
    <w:rsid w:val="00A94136"/>
    <w:rsid w:val="00A94493"/>
    <w:rsid w:val="00A975B2"/>
    <w:rsid w:val="00AA058E"/>
    <w:rsid w:val="00AA6900"/>
    <w:rsid w:val="00AB5603"/>
    <w:rsid w:val="00AB7C22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5048"/>
    <w:rsid w:val="00B17970"/>
    <w:rsid w:val="00B17EE4"/>
    <w:rsid w:val="00B214CA"/>
    <w:rsid w:val="00B251BD"/>
    <w:rsid w:val="00B2620A"/>
    <w:rsid w:val="00B26B2D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1D7E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90D44"/>
    <w:rsid w:val="00B918B4"/>
    <w:rsid w:val="00B92A18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2551"/>
    <w:rsid w:val="00BC3453"/>
    <w:rsid w:val="00BC75B3"/>
    <w:rsid w:val="00BC7FD7"/>
    <w:rsid w:val="00BD0D41"/>
    <w:rsid w:val="00BD1495"/>
    <w:rsid w:val="00BD179C"/>
    <w:rsid w:val="00BD1E96"/>
    <w:rsid w:val="00BD56A8"/>
    <w:rsid w:val="00BD7C1D"/>
    <w:rsid w:val="00BE0745"/>
    <w:rsid w:val="00BE0CCF"/>
    <w:rsid w:val="00BE1FC4"/>
    <w:rsid w:val="00BE2150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181E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01B3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4268"/>
    <w:rsid w:val="00CC6571"/>
    <w:rsid w:val="00CC6F37"/>
    <w:rsid w:val="00CD09B7"/>
    <w:rsid w:val="00CD1E19"/>
    <w:rsid w:val="00CD3131"/>
    <w:rsid w:val="00CD4546"/>
    <w:rsid w:val="00CD62C6"/>
    <w:rsid w:val="00CE5190"/>
    <w:rsid w:val="00CE7E0B"/>
    <w:rsid w:val="00CF422D"/>
    <w:rsid w:val="00CF4497"/>
    <w:rsid w:val="00CF5B5D"/>
    <w:rsid w:val="00D00AEE"/>
    <w:rsid w:val="00D017B9"/>
    <w:rsid w:val="00D01C98"/>
    <w:rsid w:val="00D02128"/>
    <w:rsid w:val="00D029A7"/>
    <w:rsid w:val="00D04147"/>
    <w:rsid w:val="00D06050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368EC"/>
    <w:rsid w:val="00D440A6"/>
    <w:rsid w:val="00D45D46"/>
    <w:rsid w:val="00D46917"/>
    <w:rsid w:val="00D52398"/>
    <w:rsid w:val="00D57E21"/>
    <w:rsid w:val="00D619F2"/>
    <w:rsid w:val="00D622D7"/>
    <w:rsid w:val="00D63466"/>
    <w:rsid w:val="00D634E4"/>
    <w:rsid w:val="00D65904"/>
    <w:rsid w:val="00D67B2F"/>
    <w:rsid w:val="00D70004"/>
    <w:rsid w:val="00D76193"/>
    <w:rsid w:val="00D82EEC"/>
    <w:rsid w:val="00D907AC"/>
    <w:rsid w:val="00D917F6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B6C4F"/>
    <w:rsid w:val="00DC0438"/>
    <w:rsid w:val="00DC3F8F"/>
    <w:rsid w:val="00DD2E80"/>
    <w:rsid w:val="00DD33EF"/>
    <w:rsid w:val="00DD3BEE"/>
    <w:rsid w:val="00DD715A"/>
    <w:rsid w:val="00DE14BB"/>
    <w:rsid w:val="00DE1AC5"/>
    <w:rsid w:val="00DF0EAF"/>
    <w:rsid w:val="00DF1A05"/>
    <w:rsid w:val="00DF2C0E"/>
    <w:rsid w:val="00DF57C3"/>
    <w:rsid w:val="00DF7207"/>
    <w:rsid w:val="00E01EE5"/>
    <w:rsid w:val="00E0210A"/>
    <w:rsid w:val="00E06C5D"/>
    <w:rsid w:val="00E1061A"/>
    <w:rsid w:val="00E108C2"/>
    <w:rsid w:val="00E10CB7"/>
    <w:rsid w:val="00E12A2D"/>
    <w:rsid w:val="00E13C09"/>
    <w:rsid w:val="00E21423"/>
    <w:rsid w:val="00E225E2"/>
    <w:rsid w:val="00E22D3D"/>
    <w:rsid w:val="00E24B47"/>
    <w:rsid w:val="00E265DB"/>
    <w:rsid w:val="00E26DDB"/>
    <w:rsid w:val="00E275E9"/>
    <w:rsid w:val="00E276C0"/>
    <w:rsid w:val="00E30285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0A6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1B71"/>
    <w:rsid w:val="00ED3C90"/>
    <w:rsid w:val="00ED53AC"/>
    <w:rsid w:val="00ED71B1"/>
    <w:rsid w:val="00EE0EDB"/>
    <w:rsid w:val="00EE104E"/>
    <w:rsid w:val="00EE1EC1"/>
    <w:rsid w:val="00EE6091"/>
    <w:rsid w:val="00F01574"/>
    <w:rsid w:val="00F015FB"/>
    <w:rsid w:val="00F019B1"/>
    <w:rsid w:val="00F03913"/>
    <w:rsid w:val="00F04560"/>
    <w:rsid w:val="00F05144"/>
    <w:rsid w:val="00F0580D"/>
    <w:rsid w:val="00F06B5B"/>
    <w:rsid w:val="00F06CC9"/>
    <w:rsid w:val="00F06EA1"/>
    <w:rsid w:val="00F078A9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39A4"/>
    <w:rsid w:val="00F44D24"/>
    <w:rsid w:val="00F46ED1"/>
    <w:rsid w:val="00F51BC9"/>
    <w:rsid w:val="00F5516A"/>
    <w:rsid w:val="00F553C1"/>
    <w:rsid w:val="00F55A07"/>
    <w:rsid w:val="00F60049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A7B3B"/>
    <w:rsid w:val="00FB0B16"/>
    <w:rsid w:val="00FB23B9"/>
    <w:rsid w:val="00FB29CE"/>
    <w:rsid w:val="00FB30BC"/>
    <w:rsid w:val="00FB4027"/>
    <w:rsid w:val="00FB43B4"/>
    <w:rsid w:val="00FC4B99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5DDE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C1F584"/>
  <w15:chartTrackingRefBased/>
  <w15:docId w15:val="{7D6C908F-B0EC-4522-81D8-3051FBC0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451B2"/>
    <w:rPr>
      <w:sz w:val="22"/>
      <w:szCs w:val="22"/>
    </w:rPr>
  </w:style>
  <w:style w:type="paragraph" w:styleId="Revision">
    <w:name w:val="Revision"/>
    <w:hidden/>
    <w:uiPriority w:val="99"/>
    <w:semiHidden/>
    <w:rsid w:val="00046719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18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05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F7DFC02E584305A91257AE25378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751</Nr_x002e__x0020_akti>
    <Data_x0020_e_x0020_Krijimit xmlns="0e656187-b300-4fb0-8bf4-3a50f872073c">2024-09-30T09:05:54Z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2024-09-27T00:00:00Z</Date_x0020_protokolli>
    <Titulli xmlns="0e656187-b300-4fb0-8bf4-3a50f872073c">Për përditësimin e urdhrit të ministrit nr.275, datë 5.5.2023, "Për miratimin e lëndëve vepruese dhe përbërësve të tjerë, në përmbajtje të PMB-ve", të ndryshuar</Titulli>
    <Modifikuesi xmlns="0e656187-b300-4fb0-8bf4-3a50f872073c">Fjora.Cahani</Modifikuesi>
    <Nr_x002e__x0020_prot_x0020_QBZ xmlns="0e656187-b300-4fb0-8bf4-3a50f872073c">1690/1</Nr_x002e__x0020_prot_x0020_QBZ>
    <Data_x0020_e_x0020_Modifikimit xmlns="0e656187-b300-4fb0-8bf4-3a50f872073c">2024-09-30T10:44:12Z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3610/7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F7DFC02E584305A91257AE25378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BB831-82F2-4ACD-A85E-354A5130A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61FAB0-6137-4D9F-B35B-9F37DD876E5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B22D6EF-40B6-419F-9651-070EA59CD2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5F847-44BC-41C0-9296-1BD7E3FF13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859CD6-14C0-4A4D-A49A-83E0AB038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0E73A2-5DDA-4A9A-8DA6-D46BF435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nr.275, datë 5.5.2023, "Për miratimin e lëndëve vepruese dhe përbërësve të tjerë, në përmbajtje të PMB-ve", të ndryshuar</vt:lpstr>
    </vt:vector>
  </TitlesOfParts>
  <Company>private</Company>
  <LinksUpToDate>false</LinksUpToDate>
  <CharactersWithSpaces>9434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nr.275, datë 5.5.2023, "Për miratimin e lëndëve vepruese dhe përbërësve të tjerë, në përmbajtje të PMB-ve", të ndryshuar</dc:title>
  <dc:creator>perdorues</dc:creator>
  <cp:lastModifiedBy>Entela Suli</cp:lastModifiedBy>
  <cp:revision>24</cp:revision>
  <cp:lastPrinted>2022-12-13T14:53:00Z</cp:lastPrinted>
  <dcterms:created xsi:type="dcterms:W3CDTF">2024-05-21T12:53:00Z</dcterms:created>
  <dcterms:modified xsi:type="dcterms:W3CDTF">2024-09-30T09:58:00Z</dcterms:modified>
</cp:coreProperties>
</file>