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832F0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D1565A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1E170DC3" w14:textId="05354BB2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D1565A">
        <w:rPr>
          <w:rFonts w:ascii="Garamond" w:eastAsiaTheme="minorHAnsi" w:hAnsi="Garamond"/>
          <w:b/>
          <w:bCs/>
          <w:sz w:val="24"/>
          <w:szCs w:val="24"/>
        </w:rPr>
        <w:t>Nr. 1131, datë 27.12</w:t>
      </w:r>
      <w:bookmarkStart w:id="0" w:name="_GoBack"/>
      <w:bookmarkEnd w:id="0"/>
      <w:r w:rsidRPr="00D1565A">
        <w:rPr>
          <w:rFonts w:ascii="Garamond" w:eastAsiaTheme="minorHAnsi" w:hAnsi="Garamond"/>
          <w:b/>
          <w:bCs/>
          <w:sz w:val="24"/>
          <w:szCs w:val="24"/>
        </w:rPr>
        <w:t>.2024</w:t>
      </w:r>
    </w:p>
    <w:p w14:paraId="7577ACE1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0B30390A" w14:textId="6E57CCE3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D1565A">
        <w:rPr>
          <w:rFonts w:ascii="Garamond" w:eastAsiaTheme="minorHAnsi" w:hAnsi="Garamond"/>
          <w:b/>
          <w:bCs/>
          <w:sz w:val="24"/>
          <w:szCs w:val="24"/>
        </w:rPr>
        <w:t>PËR MARRJEN E MASAVE KUFIZUESE PËR PARANDALIMIN DHE KONTROLLIN E SËMUNDJES SË MURTAJËS AFRIKANE TË DERRAVE NË KAFSHËT E GJALLA TË LLOJIT DERRA TË BUTË, NË MJEDISET E HAPURA DHE NË TREGJET E KAFSHËVE TË GJALLA</w:t>
      </w:r>
    </w:p>
    <w:p w14:paraId="5408ED81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758C4288" w14:textId="2D75F084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1565A">
        <w:rPr>
          <w:rFonts w:ascii="Garamond" w:eastAsiaTheme="minorHAnsi" w:hAnsi="Garamond"/>
          <w:sz w:val="24"/>
          <w:szCs w:val="24"/>
        </w:rPr>
        <w:t>Mbështetur në nenin 102, pika 4</w:t>
      </w:r>
      <w:r w:rsidR="0099072B">
        <w:rPr>
          <w:rFonts w:ascii="Garamond" w:eastAsiaTheme="minorHAnsi" w:hAnsi="Garamond"/>
          <w:sz w:val="24"/>
          <w:szCs w:val="24"/>
        </w:rPr>
        <w:t>,</w:t>
      </w:r>
      <w:r w:rsidRPr="00D1565A">
        <w:rPr>
          <w:rFonts w:ascii="Garamond" w:eastAsiaTheme="minorHAnsi" w:hAnsi="Garamond"/>
          <w:sz w:val="24"/>
          <w:szCs w:val="24"/>
        </w:rPr>
        <w:t xml:space="preserve"> </w:t>
      </w:r>
      <w:r w:rsidR="0099072B">
        <w:rPr>
          <w:rFonts w:ascii="Garamond" w:eastAsiaTheme="minorHAnsi" w:hAnsi="Garamond"/>
          <w:sz w:val="24"/>
          <w:szCs w:val="24"/>
        </w:rPr>
        <w:t>të</w:t>
      </w:r>
      <w:r w:rsidRPr="00D1565A">
        <w:rPr>
          <w:rFonts w:ascii="Garamond" w:eastAsiaTheme="minorHAnsi" w:hAnsi="Garamond"/>
          <w:sz w:val="24"/>
          <w:szCs w:val="24"/>
        </w:rPr>
        <w:t xml:space="preserve"> Kushtetutës</w:t>
      </w:r>
      <w:r w:rsidR="00867FD4">
        <w:rPr>
          <w:rFonts w:ascii="Garamond" w:eastAsiaTheme="minorHAnsi" w:hAnsi="Garamond"/>
          <w:sz w:val="24"/>
          <w:szCs w:val="24"/>
        </w:rPr>
        <w:t>;</w:t>
      </w:r>
      <w:r w:rsidRPr="00D1565A">
        <w:rPr>
          <w:rFonts w:ascii="Garamond" w:eastAsiaTheme="minorHAnsi" w:hAnsi="Garamond"/>
          <w:sz w:val="24"/>
          <w:szCs w:val="24"/>
        </w:rPr>
        <w:t xml:space="preserve"> </w:t>
      </w:r>
      <w:r w:rsidR="0099072B">
        <w:rPr>
          <w:rFonts w:ascii="Garamond" w:eastAsiaTheme="minorHAnsi" w:hAnsi="Garamond"/>
          <w:sz w:val="24"/>
          <w:szCs w:val="24"/>
        </w:rPr>
        <w:t>n</w:t>
      </w:r>
      <w:r w:rsidRPr="00D1565A">
        <w:rPr>
          <w:rFonts w:ascii="Garamond" w:eastAsiaTheme="minorHAnsi" w:hAnsi="Garamond"/>
          <w:sz w:val="24"/>
          <w:szCs w:val="24"/>
        </w:rPr>
        <w:t>ë shkronjë</w:t>
      </w:r>
      <w:r w:rsidR="0099072B">
        <w:rPr>
          <w:rFonts w:ascii="Garamond" w:eastAsiaTheme="minorHAnsi" w:hAnsi="Garamond"/>
          <w:sz w:val="24"/>
          <w:szCs w:val="24"/>
        </w:rPr>
        <w:t>n</w:t>
      </w:r>
      <w:r w:rsidRPr="00D1565A">
        <w:rPr>
          <w:rFonts w:ascii="Garamond" w:eastAsiaTheme="minorHAnsi" w:hAnsi="Garamond"/>
          <w:sz w:val="24"/>
          <w:szCs w:val="24"/>
        </w:rPr>
        <w:t xml:space="preserve"> “b”</w:t>
      </w:r>
      <w:r w:rsidR="00E84A3D">
        <w:rPr>
          <w:rFonts w:ascii="Garamond" w:eastAsiaTheme="minorHAnsi" w:hAnsi="Garamond"/>
          <w:sz w:val="24"/>
          <w:szCs w:val="24"/>
        </w:rPr>
        <w:t xml:space="preserve"> të </w:t>
      </w:r>
      <w:r w:rsidRPr="00D1565A">
        <w:rPr>
          <w:rFonts w:ascii="Garamond" w:eastAsiaTheme="minorHAnsi" w:hAnsi="Garamond"/>
          <w:sz w:val="24"/>
          <w:szCs w:val="24"/>
        </w:rPr>
        <w:t xml:space="preserve">nenit 15 dhe </w:t>
      </w:r>
      <w:r w:rsidR="0099072B">
        <w:rPr>
          <w:rFonts w:ascii="Garamond" w:eastAsiaTheme="minorHAnsi" w:hAnsi="Garamond"/>
          <w:sz w:val="24"/>
          <w:szCs w:val="24"/>
        </w:rPr>
        <w:t xml:space="preserve">në </w:t>
      </w:r>
      <w:r w:rsidR="0099072B" w:rsidRPr="00D1565A">
        <w:rPr>
          <w:rFonts w:ascii="Garamond" w:eastAsiaTheme="minorHAnsi" w:hAnsi="Garamond"/>
          <w:sz w:val="24"/>
          <w:szCs w:val="24"/>
        </w:rPr>
        <w:t>ne</w:t>
      </w:r>
      <w:r w:rsidRPr="00D1565A">
        <w:rPr>
          <w:rFonts w:ascii="Garamond" w:eastAsiaTheme="minorHAnsi" w:hAnsi="Garamond"/>
          <w:sz w:val="24"/>
          <w:szCs w:val="24"/>
        </w:rPr>
        <w:t>ni</w:t>
      </w:r>
      <w:r w:rsidR="0099072B">
        <w:rPr>
          <w:rFonts w:ascii="Garamond" w:eastAsiaTheme="minorHAnsi" w:hAnsi="Garamond"/>
          <w:sz w:val="24"/>
          <w:szCs w:val="24"/>
        </w:rPr>
        <w:t>n</w:t>
      </w:r>
      <w:r w:rsidRPr="00D1565A">
        <w:rPr>
          <w:rFonts w:ascii="Garamond" w:eastAsiaTheme="minorHAnsi" w:hAnsi="Garamond"/>
          <w:sz w:val="24"/>
          <w:szCs w:val="24"/>
        </w:rPr>
        <w:t xml:space="preserve"> 21 të </w:t>
      </w:r>
      <w:r w:rsidR="0099072B" w:rsidRPr="00D1565A">
        <w:rPr>
          <w:rFonts w:ascii="Garamond" w:eastAsiaTheme="minorHAnsi" w:hAnsi="Garamond"/>
          <w:sz w:val="24"/>
          <w:szCs w:val="24"/>
        </w:rPr>
        <w:t xml:space="preserve">ligjit </w:t>
      </w:r>
      <w:r w:rsidRPr="00D1565A">
        <w:rPr>
          <w:rFonts w:ascii="Garamond" w:eastAsiaTheme="minorHAnsi" w:hAnsi="Garamond"/>
          <w:sz w:val="24"/>
          <w:szCs w:val="24"/>
        </w:rPr>
        <w:t>nr. 10465, datë 29.9.2011</w:t>
      </w:r>
      <w:r w:rsidR="0099072B">
        <w:rPr>
          <w:rFonts w:ascii="Garamond" w:eastAsiaTheme="minorHAnsi" w:hAnsi="Garamond"/>
          <w:sz w:val="24"/>
          <w:szCs w:val="24"/>
        </w:rPr>
        <w:t>,</w:t>
      </w:r>
      <w:r w:rsidRPr="00D1565A">
        <w:rPr>
          <w:rFonts w:ascii="Garamond" w:eastAsiaTheme="minorHAnsi" w:hAnsi="Garamond"/>
          <w:sz w:val="24"/>
          <w:szCs w:val="24"/>
        </w:rPr>
        <w:t xml:space="preserve"> “Për shërbimin veterinar në Republikën e Shqipërisë”, </w:t>
      </w:r>
      <w:r w:rsidR="0099072B">
        <w:rPr>
          <w:rFonts w:ascii="Garamond" w:eastAsiaTheme="minorHAnsi" w:hAnsi="Garamond"/>
          <w:sz w:val="24"/>
          <w:szCs w:val="24"/>
        </w:rPr>
        <w:t xml:space="preserve">të </w:t>
      </w:r>
      <w:r w:rsidRPr="00D1565A">
        <w:rPr>
          <w:rFonts w:ascii="Garamond" w:eastAsiaTheme="minorHAnsi" w:hAnsi="Garamond"/>
          <w:sz w:val="24"/>
          <w:szCs w:val="24"/>
        </w:rPr>
        <w:t>ndryshuar</w:t>
      </w:r>
      <w:r w:rsidR="0099072B">
        <w:rPr>
          <w:rFonts w:ascii="Garamond" w:eastAsiaTheme="minorHAnsi" w:hAnsi="Garamond"/>
          <w:sz w:val="24"/>
          <w:szCs w:val="24"/>
        </w:rPr>
        <w:t>;</w:t>
      </w:r>
      <w:r w:rsidRPr="00D1565A">
        <w:rPr>
          <w:rFonts w:ascii="Garamond" w:eastAsiaTheme="minorHAnsi" w:hAnsi="Garamond"/>
          <w:sz w:val="24"/>
          <w:szCs w:val="24"/>
        </w:rPr>
        <w:t xml:space="preserve"> </w:t>
      </w:r>
      <w:r w:rsidR="0099072B">
        <w:rPr>
          <w:rFonts w:ascii="Garamond" w:eastAsiaTheme="minorHAnsi" w:hAnsi="Garamond"/>
          <w:sz w:val="24"/>
          <w:szCs w:val="24"/>
        </w:rPr>
        <w:t xml:space="preserve">në </w:t>
      </w:r>
      <w:r w:rsidR="00E84A3D" w:rsidRPr="00D1565A">
        <w:rPr>
          <w:rFonts w:ascii="Garamond" w:eastAsiaTheme="minorHAnsi" w:hAnsi="Garamond"/>
          <w:sz w:val="24"/>
          <w:szCs w:val="24"/>
        </w:rPr>
        <w:t>urdhri</w:t>
      </w:r>
      <w:r w:rsidR="00E84A3D">
        <w:rPr>
          <w:rFonts w:ascii="Garamond" w:eastAsiaTheme="minorHAnsi" w:hAnsi="Garamond"/>
          <w:sz w:val="24"/>
          <w:szCs w:val="24"/>
        </w:rPr>
        <w:t>n</w:t>
      </w:r>
      <w:r w:rsidR="00E84A3D" w:rsidRPr="00D1565A">
        <w:rPr>
          <w:rFonts w:ascii="Garamond" w:eastAsiaTheme="minorHAnsi" w:hAnsi="Garamond"/>
          <w:sz w:val="24"/>
          <w:szCs w:val="24"/>
        </w:rPr>
        <w:t xml:space="preserve"> nr</w:t>
      </w:r>
      <w:r w:rsidRPr="00D1565A">
        <w:rPr>
          <w:rFonts w:ascii="Garamond" w:eastAsiaTheme="minorHAnsi" w:hAnsi="Garamond"/>
          <w:sz w:val="24"/>
          <w:szCs w:val="24"/>
        </w:rPr>
        <w:t>. 241, datë 30.7.2012</w:t>
      </w:r>
      <w:r w:rsidR="00D1565A">
        <w:rPr>
          <w:rFonts w:ascii="Garamond" w:eastAsiaTheme="minorHAnsi" w:hAnsi="Garamond"/>
          <w:sz w:val="24"/>
          <w:szCs w:val="24"/>
        </w:rPr>
        <w:t>,</w:t>
      </w:r>
      <w:r w:rsidRPr="00D1565A">
        <w:rPr>
          <w:rFonts w:ascii="Garamond" w:eastAsiaTheme="minorHAnsi" w:hAnsi="Garamond"/>
          <w:sz w:val="24"/>
          <w:szCs w:val="24"/>
        </w:rPr>
        <w:t xml:space="preserve"> “Për miratimin e rregullores mbi kontrollin e sëmundjes së </w:t>
      </w:r>
      <w:r w:rsidR="00E84A3D" w:rsidRPr="00D1565A">
        <w:rPr>
          <w:rFonts w:ascii="Garamond" w:eastAsiaTheme="minorHAnsi" w:hAnsi="Garamond"/>
          <w:sz w:val="24"/>
          <w:szCs w:val="24"/>
        </w:rPr>
        <w:t>murtajës afrikane të derrave</w:t>
      </w:r>
      <w:r w:rsidRPr="00D1565A">
        <w:rPr>
          <w:rFonts w:ascii="Garamond" w:eastAsiaTheme="minorHAnsi" w:hAnsi="Garamond"/>
          <w:sz w:val="24"/>
          <w:szCs w:val="24"/>
        </w:rPr>
        <w:t>”</w:t>
      </w:r>
      <w:r w:rsidR="00E84A3D">
        <w:rPr>
          <w:rFonts w:ascii="Garamond" w:eastAsiaTheme="minorHAnsi" w:hAnsi="Garamond"/>
          <w:sz w:val="24"/>
          <w:szCs w:val="24"/>
        </w:rPr>
        <w:t>;</w:t>
      </w:r>
      <w:r w:rsidRPr="00D1565A">
        <w:rPr>
          <w:rFonts w:ascii="Garamond" w:eastAsiaTheme="minorHAnsi" w:hAnsi="Garamond"/>
          <w:sz w:val="24"/>
          <w:szCs w:val="24"/>
        </w:rPr>
        <w:t xml:space="preserve"> </w:t>
      </w:r>
      <w:r w:rsidR="00E84A3D">
        <w:rPr>
          <w:rFonts w:ascii="Garamond" w:eastAsiaTheme="minorHAnsi" w:hAnsi="Garamond"/>
          <w:sz w:val="24"/>
          <w:szCs w:val="24"/>
        </w:rPr>
        <w:t xml:space="preserve">në </w:t>
      </w:r>
      <w:r w:rsidR="00540D98" w:rsidRPr="00D1565A">
        <w:rPr>
          <w:rFonts w:ascii="Garamond" w:eastAsiaTheme="minorHAnsi" w:hAnsi="Garamond"/>
          <w:sz w:val="24"/>
          <w:szCs w:val="24"/>
        </w:rPr>
        <w:t>plani</w:t>
      </w:r>
      <w:r w:rsidR="00540D98">
        <w:rPr>
          <w:rFonts w:ascii="Garamond" w:eastAsiaTheme="minorHAnsi" w:hAnsi="Garamond"/>
          <w:sz w:val="24"/>
          <w:szCs w:val="24"/>
        </w:rPr>
        <w:t>n e</w:t>
      </w:r>
      <w:r w:rsidR="00540D98" w:rsidRPr="00D1565A">
        <w:rPr>
          <w:rFonts w:ascii="Garamond" w:eastAsiaTheme="minorHAnsi" w:hAnsi="Garamond"/>
          <w:sz w:val="24"/>
          <w:szCs w:val="24"/>
        </w:rPr>
        <w:t xml:space="preserve"> kontigjencës </w:t>
      </w:r>
      <w:r w:rsidR="00D1565A" w:rsidRPr="00D1565A">
        <w:rPr>
          <w:rFonts w:ascii="Garamond" w:eastAsiaTheme="minorHAnsi" w:hAnsi="Garamond"/>
          <w:sz w:val="24"/>
          <w:szCs w:val="24"/>
        </w:rPr>
        <w:t>nr</w:t>
      </w:r>
      <w:r w:rsidRPr="00D1565A">
        <w:rPr>
          <w:rFonts w:ascii="Garamond" w:eastAsiaTheme="minorHAnsi" w:hAnsi="Garamond"/>
          <w:sz w:val="24"/>
          <w:szCs w:val="24"/>
        </w:rPr>
        <w:t>. 10390/1</w:t>
      </w:r>
      <w:r w:rsidR="00D1565A">
        <w:rPr>
          <w:rFonts w:ascii="Garamond" w:eastAsiaTheme="minorHAnsi" w:hAnsi="Garamond"/>
          <w:sz w:val="24"/>
          <w:szCs w:val="24"/>
        </w:rPr>
        <w:t xml:space="preserve"> </w:t>
      </w:r>
      <w:r w:rsidR="00D1565A" w:rsidRPr="00D1565A">
        <w:rPr>
          <w:rFonts w:ascii="Garamond" w:eastAsiaTheme="minorHAnsi" w:hAnsi="Garamond"/>
          <w:sz w:val="24"/>
          <w:szCs w:val="24"/>
        </w:rPr>
        <w:t>prot</w:t>
      </w:r>
      <w:r w:rsidRPr="00D1565A">
        <w:rPr>
          <w:rFonts w:ascii="Garamond" w:eastAsiaTheme="minorHAnsi" w:hAnsi="Garamond"/>
          <w:sz w:val="24"/>
          <w:szCs w:val="24"/>
        </w:rPr>
        <w:t>., datë 24.11.2020</w:t>
      </w:r>
      <w:r w:rsidR="0099072B">
        <w:rPr>
          <w:rFonts w:ascii="Garamond" w:eastAsiaTheme="minorHAnsi" w:hAnsi="Garamond"/>
          <w:sz w:val="24"/>
          <w:szCs w:val="24"/>
        </w:rPr>
        <w:t>,</w:t>
      </w:r>
      <w:r w:rsidRPr="00D1565A">
        <w:rPr>
          <w:rFonts w:ascii="Garamond" w:eastAsiaTheme="minorHAnsi" w:hAnsi="Garamond"/>
          <w:sz w:val="24"/>
          <w:szCs w:val="24"/>
        </w:rPr>
        <w:t xml:space="preserve"> “Për sëmundjen e </w:t>
      </w:r>
      <w:r w:rsidR="0099072B" w:rsidRPr="00D1565A">
        <w:rPr>
          <w:rFonts w:ascii="Garamond" w:eastAsiaTheme="minorHAnsi" w:hAnsi="Garamond"/>
          <w:sz w:val="24"/>
          <w:szCs w:val="24"/>
        </w:rPr>
        <w:t>murtajës afrikane të derrave</w:t>
      </w:r>
      <w:r w:rsidRPr="00D1565A">
        <w:rPr>
          <w:rFonts w:ascii="Garamond" w:eastAsiaTheme="minorHAnsi" w:hAnsi="Garamond"/>
          <w:sz w:val="24"/>
          <w:szCs w:val="24"/>
        </w:rPr>
        <w:t xml:space="preserve">”, </w:t>
      </w:r>
      <w:r w:rsidR="0099072B">
        <w:rPr>
          <w:rFonts w:ascii="Garamond" w:eastAsiaTheme="minorHAnsi" w:hAnsi="Garamond"/>
          <w:sz w:val="24"/>
          <w:szCs w:val="24"/>
        </w:rPr>
        <w:t>të</w:t>
      </w:r>
      <w:r w:rsidRPr="00D1565A">
        <w:rPr>
          <w:rFonts w:ascii="Garamond" w:eastAsiaTheme="minorHAnsi" w:hAnsi="Garamond"/>
          <w:sz w:val="24"/>
          <w:szCs w:val="24"/>
        </w:rPr>
        <w:t xml:space="preserve"> ndryshuar</w:t>
      </w:r>
      <w:r w:rsidR="00E84A3D">
        <w:rPr>
          <w:rFonts w:ascii="Garamond" w:eastAsiaTheme="minorHAnsi" w:hAnsi="Garamond"/>
          <w:sz w:val="24"/>
          <w:szCs w:val="24"/>
        </w:rPr>
        <w:t>,</w:t>
      </w:r>
    </w:p>
    <w:p w14:paraId="20E13EFD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7C3A32D1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</w:rPr>
      </w:pPr>
      <w:r w:rsidRPr="00D1565A">
        <w:rPr>
          <w:rFonts w:ascii="Garamond" w:eastAsiaTheme="minorHAnsi" w:hAnsi="Garamond"/>
          <w:bCs/>
          <w:sz w:val="24"/>
          <w:szCs w:val="24"/>
        </w:rPr>
        <w:t>URDHËROJ:</w:t>
      </w:r>
    </w:p>
    <w:p w14:paraId="5FBC83FE" w14:textId="77777777" w:rsidR="0010180D" w:rsidRPr="00D1565A" w:rsidRDefault="0010180D" w:rsidP="0010180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5E20A214" w14:textId="77777777" w:rsidR="0010180D" w:rsidRPr="00D1565A" w:rsidRDefault="0010180D" w:rsidP="0010180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D1565A">
        <w:rPr>
          <w:rFonts w:ascii="Garamond" w:eastAsiaTheme="minorHAnsi" w:hAnsi="Garamond"/>
          <w:color w:val="000000"/>
          <w:sz w:val="24"/>
          <w:szCs w:val="24"/>
        </w:rPr>
        <w:t>1. Ndalimin e tregtimit të derrave të gjallë në mjediset e hapura dhe tregjet e kafshëve të gjalla, në territorin e Bashkisë Lezhë.</w:t>
      </w:r>
    </w:p>
    <w:p w14:paraId="24F6CE4E" w14:textId="77777777" w:rsidR="0010180D" w:rsidRPr="00D1565A" w:rsidRDefault="0010180D" w:rsidP="0010180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D1565A">
        <w:rPr>
          <w:rFonts w:ascii="Garamond" w:eastAsiaTheme="minorHAnsi" w:hAnsi="Garamond"/>
          <w:color w:val="000000"/>
          <w:sz w:val="24"/>
          <w:szCs w:val="24"/>
        </w:rPr>
        <w:t>2. Ndalimin në territorin e Bashkisë Lezhë të lëvizjes së derrave të gjallë nga ferma në fermë, dhe nga ferma në tregje, panaire dhe ekspozitat e kafshëve të gjalla.</w:t>
      </w:r>
    </w:p>
    <w:p w14:paraId="2B555589" w14:textId="3E993ED4" w:rsidR="0010180D" w:rsidRPr="00D1565A" w:rsidRDefault="0010180D" w:rsidP="0010180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1565A">
        <w:rPr>
          <w:rFonts w:ascii="Garamond" w:eastAsiaTheme="minorHAnsi" w:hAnsi="Garamond"/>
          <w:color w:val="000000"/>
          <w:sz w:val="24"/>
          <w:szCs w:val="24"/>
        </w:rPr>
        <w:t>3. Veterineri zyrtar mund të autorizojë me miratim të titullarit të Drejtorisë Rajonale të Veterinarisë dhe Mbrojtjes së Bimëve</w:t>
      </w:r>
      <w:r w:rsidRPr="00D1565A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 lëvizjen e derrave për mbarështim, vetëm nga fermat pa prezencë të sëmundjes që ndodhen në zonën e mbrojt</w:t>
      </w:r>
      <w:r w:rsidR="00D1565A">
        <w:rPr>
          <w:rFonts w:ascii="Garamond" w:eastAsiaTheme="minorHAnsi" w:hAnsi="Garamond"/>
          <w:color w:val="000000"/>
          <w:sz w:val="24"/>
          <w:szCs w:val="24"/>
        </w:rPr>
        <w:t>j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>es</w:t>
      </w:r>
      <w:r w:rsidRPr="00D1565A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 për në thertoren më të afërt brenda zonës së mbrojtur ose në zonën e mbikëqyrur kur nuk është e mundur që kafshët të theren në zonën e mbrojtur. </w:t>
      </w:r>
    </w:p>
    <w:p w14:paraId="03BF4263" w14:textId="094D7D45" w:rsidR="0010180D" w:rsidRPr="00D1565A" w:rsidRDefault="0010180D" w:rsidP="0010180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4. Të kryhet inventarizimi dhe gjurmimi me teste laboratorike konfirmatore për sëmundjen e Murtajës Afrikane të Derrave në zonat e mbrojtjes dhe </w:t>
      </w:r>
      <w:r w:rsidR="00D1565A" w:rsidRPr="00D1565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, në </w:t>
      </w:r>
      <w:r w:rsidR="00867FD4" w:rsidRPr="00D1565A">
        <w:rPr>
          <w:rFonts w:ascii="Garamond" w:eastAsiaTheme="minorHAnsi" w:hAnsi="Garamond"/>
          <w:color w:val="000000"/>
          <w:sz w:val="24"/>
          <w:szCs w:val="24"/>
        </w:rPr>
        <w:t>njësitë administrative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>: Shëngjin, Kolsh, Zejmen, Lezhë, Balldre, Kallmet dhe Shënkoll të Bashkisë Lezhë.</w:t>
      </w:r>
    </w:p>
    <w:p w14:paraId="5B628CBB" w14:textId="7B992FCA" w:rsidR="0010180D" w:rsidRPr="00D1565A" w:rsidRDefault="0010180D" w:rsidP="0010180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5. Të forcohet marrja e masave për kontrollin e lëvizjes së kafshëve, zbatimin e masave të </w:t>
      </w:r>
      <w:r w:rsidR="00540D98" w:rsidRPr="00D1565A">
        <w:rPr>
          <w:rFonts w:ascii="Garamond" w:eastAsiaTheme="minorHAnsi" w:hAnsi="Garamond"/>
          <w:color w:val="000000"/>
          <w:sz w:val="24"/>
          <w:szCs w:val="24"/>
        </w:rPr>
        <w:t xml:space="preserve">biosigurisë 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dhe masave sanitaro-veterinare në zonën e mbrojtjes dhe </w:t>
      </w:r>
      <w:r w:rsidR="00D1565A" w:rsidRPr="00D1565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 në Njësitë Administrative Shëngjin, Kolsh, Zejmen, Lezhë, Balldre, Kallmet d</w:t>
      </w:r>
      <w:r w:rsidRPr="00D1565A">
        <w:rPr>
          <w:rFonts w:ascii="Garamond" w:eastAsiaTheme="minorHAnsi" w:hAnsi="Garamond"/>
          <w:sz w:val="24"/>
          <w:szCs w:val="24"/>
        </w:rPr>
        <w:t>he Shënkoll.</w:t>
      </w:r>
    </w:p>
    <w:p w14:paraId="6EBDC7AF" w14:textId="7CCB7A95" w:rsidR="0010180D" w:rsidRPr="00D1565A" w:rsidRDefault="0010180D" w:rsidP="0010180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6. Për zbatimin e këtij urdhri ngarkohen </w:t>
      </w:r>
      <w:r w:rsidRPr="00D1565A">
        <w:rPr>
          <w:rFonts w:ascii="Garamond" w:eastAsiaTheme="minorHAnsi" w:hAnsi="Garamond"/>
          <w:color w:val="242424"/>
          <w:sz w:val="24"/>
          <w:szCs w:val="24"/>
        </w:rPr>
        <w:t xml:space="preserve">Drejtoria e Përgjithshme 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>e Zhvillimit në Fushën e Sigurisë Ushqimore, Veterinarisë, Mbrojtjes së Bimëve dhe Peshkimit</w:t>
      </w:r>
      <w:r w:rsidRPr="00D1565A">
        <w:rPr>
          <w:rFonts w:ascii="Garamond" w:eastAsiaTheme="minorHAnsi" w:hAnsi="Garamond"/>
          <w:color w:val="242424"/>
          <w:sz w:val="24"/>
          <w:szCs w:val="24"/>
        </w:rPr>
        <w:t xml:space="preserve">, Autoriteti Kombëtar i Veterinarisë dhe Mbrojtjes së Bimëve, Instituti i Sigurisë Ushqimore dhe Veterinarisë dhe Autoriteti </w:t>
      </w:r>
      <w:r w:rsidR="00D1565A" w:rsidRPr="00D1565A">
        <w:rPr>
          <w:rFonts w:ascii="Garamond" w:eastAsiaTheme="minorHAnsi" w:hAnsi="Garamond"/>
          <w:color w:val="242424"/>
          <w:sz w:val="24"/>
          <w:szCs w:val="24"/>
        </w:rPr>
        <w:t>Kombëtar</w:t>
      </w:r>
      <w:r w:rsidRPr="00D1565A">
        <w:rPr>
          <w:rFonts w:ascii="Garamond" w:eastAsiaTheme="minorHAnsi" w:hAnsi="Garamond"/>
          <w:color w:val="242424"/>
          <w:sz w:val="24"/>
          <w:szCs w:val="24"/>
        </w:rPr>
        <w:t xml:space="preserve"> i Ushqimit</w:t>
      </w:r>
      <w:r w:rsidRPr="00D1565A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</w:p>
    <w:p w14:paraId="01A2780B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1565A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50E3EE06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532F4694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</w:rPr>
      </w:pPr>
      <w:r w:rsidRPr="00D1565A">
        <w:rPr>
          <w:rFonts w:ascii="Garamond" w:eastAsiaTheme="minorHAnsi" w:hAnsi="Garamond"/>
          <w:sz w:val="24"/>
          <w:szCs w:val="24"/>
        </w:rPr>
        <w:t>MINISTËR I BUJQËSISË DHE ZHVILLIMIT RURAL</w:t>
      </w:r>
    </w:p>
    <w:p w14:paraId="57B37E5F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  <w:r w:rsidRPr="00D1565A">
        <w:rPr>
          <w:rFonts w:ascii="Garamond" w:eastAsiaTheme="minorHAnsi" w:hAnsi="Garamond"/>
          <w:b/>
          <w:bCs/>
          <w:sz w:val="24"/>
          <w:szCs w:val="24"/>
        </w:rPr>
        <w:t xml:space="preserve">Anila Denaj </w:t>
      </w:r>
    </w:p>
    <w:p w14:paraId="1C03DDDA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16"/>
          <w:szCs w:val="16"/>
        </w:rPr>
      </w:pPr>
    </w:p>
    <w:p w14:paraId="5B62B7C7" w14:textId="77777777" w:rsidR="0010180D" w:rsidRPr="00D1565A" w:rsidRDefault="0010180D" w:rsidP="001018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16"/>
          <w:szCs w:val="16"/>
        </w:rPr>
      </w:pPr>
    </w:p>
    <w:p w14:paraId="75314759" w14:textId="77777777" w:rsidR="00C964DA" w:rsidRPr="00D1565A" w:rsidRDefault="00C964DA" w:rsidP="0010180D">
      <w:pPr>
        <w:spacing w:after="0" w:line="240" w:lineRule="auto"/>
        <w:ind w:firstLine="284"/>
        <w:rPr>
          <w:rFonts w:ascii="Garamond" w:hAnsi="Garamond"/>
        </w:rPr>
      </w:pPr>
    </w:p>
    <w:sectPr w:rsidR="00C964DA" w:rsidRPr="00D1565A" w:rsidSect="0010180D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2704C" w14:textId="77777777" w:rsidR="00181576" w:rsidRDefault="00181576" w:rsidP="00543BA4">
      <w:pPr>
        <w:spacing w:after="0" w:line="240" w:lineRule="auto"/>
      </w:pPr>
      <w:r>
        <w:separator/>
      </w:r>
    </w:p>
  </w:endnote>
  <w:endnote w:type="continuationSeparator" w:id="0">
    <w:p w14:paraId="5E31EE77" w14:textId="77777777" w:rsidR="00181576" w:rsidRDefault="00181576" w:rsidP="00543BA4">
      <w:pPr>
        <w:spacing w:after="0" w:line="240" w:lineRule="auto"/>
      </w:pPr>
      <w:r>
        <w:continuationSeparator/>
      </w:r>
    </w:p>
  </w:endnote>
  <w:endnote w:type="continuationNotice" w:id="1">
    <w:p w14:paraId="6AD34A46" w14:textId="77777777" w:rsidR="00181576" w:rsidRDefault="001815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43D8E" w14:textId="77777777" w:rsidR="00181576" w:rsidRPr="009C121A" w:rsidRDefault="00181576">
    <w:pPr>
      <w:pStyle w:val="Footer"/>
      <w:rPr>
        <w:lang w:val="it-IT"/>
      </w:rPr>
    </w:pPr>
  </w:p>
  <w:p w14:paraId="69EA4687" w14:textId="77777777" w:rsidR="00181576" w:rsidRPr="009C121A" w:rsidRDefault="00181576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00A8D" w14:textId="77777777" w:rsidR="00181576" w:rsidRDefault="00181576" w:rsidP="00543BA4">
      <w:pPr>
        <w:spacing w:after="0" w:line="240" w:lineRule="auto"/>
      </w:pPr>
      <w:r>
        <w:separator/>
      </w:r>
    </w:p>
  </w:footnote>
  <w:footnote w:type="continuationSeparator" w:id="0">
    <w:p w14:paraId="694F2349" w14:textId="77777777" w:rsidR="00181576" w:rsidRDefault="00181576" w:rsidP="00543BA4">
      <w:pPr>
        <w:spacing w:after="0" w:line="240" w:lineRule="auto"/>
      </w:pPr>
      <w:r>
        <w:continuationSeparator/>
      </w:r>
    </w:p>
  </w:footnote>
  <w:footnote w:type="continuationNotice" w:id="1">
    <w:p w14:paraId="39CA7200" w14:textId="77777777" w:rsidR="00181576" w:rsidRDefault="001815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11056A"/>
    <w:multiLevelType w:val="hybridMultilevel"/>
    <w:tmpl w:val="A6268C64"/>
    <w:lvl w:ilvl="0" w:tplc="3BE2AA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5" w15:restartNumberingAfterBreak="0">
    <w:nsid w:val="509653E6"/>
    <w:multiLevelType w:val="hybridMultilevel"/>
    <w:tmpl w:val="862E2608"/>
    <w:lvl w:ilvl="0" w:tplc="3BE2AA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AA6F14"/>
    <w:multiLevelType w:val="hybridMultilevel"/>
    <w:tmpl w:val="2DE4E176"/>
    <w:lvl w:ilvl="0" w:tplc="3BE2AA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4347D"/>
    <w:rsid w:val="000C03AF"/>
    <w:rsid w:val="000C41E9"/>
    <w:rsid w:val="000C4BF1"/>
    <w:rsid w:val="000D196F"/>
    <w:rsid w:val="0010180D"/>
    <w:rsid w:val="00165B34"/>
    <w:rsid w:val="0018131D"/>
    <w:rsid w:val="00181576"/>
    <w:rsid w:val="001A345A"/>
    <w:rsid w:val="001D3780"/>
    <w:rsid w:val="001F3C64"/>
    <w:rsid w:val="0020748B"/>
    <w:rsid w:val="00245861"/>
    <w:rsid w:val="00250501"/>
    <w:rsid w:val="002A068B"/>
    <w:rsid w:val="002A65CC"/>
    <w:rsid w:val="002B1657"/>
    <w:rsid w:val="002D5305"/>
    <w:rsid w:val="002E4BF7"/>
    <w:rsid w:val="00302FF6"/>
    <w:rsid w:val="00306EDC"/>
    <w:rsid w:val="0033029C"/>
    <w:rsid w:val="0033649C"/>
    <w:rsid w:val="00351237"/>
    <w:rsid w:val="003567AB"/>
    <w:rsid w:val="00374968"/>
    <w:rsid w:val="00386188"/>
    <w:rsid w:val="003F1EEE"/>
    <w:rsid w:val="00404278"/>
    <w:rsid w:val="00407712"/>
    <w:rsid w:val="0040772C"/>
    <w:rsid w:val="00435705"/>
    <w:rsid w:val="004447E8"/>
    <w:rsid w:val="00473263"/>
    <w:rsid w:val="004806E8"/>
    <w:rsid w:val="004855AB"/>
    <w:rsid w:val="004A5123"/>
    <w:rsid w:val="004C0A79"/>
    <w:rsid w:val="004D2ABE"/>
    <w:rsid w:val="004E0E00"/>
    <w:rsid w:val="00532861"/>
    <w:rsid w:val="00540D98"/>
    <w:rsid w:val="00543BA4"/>
    <w:rsid w:val="00583AC7"/>
    <w:rsid w:val="00596601"/>
    <w:rsid w:val="005E085E"/>
    <w:rsid w:val="005E3272"/>
    <w:rsid w:val="00612AE2"/>
    <w:rsid w:val="006143A7"/>
    <w:rsid w:val="00623FF4"/>
    <w:rsid w:val="006905DC"/>
    <w:rsid w:val="006A62B2"/>
    <w:rsid w:val="006B025D"/>
    <w:rsid w:val="006C223E"/>
    <w:rsid w:val="006C5EC6"/>
    <w:rsid w:val="006C6372"/>
    <w:rsid w:val="006F02CE"/>
    <w:rsid w:val="00702757"/>
    <w:rsid w:val="0071727D"/>
    <w:rsid w:val="00792FA2"/>
    <w:rsid w:val="007C1B95"/>
    <w:rsid w:val="007E57AA"/>
    <w:rsid w:val="0080098A"/>
    <w:rsid w:val="00801E61"/>
    <w:rsid w:val="00813AF9"/>
    <w:rsid w:val="00841269"/>
    <w:rsid w:val="00842E76"/>
    <w:rsid w:val="008439CA"/>
    <w:rsid w:val="00844C25"/>
    <w:rsid w:val="008530CC"/>
    <w:rsid w:val="00867FD4"/>
    <w:rsid w:val="00871121"/>
    <w:rsid w:val="008744C4"/>
    <w:rsid w:val="008D5175"/>
    <w:rsid w:val="009374D6"/>
    <w:rsid w:val="00940654"/>
    <w:rsid w:val="009662D9"/>
    <w:rsid w:val="00967C08"/>
    <w:rsid w:val="00990213"/>
    <w:rsid w:val="0099072B"/>
    <w:rsid w:val="00A064CC"/>
    <w:rsid w:val="00A07BAB"/>
    <w:rsid w:val="00A11128"/>
    <w:rsid w:val="00A2105B"/>
    <w:rsid w:val="00A8319C"/>
    <w:rsid w:val="00A905A7"/>
    <w:rsid w:val="00A92723"/>
    <w:rsid w:val="00AD69A2"/>
    <w:rsid w:val="00AE292E"/>
    <w:rsid w:val="00AE37C1"/>
    <w:rsid w:val="00B05D85"/>
    <w:rsid w:val="00B25D3F"/>
    <w:rsid w:val="00B30413"/>
    <w:rsid w:val="00B70A03"/>
    <w:rsid w:val="00C0184A"/>
    <w:rsid w:val="00C43262"/>
    <w:rsid w:val="00C57C4D"/>
    <w:rsid w:val="00C64A46"/>
    <w:rsid w:val="00C964DA"/>
    <w:rsid w:val="00CB0B76"/>
    <w:rsid w:val="00CD181C"/>
    <w:rsid w:val="00CE6958"/>
    <w:rsid w:val="00D1565A"/>
    <w:rsid w:val="00DD42E7"/>
    <w:rsid w:val="00E33662"/>
    <w:rsid w:val="00E51D56"/>
    <w:rsid w:val="00E84A3D"/>
    <w:rsid w:val="00E904AB"/>
    <w:rsid w:val="00F51DFB"/>
    <w:rsid w:val="00F8135A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62909AF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71727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6E805AA137437DA3F720A6E525D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</Nr_x002e__x0020_akti>
    <Data_x0020_e_x0020_Krijimit xmlns="0e656187-b300-4fb0-8bf4-3a50f872073c">2025-01-08T14:53:41Z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2025-01-07T00:00:00Z</Date_x0020_protokolli>
    <Titulli xmlns="0e656187-b300-4fb0-8bf4-3a50f872073c">Për marrjen e masave kufizuese për parandalimin dhe kontrollin e sëmundjes së murtajës afrikane të derrave në kafshët e gjalla të llojit derra të butë, në mjediset e hapura dhe tregjet e kafshëve të gjalla</Titulli>
    <Modifikuesi xmlns="0e656187-b300-4fb0-8bf4-3a50f872073c">alma.lisaku</Modifikuesi>
    <Nr_x002e__x0020_prot_x0020_QBZ xmlns="0e656187-b300-4fb0-8bf4-3a50f872073c">9/1</Nr_x002e__x0020_prot_x0020_QBZ>
    <Data_x0020_e_x0020_Modifikimit xmlns="0e656187-b300-4fb0-8bf4-3a50f872073c">2025-01-09T10:03:02Z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8445/1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6E805AA137437DA3F720A6E525D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19514-BD11-4D13-9439-0F30B9E084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1994A0-0F65-4477-9F21-903F09E43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26303BC-4DBA-4ABF-A6FC-052C84806FC4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5EBAAEF-8B06-45EF-AC17-CD5BFDE0C1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535212-FC42-43E1-BB0F-3E6ED177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36CF10-D7D6-4E16-A355-47D94E210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afrikane të derrave në kafshët e gjalla të llojit derra të butë, në mjediset e hapura dhe tregjet e kafshëve të gjalla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afrikane të derrave në kafshët e gjalla të llojit derra të butë, në mjediset e hapura dhe tregjet e kafshëve të gjalla</dc:title>
  <dc:creator>jetnor</dc:creator>
  <cp:lastModifiedBy>Amarilda Muja</cp:lastModifiedBy>
  <cp:revision>13</cp:revision>
  <cp:lastPrinted>2024-12-27T15:05:00Z</cp:lastPrinted>
  <dcterms:created xsi:type="dcterms:W3CDTF">2024-12-27T15:07:00Z</dcterms:created>
  <dcterms:modified xsi:type="dcterms:W3CDTF">2025-01-09T13:17:00Z</dcterms:modified>
</cp:coreProperties>
</file>