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DAA71" w14:textId="77777777" w:rsidR="00F931E8" w:rsidRPr="00CF2DF8" w:rsidRDefault="00F931E8" w:rsidP="00F931E8">
      <w:pPr>
        <w:autoSpaceDE w:val="0"/>
        <w:autoSpaceDN w:val="0"/>
        <w:adjustRightInd w:val="0"/>
        <w:spacing w:after="0" w:line="240" w:lineRule="auto"/>
        <w:ind w:firstLine="284"/>
        <w:jc w:val="center"/>
        <w:rPr>
          <w:rFonts w:ascii="Garamond" w:hAnsi="Garamond" w:cs="Times New Roman"/>
          <w:b/>
          <w:bCs/>
          <w:sz w:val="24"/>
          <w:szCs w:val="24"/>
          <w:lang w:val="sq-AL"/>
        </w:rPr>
      </w:pPr>
    </w:p>
    <w:p w14:paraId="26408187" w14:textId="502B0112" w:rsidR="00F931E8" w:rsidRPr="00CF2DF8" w:rsidRDefault="00F931E8" w:rsidP="00F931E8">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CF2DF8">
        <w:rPr>
          <w:rFonts w:ascii="Garamond" w:hAnsi="Garamond" w:cs="Times New Roman"/>
          <w:b/>
          <w:bCs/>
          <w:sz w:val="24"/>
          <w:szCs w:val="24"/>
          <w:lang w:val="sq-AL"/>
        </w:rPr>
        <w:t>URDHËR</w:t>
      </w:r>
    </w:p>
    <w:p w14:paraId="13B5CEAB" w14:textId="380A8799" w:rsidR="00F931E8" w:rsidRPr="00CF2DF8" w:rsidRDefault="00F931E8" w:rsidP="00F931E8">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CF2DF8">
        <w:rPr>
          <w:rFonts w:ascii="Garamond" w:hAnsi="Garamond" w:cs="Times New Roman"/>
          <w:b/>
          <w:bCs/>
          <w:sz w:val="24"/>
          <w:szCs w:val="24"/>
          <w:lang w:val="sq-AL"/>
        </w:rPr>
        <w:t>Nr. 406, datë 25.4.2025</w:t>
      </w:r>
    </w:p>
    <w:p w14:paraId="40C6398F" w14:textId="77777777" w:rsidR="00F931E8" w:rsidRPr="00CF2DF8" w:rsidRDefault="00F931E8" w:rsidP="00F931E8">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44DE45B7" w14:textId="462DA40D" w:rsidR="00F931E8" w:rsidRPr="00CF2DF8" w:rsidRDefault="00F931E8" w:rsidP="00F931E8">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CF2DF8">
        <w:rPr>
          <w:rFonts w:ascii="Garamond" w:hAnsi="Garamond" w:cs="Times New Roman"/>
          <w:b/>
          <w:bCs/>
          <w:sz w:val="24"/>
          <w:szCs w:val="24"/>
          <w:lang w:val="sq-AL"/>
        </w:rPr>
        <w:t>PËR DISA SHTESA DHE NDRYSHIME NË URDHRIN NR. 11, DATË 14.1.2022, “PËR NJË PLAN MENAXHIMI SHUMËVJEÇAR PËR NJË SHFRYTËZIM TË QËNDRUESHËM TË REZERVAVE TË PELAGJIKËVE TË VEGJËL NË DETIN ADRIATIK (NËNZONAT GJEOGRAFIKE 17 DHE 18) [REKOMANDIMI I GFCM/44/2021/20]”</w:t>
      </w:r>
    </w:p>
    <w:p w14:paraId="1E254EC8" w14:textId="77777777" w:rsidR="00F931E8" w:rsidRPr="00CF2DF8" w:rsidRDefault="00F931E8" w:rsidP="00F931E8">
      <w:pPr>
        <w:tabs>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37707EB9" w14:textId="47838C3A" w:rsidR="00F931E8" w:rsidRPr="00CF2DF8" w:rsidRDefault="00F931E8" w:rsidP="00F931E8">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 xml:space="preserve">Në mbështetje të pikës 4, të nenit 102 të Kushtetutës, të shkronjave “a” dhe “b”, të pikës 1, të nenit 3, të Marrëveshjes “Për krijimin e Komisionit të Përgjithshëm të Peshkimit për Mesdheun”, të ratifikuar me </w:t>
      </w:r>
      <w:r w:rsidR="00CF2DF8" w:rsidRPr="00CF2DF8">
        <w:rPr>
          <w:rFonts w:ascii="Garamond" w:hAnsi="Garamond" w:cs="Times New Roman"/>
          <w:sz w:val="24"/>
          <w:szCs w:val="24"/>
          <w:lang w:val="sq-AL"/>
        </w:rPr>
        <w:t>ligjin nr. 9093</w:t>
      </w:r>
      <w:r w:rsidRPr="00CF2DF8">
        <w:rPr>
          <w:rFonts w:ascii="Garamond" w:hAnsi="Garamond" w:cs="Times New Roman"/>
          <w:sz w:val="24"/>
          <w:szCs w:val="24"/>
          <w:lang w:val="sq-AL"/>
        </w:rPr>
        <w:t>, datë 3.7.2003,</w:t>
      </w:r>
    </w:p>
    <w:p w14:paraId="71BA4915" w14:textId="77777777" w:rsidR="00F931E8" w:rsidRPr="00CF2DF8" w:rsidRDefault="00F931E8" w:rsidP="00F931E8">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1292AE95" w14:textId="4DE1CDA1" w:rsidR="00F931E8" w:rsidRPr="00CF2DF8" w:rsidRDefault="00F931E8" w:rsidP="00F931E8">
      <w:pPr>
        <w:tabs>
          <w:tab w:val="left" w:pos="9540"/>
        </w:tabs>
        <w:autoSpaceDE w:val="0"/>
        <w:autoSpaceDN w:val="0"/>
        <w:adjustRightInd w:val="0"/>
        <w:spacing w:after="0" w:line="240" w:lineRule="auto"/>
        <w:ind w:firstLine="284"/>
        <w:jc w:val="center"/>
        <w:rPr>
          <w:rFonts w:ascii="Garamond" w:hAnsi="Garamond" w:cs="Times New Roman"/>
          <w:bCs/>
          <w:sz w:val="24"/>
          <w:szCs w:val="24"/>
          <w:lang w:val="sq-AL"/>
        </w:rPr>
      </w:pPr>
      <w:r w:rsidRPr="00CF2DF8">
        <w:rPr>
          <w:rFonts w:ascii="Garamond" w:hAnsi="Garamond" w:cs="Times New Roman"/>
          <w:bCs/>
          <w:sz w:val="24"/>
          <w:szCs w:val="24"/>
          <w:lang w:val="sq-AL"/>
        </w:rPr>
        <w:t>URDHËROJ:</w:t>
      </w:r>
    </w:p>
    <w:p w14:paraId="204038A9" w14:textId="77777777" w:rsidR="00F931E8" w:rsidRPr="00CF2DF8" w:rsidRDefault="00F931E8" w:rsidP="00F931E8">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p>
    <w:p w14:paraId="5ACA7D84" w14:textId="3F2EE0C4"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 xml:space="preserve">Në </w:t>
      </w:r>
      <w:r w:rsidR="00CF2DF8" w:rsidRPr="00CF2DF8">
        <w:rPr>
          <w:rFonts w:ascii="Garamond" w:hAnsi="Garamond" w:cs="Times New Roman"/>
          <w:sz w:val="24"/>
          <w:szCs w:val="24"/>
          <w:lang w:val="sq-AL"/>
        </w:rPr>
        <w:t xml:space="preserve">urdhrin e ministrit nr. </w:t>
      </w:r>
      <w:r w:rsidRPr="00CF2DF8">
        <w:rPr>
          <w:rFonts w:ascii="Garamond" w:hAnsi="Garamond" w:cs="Times New Roman"/>
          <w:sz w:val="24"/>
          <w:szCs w:val="24"/>
          <w:lang w:val="sq-AL"/>
        </w:rPr>
        <w:t xml:space="preserve">11, datë 14.1.2022, </w:t>
      </w:r>
      <w:r w:rsidRPr="00CF2DF8">
        <w:rPr>
          <w:rFonts w:ascii="Garamond" w:hAnsi="Garamond" w:cs="Times New Roman"/>
          <w:iCs/>
          <w:sz w:val="24"/>
          <w:szCs w:val="24"/>
          <w:lang w:val="sq-AL"/>
        </w:rPr>
        <w:t xml:space="preserve">“Për një </w:t>
      </w:r>
      <w:r w:rsidR="00CF2DF8" w:rsidRPr="00CF2DF8">
        <w:rPr>
          <w:rFonts w:ascii="Garamond" w:hAnsi="Garamond" w:cs="Times New Roman"/>
          <w:iCs/>
          <w:sz w:val="24"/>
          <w:szCs w:val="24"/>
          <w:lang w:val="sq-AL"/>
        </w:rPr>
        <w:t xml:space="preserve">plan menaxhimi shumëvjeçar për një shfrytëzim të qëndrueshëm të rezervave të pelagjikëve të vegjël në detin </w:t>
      </w:r>
      <w:r w:rsidRPr="00CF2DF8">
        <w:rPr>
          <w:rFonts w:ascii="Garamond" w:hAnsi="Garamond" w:cs="Times New Roman"/>
          <w:iCs/>
          <w:sz w:val="24"/>
          <w:szCs w:val="24"/>
          <w:lang w:val="sq-AL"/>
        </w:rPr>
        <w:t>Adriatik (</w:t>
      </w:r>
      <w:r w:rsidR="00CF2DF8" w:rsidRPr="00CF2DF8">
        <w:rPr>
          <w:rFonts w:ascii="Garamond" w:hAnsi="Garamond" w:cs="Times New Roman"/>
          <w:iCs/>
          <w:sz w:val="24"/>
          <w:szCs w:val="24"/>
          <w:lang w:val="sq-AL"/>
        </w:rPr>
        <w:t xml:space="preserve">nënzonat gjeografike </w:t>
      </w:r>
      <w:r w:rsidRPr="00CF2DF8">
        <w:rPr>
          <w:rFonts w:ascii="Garamond" w:hAnsi="Garamond" w:cs="Times New Roman"/>
          <w:iCs/>
          <w:sz w:val="24"/>
          <w:szCs w:val="24"/>
          <w:lang w:val="sq-AL"/>
        </w:rPr>
        <w:t>17 dhe 18) [</w:t>
      </w:r>
      <w:r w:rsidR="00CF2DF8" w:rsidRPr="00CF2DF8">
        <w:rPr>
          <w:rFonts w:ascii="Garamond" w:hAnsi="Garamond" w:cs="Times New Roman"/>
          <w:iCs/>
          <w:sz w:val="24"/>
          <w:szCs w:val="24"/>
          <w:lang w:val="sq-AL"/>
        </w:rPr>
        <w:t xml:space="preserve">rekomandimi </w:t>
      </w:r>
      <w:r w:rsidRPr="00CF2DF8">
        <w:rPr>
          <w:rFonts w:ascii="Garamond" w:hAnsi="Garamond" w:cs="Times New Roman"/>
          <w:iCs/>
          <w:sz w:val="24"/>
          <w:szCs w:val="24"/>
          <w:lang w:val="sq-AL"/>
        </w:rPr>
        <w:t>i GFCM/44/2021/20]”,</w:t>
      </w:r>
      <w:r w:rsidRPr="00CF2DF8">
        <w:rPr>
          <w:rFonts w:ascii="Garamond" w:hAnsi="Garamond" w:cs="Times New Roman"/>
          <w:sz w:val="24"/>
          <w:szCs w:val="24"/>
          <w:lang w:val="sq-AL"/>
        </w:rPr>
        <w:t xml:space="preserve"> bëhen këto shtesa dhe ndryshime:</w:t>
      </w:r>
    </w:p>
    <w:p w14:paraId="58A3DA3E" w14:textId="77777777" w:rsidR="00F931E8" w:rsidRPr="00CF2DF8" w:rsidRDefault="00F931E8" w:rsidP="00F931E8">
      <w:pPr>
        <w:autoSpaceDE w:val="0"/>
        <w:autoSpaceDN w:val="0"/>
        <w:adjustRightInd w:val="0"/>
        <w:spacing w:after="0" w:line="240" w:lineRule="auto"/>
        <w:ind w:firstLine="284"/>
        <w:rPr>
          <w:rFonts w:ascii="Garamond" w:hAnsi="Garamond" w:cs="Times New Roman"/>
          <w:sz w:val="24"/>
          <w:szCs w:val="24"/>
          <w:lang w:val="sq-AL"/>
        </w:rPr>
      </w:pPr>
      <w:r w:rsidRPr="00CF2DF8">
        <w:rPr>
          <w:rFonts w:ascii="Garamond" w:hAnsi="Garamond" w:cs="Times New Roman"/>
          <w:sz w:val="24"/>
          <w:szCs w:val="24"/>
          <w:lang w:val="sq-AL"/>
        </w:rPr>
        <w:t>1. Pika 1 riformulohet si më poshtë:</w:t>
      </w:r>
    </w:p>
    <w:p w14:paraId="20F870E4" w14:textId="2C5ADCE5" w:rsidR="00F931E8" w:rsidRPr="00CF2DF8" w:rsidRDefault="00F931E8" w:rsidP="00F931E8">
      <w:pPr>
        <w:autoSpaceDE w:val="0"/>
        <w:autoSpaceDN w:val="0"/>
        <w:adjustRightInd w:val="0"/>
        <w:spacing w:after="0" w:line="240" w:lineRule="auto"/>
        <w:ind w:firstLine="284"/>
        <w:jc w:val="both"/>
        <w:rPr>
          <w:rFonts w:ascii="Garamond" w:hAnsi="Garamond" w:cs="Calibri"/>
          <w:sz w:val="24"/>
          <w:szCs w:val="24"/>
          <w:lang w:val="sq-AL"/>
        </w:rPr>
      </w:pPr>
      <w:r w:rsidRPr="00CF2DF8">
        <w:rPr>
          <w:rFonts w:ascii="Garamond" w:hAnsi="Garamond" w:cs="Times New Roman"/>
          <w:sz w:val="24"/>
          <w:szCs w:val="24"/>
          <w:lang w:val="sq-AL"/>
        </w:rPr>
        <w:t>“1.</w:t>
      </w:r>
      <w:r w:rsidR="00CF2DF8" w:rsidRPr="00CF2DF8">
        <w:rPr>
          <w:rFonts w:ascii="Garamond" w:hAnsi="Garamond" w:cs="Times New Roman"/>
          <w:sz w:val="24"/>
          <w:szCs w:val="24"/>
          <w:lang w:val="sq-AL"/>
        </w:rPr>
        <w:t xml:space="preserve"> </w:t>
      </w:r>
      <w:r w:rsidRPr="00CF2DF8">
        <w:rPr>
          <w:rFonts w:ascii="Garamond" w:hAnsi="Garamond" w:cs="Times New Roman"/>
          <w:sz w:val="24"/>
          <w:szCs w:val="24"/>
          <w:lang w:val="sq-AL"/>
        </w:rPr>
        <w:t xml:space="preserve">Zbatimin e </w:t>
      </w:r>
      <w:r w:rsidR="00CF2DF8">
        <w:rPr>
          <w:rFonts w:ascii="Garamond" w:hAnsi="Garamond" w:cs="Times New Roman"/>
          <w:sz w:val="24"/>
          <w:szCs w:val="24"/>
          <w:lang w:val="sq-AL"/>
        </w:rPr>
        <w:t>r</w:t>
      </w:r>
      <w:r w:rsidRPr="00CF2DF8">
        <w:rPr>
          <w:rFonts w:ascii="Garamond" w:hAnsi="Garamond" w:cs="Times New Roman"/>
          <w:sz w:val="24"/>
          <w:szCs w:val="24"/>
          <w:lang w:val="sq-AL"/>
        </w:rPr>
        <w:t>ekomandimit GFCM/44/2021/20 të Komisionit të Përgjithshëm të Peshkimit për Mesdheun, “Për një plan menaxhimi shumëvjeçar për një shfrytëzim të qëndrueshëm të pelagjikëve të vegjël në detin Adriatik (nënzonat gjeografike 17 dhe 18)”,</w:t>
      </w:r>
      <w:r w:rsidRPr="00CF2DF8">
        <w:rPr>
          <w:rFonts w:ascii="Garamond" w:hAnsi="Garamond" w:cs="Times New Roman"/>
          <w:i/>
          <w:iCs/>
          <w:sz w:val="24"/>
          <w:szCs w:val="24"/>
          <w:lang w:val="sq-AL"/>
        </w:rPr>
        <w:t xml:space="preserve"> </w:t>
      </w:r>
      <w:r w:rsidRPr="00CF2DF8">
        <w:rPr>
          <w:rFonts w:ascii="Garamond" w:hAnsi="Garamond" w:cs="Times New Roman"/>
          <w:sz w:val="24"/>
          <w:szCs w:val="24"/>
          <w:lang w:val="sq-AL"/>
        </w:rPr>
        <w:t>Rekomandimi GFCM/46/2023/5, “Për zgjatjen e regjimit tranzitor të peshkimit dhe vendosja e një limiti zëniesh për vitin 2024, për pelagjikët e vegjël në detin Adriatik (nënzona</w:t>
      </w:r>
      <w:r w:rsidR="00CF2DF8">
        <w:rPr>
          <w:rFonts w:ascii="Garamond" w:hAnsi="Garamond" w:cs="Times New Roman"/>
          <w:sz w:val="24"/>
          <w:szCs w:val="24"/>
          <w:lang w:val="sq-AL"/>
        </w:rPr>
        <w:t>t</w:t>
      </w:r>
      <w:r w:rsidRPr="00CF2DF8">
        <w:rPr>
          <w:rFonts w:ascii="Garamond" w:hAnsi="Garamond" w:cs="Times New Roman"/>
          <w:sz w:val="24"/>
          <w:szCs w:val="24"/>
          <w:lang w:val="sq-AL"/>
        </w:rPr>
        <w:t xml:space="preserve"> gjeografike 17 dhe 18)”, bazuar nga </w:t>
      </w:r>
      <w:r w:rsidR="003C3B4B">
        <w:rPr>
          <w:rFonts w:ascii="Garamond" w:hAnsi="Garamond" w:cs="Times New Roman"/>
          <w:sz w:val="24"/>
          <w:szCs w:val="24"/>
          <w:lang w:val="sq-AL"/>
        </w:rPr>
        <w:t>r</w:t>
      </w:r>
      <w:r w:rsidRPr="00CF2DF8">
        <w:rPr>
          <w:rFonts w:ascii="Garamond" w:hAnsi="Garamond" w:cs="Times New Roman"/>
          <w:sz w:val="24"/>
          <w:szCs w:val="24"/>
          <w:lang w:val="sq-AL"/>
        </w:rPr>
        <w:t xml:space="preserve">ekomandimi GFCM/44/2021/20 dhe </w:t>
      </w:r>
      <w:r w:rsidR="00CF2DF8">
        <w:rPr>
          <w:rFonts w:ascii="Garamond" w:hAnsi="Garamond" w:cs="Times New Roman"/>
          <w:sz w:val="24"/>
          <w:szCs w:val="24"/>
          <w:lang w:val="sq-AL"/>
        </w:rPr>
        <w:t>r</w:t>
      </w:r>
      <w:r w:rsidRPr="00CF2DF8">
        <w:rPr>
          <w:rFonts w:ascii="Garamond" w:hAnsi="Garamond" w:cs="Times New Roman"/>
          <w:sz w:val="24"/>
          <w:szCs w:val="24"/>
          <w:lang w:val="sq-AL"/>
        </w:rPr>
        <w:t>ekomandimi GFCM/47/2024/4 “Mbi një regjim afatgjatë dhe vendosjes së një limiti zëniesh për vitin 2025 për pelagjikët e vegjël në detin Adriatik (nënzona</w:t>
      </w:r>
      <w:r w:rsidR="003C3B4B">
        <w:rPr>
          <w:rFonts w:ascii="Garamond" w:hAnsi="Garamond" w:cs="Times New Roman"/>
          <w:sz w:val="24"/>
          <w:szCs w:val="24"/>
          <w:lang w:val="sq-AL"/>
        </w:rPr>
        <w:t>t</w:t>
      </w:r>
      <w:r w:rsidRPr="00CF2DF8">
        <w:rPr>
          <w:rFonts w:ascii="Garamond" w:hAnsi="Garamond" w:cs="Times New Roman"/>
          <w:sz w:val="24"/>
          <w:szCs w:val="24"/>
          <w:lang w:val="sq-AL"/>
        </w:rPr>
        <w:t xml:space="preserve"> gjeografike 17 dhe 18)”, bazuar nga </w:t>
      </w:r>
      <w:r w:rsidR="00232EFA">
        <w:rPr>
          <w:rFonts w:ascii="Garamond" w:hAnsi="Garamond" w:cs="Times New Roman"/>
          <w:sz w:val="24"/>
          <w:szCs w:val="24"/>
          <w:lang w:val="sq-AL"/>
        </w:rPr>
        <w:t>r</w:t>
      </w:r>
      <w:r w:rsidRPr="00CF2DF8">
        <w:rPr>
          <w:rFonts w:ascii="Garamond" w:hAnsi="Garamond" w:cs="Times New Roman"/>
          <w:sz w:val="24"/>
          <w:szCs w:val="24"/>
          <w:lang w:val="sq-AL"/>
        </w:rPr>
        <w:t>ekomandimi GFCM/44/2021/20, që i bashkëlidhen këtij urdhri dhe janë pjesë përbërëse e tij”.</w:t>
      </w:r>
    </w:p>
    <w:p w14:paraId="525EEC1E" w14:textId="169E50FE" w:rsidR="00F931E8" w:rsidRPr="00CF2DF8" w:rsidRDefault="00F931E8" w:rsidP="00F931E8">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2.</w:t>
      </w:r>
      <w:r w:rsidR="00CF2DF8" w:rsidRPr="00CF2DF8">
        <w:rPr>
          <w:rFonts w:ascii="Garamond" w:hAnsi="Garamond" w:cs="Times New Roman"/>
          <w:sz w:val="24"/>
          <w:szCs w:val="24"/>
          <w:lang w:val="sq-AL"/>
        </w:rPr>
        <w:t xml:space="preserve"> </w:t>
      </w:r>
      <w:r w:rsidRPr="00CF2DF8">
        <w:rPr>
          <w:rFonts w:ascii="Garamond" w:hAnsi="Garamond" w:cs="Times New Roman"/>
          <w:sz w:val="24"/>
          <w:szCs w:val="24"/>
          <w:lang w:val="sq-AL"/>
        </w:rPr>
        <w:t>Pas pikës 4</w:t>
      </w:r>
      <w:r w:rsidRPr="00CF2DF8">
        <w:rPr>
          <w:rFonts w:ascii="Garamond" w:hAnsi="Garamond" w:cs="Calibri"/>
          <w:sz w:val="24"/>
          <w:szCs w:val="24"/>
          <w:lang w:val="sq-AL"/>
        </w:rPr>
        <w:t>,</w:t>
      </w:r>
      <w:r w:rsidRPr="00CF2DF8">
        <w:rPr>
          <w:rFonts w:ascii="Garamond" w:hAnsi="Garamond" w:cs="Times New Roman"/>
          <w:sz w:val="24"/>
          <w:szCs w:val="24"/>
          <w:lang w:val="sq-AL"/>
        </w:rPr>
        <w:t xml:space="preserve"> shtohet pika 4/1 me përmbajtje si më poshtë:</w:t>
      </w:r>
    </w:p>
    <w:p w14:paraId="1E9523E0" w14:textId="1C2C5A16" w:rsidR="00F931E8" w:rsidRPr="00CF2DF8" w:rsidRDefault="00F931E8" w:rsidP="00F931E8">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“4/1. Limiti i zënieve të pelagjikëve të vegjël të ndara sipas specieve për vitin 2025, është si</w:t>
      </w:r>
      <w:r w:rsidR="00CF2DF8" w:rsidRPr="00CF2DF8">
        <w:rPr>
          <w:rFonts w:ascii="Garamond" w:hAnsi="Garamond" w:cs="Times New Roman"/>
          <w:sz w:val="24"/>
          <w:szCs w:val="24"/>
          <w:lang w:val="sq-AL"/>
        </w:rPr>
        <w:t xml:space="preserve"> </w:t>
      </w:r>
      <w:r w:rsidRPr="00CF2DF8">
        <w:rPr>
          <w:rFonts w:ascii="Garamond" w:hAnsi="Garamond" w:cs="Times New Roman"/>
          <w:sz w:val="24"/>
          <w:szCs w:val="24"/>
          <w:lang w:val="sq-AL"/>
        </w:rPr>
        <w:t>më poshtë:</w:t>
      </w:r>
    </w:p>
    <w:p w14:paraId="5A8E0E35" w14:textId="2AF8D9E5" w:rsidR="00F931E8" w:rsidRPr="00CF2DF8" w:rsidRDefault="00F931E8" w:rsidP="00F931E8">
      <w:pPr>
        <w:tabs>
          <w:tab w:val="decimal" w:pos="1280"/>
        </w:tabs>
        <w:autoSpaceDE w:val="0"/>
        <w:autoSpaceDN w:val="0"/>
        <w:adjustRightInd w:val="0"/>
        <w:spacing w:after="0" w:line="240" w:lineRule="auto"/>
        <w:ind w:firstLine="284"/>
        <w:jc w:val="both"/>
        <w:rPr>
          <w:rFonts w:ascii="Garamond" w:hAnsi="Garamond" w:cs="Calibri"/>
          <w:sz w:val="24"/>
          <w:szCs w:val="24"/>
          <w:lang w:val="sq-AL"/>
        </w:rPr>
      </w:pPr>
      <w:r w:rsidRPr="00CF2DF8">
        <w:rPr>
          <w:rFonts w:ascii="Garamond" w:hAnsi="Garamond" w:cs="Times New Roman"/>
          <w:sz w:val="24"/>
          <w:szCs w:val="24"/>
          <w:lang w:val="sq-AL"/>
        </w:rPr>
        <w:t>a) açuge: 737 ton</w:t>
      </w:r>
      <w:r w:rsidR="00CF2DF8" w:rsidRPr="00CF2DF8">
        <w:rPr>
          <w:rFonts w:ascii="Garamond" w:hAnsi="Garamond" w:cs="Times New Roman"/>
          <w:sz w:val="24"/>
          <w:szCs w:val="24"/>
          <w:lang w:val="sq-AL"/>
        </w:rPr>
        <w:t>ë</w:t>
      </w:r>
      <w:r w:rsidRPr="00CF2DF8">
        <w:rPr>
          <w:rFonts w:ascii="Garamond" w:hAnsi="Garamond" w:cs="Times New Roman"/>
          <w:sz w:val="24"/>
          <w:szCs w:val="24"/>
          <w:lang w:val="sq-AL"/>
        </w:rPr>
        <w:t>;</w:t>
      </w:r>
    </w:p>
    <w:p w14:paraId="16C3EC2F" w14:textId="567CB2B1" w:rsidR="00F931E8" w:rsidRPr="00CF2DF8" w:rsidRDefault="00F931E8" w:rsidP="00F931E8">
      <w:pPr>
        <w:tabs>
          <w:tab w:val="decimal" w:pos="1280"/>
        </w:tabs>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b)</w:t>
      </w:r>
      <w:r w:rsidR="00CF2DF8" w:rsidRPr="00CF2DF8">
        <w:rPr>
          <w:rFonts w:ascii="Garamond" w:hAnsi="Garamond" w:cs="Times New Roman"/>
          <w:sz w:val="24"/>
          <w:szCs w:val="24"/>
          <w:lang w:val="sq-AL"/>
        </w:rPr>
        <w:t xml:space="preserve"> </w:t>
      </w:r>
      <w:r w:rsidRPr="00CF2DF8">
        <w:rPr>
          <w:rFonts w:ascii="Garamond" w:hAnsi="Garamond" w:cs="Times New Roman"/>
          <w:sz w:val="24"/>
          <w:szCs w:val="24"/>
          <w:lang w:val="sq-AL"/>
        </w:rPr>
        <w:t>sardele: 826 ton</w:t>
      </w:r>
      <w:r w:rsidR="00CF2DF8" w:rsidRPr="00CF2DF8">
        <w:rPr>
          <w:rFonts w:ascii="Garamond" w:hAnsi="Garamond" w:cs="Times New Roman"/>
          <w:sz w:val="24"/>
          <w:szCs w:val="24"/>
          <w:lang w:val="sq-AL"/>
        </w:rPr>
        <w:t>ë</w:t>
      </w:r>
      <w:r w:rsidRPr="00CF2DF8">
        <w:rPr>
          <w:rFonts w:ascii="Garamond" w:hAnsi="Garamond" w:cs="Times New Roman"/>
          <w:sz w:val="24"/>
          <w:szCs w:val="24"/>
          <w:lang w:val="sq-AL"/>
        </w:rPr>
        <w:t>”.</w:t>
      </w:r>
    </w:p>
    <w:p w14:paraId="7C6C3888" w14:textId="2FF00991" w:rsidR="00F931E8" w:rsidRPr="00CF2DF8" w:rsidRDefault="00F931E8" w:rsidP="00F931E8">
      <w:pPr>
        <w:tabs>
          <w:tab w:val="left" w:pos="360"/>
          <w:tab w:val="decimal" w:pos="1280"/>
        </w:tabs>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3. Pika 5 riformulohet si më poshtë:</w:t>
      </w:r>
    </w:p>
    <w:p w14:paraId="5EC1BF27" w14:textId="77777777" w:rsidR="00F931E8" w:rsidRPr="00CF2DF8" w:rsidRDefault="00F931E8" w:rsidP="00F931E8">
      <w:pPr>
        <w:tabs>
          <w:tab w:val="decimal" w:pos="1280"/>
        </w:tabs>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“5. Ky plan menaxhimi është i zbatueshëm deri më 31 dhjetor 2029”.</w:t>
      </w:r>
    </w:p>
    <w:p w14:paraId="29B8F024" w14:textId="7845B750"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4. Për zbatimin e këtij urdhri</w:t>
      </w:r>
      <w:r w:rsidRPr="00CF2DF8">
        <w:rPr>
          <w:rFonts w:ascii="Garamond" w:hAnsi="Garamond" w:cs="Calibri"/>
          <w:sz w:val="24"/>
          <w:szCs w:val="24"/>
          <w:lang w:val="sq-AL"/>
        </w:rPr>
        <w:t>,</w:t>
      </w:r>
      <w:r w:rsidRPr="00CF2DF8">
        <w:rPr>
          <w:rFonts w:ascii="Garamond" w:hAnsi="Garamond" w:cs="Times New Roman"/>
          <w:sz w:val="24"/>
          <w:szCs w:val="24"/>
          <w:lang w:val="sq-AL"/>
        </w:rPr>
        <w:t xml:space="preserve"> ngarkohen Ministria e Bujqësisë dhe Zhvillimit Rural, Drejtoria e Shërbimeve të Peshkimit dhe Akuakulturës dhe inspektorati që mbulon fushën e peshkimit.</w:t>
      </w:r>
    </w:p>
    <w:p w14:paraId="7D752C90" w14:textId="77777777" w:rsidR="00F931E8" w:rsidRPr="00CF2DF8" w:rsidRDefault="00F931E8" w:rsidP="00F931E8">
      <w:pPr>
        <w:tabs>
          <w:tab w:val="left" w:pos="36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Ky urdhër hyn në fuqi menjëherë dhe botohet në Fletoren Zyrtare.</w:t>
      </w:r>
    </w:p>
    <w:p w14:paraId="133B88E0" w14:textId="77777777" w:rsidR="00F931E8" w:rsidRPr="00CF2DF8" w:rsidRDefault="00F931E8" w:rsidP="00F931E8">
      <w:pPr>
        <w:tabs>
          <w:tab w:val="left" w:pos="360"/>
          <w:tab w:val="left" w:pos="3320"/>
        </w:tabs>
        <w:autoSpaceDE w:val="0"/>
        <w:autoSpaceDN w:val="0"/>
        <w:adjustRightInd w:val="0"/>
        <w:spacing w:after="0" w:line="240" w:lineRule="auto"/>
        <w:ind w:firstLine="284"/>
        <w:jc w:val="both"/>
        <w:rPr>
          <w:rFonts w:ascii="Garamond" w:hAnsi="Garamond" w:cs="Times New Roman"/>
          <w:sz w:val="24"/>
          <w:szCs w:val="24"/>
          <w:lang w:val="sq-AL"/>
        </w:rPr>
      </w:pPr>
    </w:p>
    <w:p w14:paraId="5CD0E707" w14:textId="7B336E70" w:rsidR="00F931E8" w:rsidRPr="00CF2DF8" w:rsidRDefault="00CF2DF8" w:rsidP="00F931E8">
      <w:pPr>
        <w:tabs>
          <w:tab w:val="left" w:pos="9540"/>
        </w:tabs>
        <w:autoSpaceDE w:val="0"/>
        <w:autoSpaceDN w:val="0"/>
        <w:adjustRightInd w:val="0"/>
        <w:spacing w:after="0" w:line="240" w:lineRule="auto"/>
        <w:ind w:firstLine="284"/>
        <w:jc w:val="right"/>
        <w:rPr>
          <w:rFonts w:ascii="Garamond" w:hAnsi="Garamond" w:cs="Times New Roman"/>
          <w:bCs/>
          <w:sz w:val="24"/>
          <w:szCs w:val="24"/>
          <w:lang w:val="sq-AL"/>
        </w:rPr>
      </w:pPr>
      <w:r w:rsidRPr="00CF2DF8">
        <w:rPr>
          <w:rFonts w:ascii="Garamond" w:hAnsi="Garamond" w:cs="Times New Roman"/>
          <w:bCs/>
          <w:sz w:val="24"/>
          <w:szCs w:val="24"/>
          <w:lang w:val="sq-AL"/>
        </w:rPr>
        <w:t xml:space="preserve"> </w:t>
      </w:r>
      <w:r w:rsidR="00F931E8" w:rsidRPr="00CF2DF8">
        <w:rPr>
          <w:rFonts w:ascii="Garamond" w:hAnsi="Garamond" w:cs="Times New Roman"/>
          <w:bCs/>
          <w:sz w:val="24"/>
          <w:szCs w:val="24"/>
          <w:lang w:val="sq-AL"/>
        </w:rPr>
        <w:t>MINISTËR I BUJQËSISË DHE ZHVILLIMIT RURAL</w:t>
      </w:r>
    </w:p>
    <w:p w14:paraId="74C51849" w14:textId="22A4AC7B" w:rsidR="00F931E8" w:rsidRPr="00CF2DF8" w:rsidRDefault="00CF2DF8" w:rsidP="00F931E8">
      <w:pPr>
        <w:tabs>
          <w:tab w:val="left" w:pos="9540"/>
        </w:tabs>
        <w:autoSpaceDE w:val="0"/>
        <w:autoSpaceDN w:val="0"/>
        <w:adjustRightInd w:val="0"/>
        <w:spacing w:after="0" w:line="240" w:lineRule="auto"/>
        <w:ind w:firstLine="284"/>
        <w:jc w:val="right"/>
        <w:rPr>
          <w:rFonts w:ascii="Garamond" w:hAnsi="Garamond" w:cs="Times New Roman"/>
          <w:b/>
          <w:bCs/>
          <w:sz w:val="24"/>
          <w:szCs w:val="24"/>
          <w:lang w:val="sq-AL"/>
        </w:rPr>
      </w:pPr>
      <w:r w:rsidRPr="00CF2DF8">
        <w:rPr>
          <w:rFonts w:ascii="Garamond" w:hAnsi="Garamond" w:cs="Times New Roman"/>
          <w:b/>
          <w:bCs/>
          <w:sz w:val="24"/>
          <w:szCs w:val="24"/>
          <w:lang w:val="sq-AL"/>
        </w:rPr>
        <w:t xml:space="preserve"> </w:t>
      </w:r>
      <w:r w:rsidR="00F931E8" w:rsidRPr="00CF2DF8">
        <w:rPr>
          <w:rFonts w:ascii="Garamond" w:hAnsi="Garamond" w:cs="Times New Roman"/>
          <w:b/>
          <w:bCs/>
          <w:sz w:val="24"/>
          <w:szCs w:val="24"/>
          <w:lang w:val="sq-AL"/>
        </w:rPr>
        <w:t>Anila Denaj</w:t>
      </w:r>
    </w:p>
    <w:p w14:paraId="03040551" w14:textId="77777777" w:rsidR="00F931E8" w:rsidRPr="00CF2DF8" w:rsidRDefault="00F931E8" w:rsidP="00F931E8">
      <w:pPr>
        <w:tabs>
          <w:tab w:val="left" w:pos="9540"/>
        </w:tabs>
        <w:autoSpaceDE w:val="0"/>
        <w:autoSpaceDN w:val="0"/>
        <w:adjustRightInd w:val="0"/>
        <w:spacing w:after="0" w:line="240" w:lineRule="auto"/>
        <w:ind w:firstLine="284"/>
        <w:rPr>
          <w:rFonts w:ascii="Garamond" w:hAnsi="Garamond" w:cs="Times New Roman"/>
          <w:b/>
          <w:bCs/>
          <w:sz w:val="24"/>
          <w:szCs w:val="24"/>
          <w:lang w:val="sq-AL"/>
        </w:rPr>
      </w:pPr>
    </w:p>
    <w:p w14:paraId="7E712CAA" w14:textId="77777777" w:rsidR="00D64957" w:rsidRDefault="00F931E8" w:rsidP="00F931E8">
      <w:pPr>
        <w:autoSpaceDE w:val="0"/>
        <w:autoSpaceDN w:val="0"/>
        <w:adjustRightInd w:val="0"/>
        <w:spacing w:after="0" w:line="240" w:lineRule="auto"/>
        <w:ind w:firstLine="284"/>
        <w:jc w:val="center"/>
        <w:rPr>
          <w:rFonts w:ascii="Garamond" w:hAnsi="Garamond" w:cs="Times New Roman"/>
          <w:bCs/>
          <w:sz w:val="24"/>
          <w:szCs w:val="24"/>
          <w:lang w:val="sq-AL"/>
        </w:rPr>
      </w:pPr>
      <w:r w:rsidRPr="00CF2DF8">
        <w:rPr>
          <w:rFonts w:ascii="Garamond" w:hAnsi="Garamond" w:cs="Times New Roman"/>
          <w:bCs/>
          <w:sz w:val="24"/>
          <w:szCs w:val="24"/>
          <w:lang w:val="sq-AL"/>
        </w:rPr>
        <w:t>REKOMANDIMI GFCM/47/2024/4 “MBI NJË REGJIMI AFATGJATË DHE VENDOSJES SE NJË LIMITI ZËNIESH PËR VITIN 2025 PËR PELAGJIKËT E VEGJËL NË DETIN ADRIATIK (NËNZONA</w:t>
      </w:r>
      <w:r w:rsidR="00504260">
        <w:rPr>
          <w:rFonts w:ascii="Garamond" w:hAnsi="Garamond" w:cs="Times New Roman"/>
          <w:bCs/>
          <w:sz w:val="24"/>
          <w:szCs w:val="24"/>
          <w:lang w:val="sq-AL"/>
        </w:rPr>
        <w:t>T</w:t>
      </w:r>
      <w:r w:rsidRPr="00CF2DF8">
        <w:rPr>
          <w:rFonts w:ascii="Garamond" w:hAnsi="Garamond" w:cs="Times New Roman"/>
          <w:bCs/>
          <w:sz w:val="24"/>
          <w:szCs w:val="24"/>
          <w:lang w:val="sq-AL"/>
        </w:rPr>
        <w:t xml:space="preserve"> GJEOGRAFIKE 17 DHE 18)”, </w:t>
      </w:r>
    </w:p>
    <w:p w14:paraId="4C4CB829" w14:textId="3FDC3885" w:rsidR="00F931E8" w:rsidRPr="00CF2DF8" w:rsidRDefault="00F931E8" w:rsidP="00F931E8">
      <w:pPr>
        <w:autoSpaceDE w:val="0"/>
        <w:autoSpaceDN w:val="0"/>
        <w:adjustRightInd w:val="0"/>
        <w:spacing w:after="0" w:line="240" w:lineRule="auto"/>
        <w:ind w:firstLine="284"/>
        <w:jc w:val="center"/>
        <w:rPr>
          <w:rFonts w:ascii="Garamond" w:hAnsi="Garamond" w:cs="Calibri"/>
          <w:bCs/>
          <w:sz w:val="24"/>
          <w:szCs w:val="24"/>
          <w:lang w:val="sq-AL"/>
        </w:rPr>
      </w:pPr>
      <w:r w:rsidRPr="00CF2DF8">
        <w:rPr>
          <w:rFonts w:ascii="Garamond" w:hAnsi="Garamond" w:cs="Times New Roman"/>
          <w:bCs/>
          <w:sz w:val="24"/>
          <w:szCs w:val="24"/>
          <w:lang w:val="sq-AL"/>
        </w:rPr>
        <w:t>BAZUAR NGA REKOMANDIMI GFCM/44/2021/20</w:t>
      </w:r>
    </w:p>
    <w:p w14:paraId="3641DE88" w14:textId="77777777" w:rsidR="00F931E8" w:rsidRPr="00CF2DF8" w:rsidRDefault="00F931E8" w:rsidP="00F931E8">
      <w:pPr>
        <w:autoSpaceDE w:val="0"/>
        <w:autoSpaceDN w:val="0"/>
        <w:adjustRightInd w:val="0"/>
        <w:spacing w:after="0" w:line="240" w:lineRule="auto"/>
        <w:ind w:firstLine="284"/>
        <w:jc w:val="center"/>
        <w:rPr>
          <w:rFonts w:ascii="Garamond" w:hAnsi="Garamond" w:cs="Calibri"/>
          <w:b/>
          <w:bCs/>
          <w:sz w:val="24"/>
          <w:szCs w:val="24"/>
          <w:lang w:val="sq-AL"/>
        </w:rPr>
      </w:pPr>
    </w:p>
    <w:p w14:paraId="1802C586" w14:textId="0DF18A74"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 xml:space="preserve">Komisioni i Përgjithshëm </w:t>
      </w:r>
      <w:r w:rsidR="00320398">
        <w:rPr>
          <w:rFonts w:ascii="Garamond" w:hAnsi="Garamond" w:cs="Times New Roman"/>
          <w:sz w:val="24"/>
          <w:szCs w:val="24"/>
          <w:lang w:val="sq-AL"/>
        </w:rPr>
        <w:t>i</w:t>
      </w:r>
      <w:r w:rsidRPr="00CF2DF8">
        <w:rPr>
          <w:rFonts w:ascii="Garamond" w:hAnsi="Garamond" w:cs="Times New Roman"/>
          <w:sz w:val="24"/>
          <w:szCs w:val="24"/>
          <w:lang w:val="sq-AL"/>
        </w:rPr>
        <w:t xml:space="preserve"> Peshkimit për Mesdheun (KPPM/GFCM), </w:t>
      </w:r>
    </w:p>
    <w:p w14:paraId="3D606F69" w14:textId="65CD9B17" w:rsidR="00F931E8" w:rsidRPr="00CF2DF8" w:rsidRDefault="00320398" w:rsidP="00F931E8">
      <w:pPr>
        <w:autoSpaceDE w:val="0"/>
        <w:autoSpaceDN w:val="0"/>
        <w:adjustRightInd w:val="0"/>
        <w:spacing w:after="0" w:line="240" w:lineRule="auto"/>
        <w:ind w:firstLine="284"/>
        <w:jc w:val="both"/>
        <w:rPr>
          <w:rFonts w:ascii="Garamond" w:hAnsi="Garamond" w:cs="Times New Roman"/>
          <w:sz w:val="24"/>
          <w:szCs w:val="24"/>
          <w:lang w:val="sq-AL"/>
        </w:rPr>
      </w:pPr>
      <w:r w:rsidRPr="00320398">
        <w:rPr>
          <w:rFonts w:ascii="Garamond" w:hAnsi="Garamond" w:cs="Times New Roman"/>
          <w:i/>
          <w:iCs/>
          <w:sz w:val="24"/>
          <w:szCs w:val="24"/>
          <w:lang w:val="sq-AL"/>
        </w:rPr>
        <w:t>duke konsideruar</w:t>
      </w:r>
      <w:r w:rsidRPr="00CF2DF8">
        <w:rPr>
          <w:rFonts w:ascii="Garamond" w:hAnsi="Garamond" w:cs="Times New Roman"/>
          <w:i/>
          <w:iCs/>
          <w:sz w:val="24"/>
          <w:szCs w:val="24"/>
          <w:lang w:val="sq-AL"/>
        </w:rPr>
        <w:t xml:space="preserve"> </w:t>
      </w:r>
      <w:r w:rsidR="00F931E8" w:rsidRPr="00CF2DF8">
        <w:rPr>
          <w:rFonts w:ascii="Garamond" w:hAnsi="Garamond" w:cs="Times New Roman"/>
          <w:sz w:val="24"/>
          <w:szCs w:val="24"/>
          <w:lang w:val="sq-AL"/>
        </w:rPr>
        <w:t>se qëllimi i Marrëveshjes për themelimin e Komisionit të Përgjithshëm për Peshkimin në Mesdhe (Marrëveshja e GFCM</w:t>
      </w:r>
      <w:r w:rsidR="00EC688C">
        <w:rPr>
          <w:rFonts w:ascii="Garamond" w:hAnsi="Garamond" w:cs="Times New Roman"/>
          <w:sz w:val="24"/>
          <w:szCs w:val="24"/>
          <w:lang w:val="sq-AL"/>
        </w:rPr>
        <w:t>-së</w:t>
      </w:r>
      <w:r w:rsidR="00F931E8" w:rsidRPr="00CF2DF8">
        <w:rPr>
          <w:rFonts w:ascii="Garamond" w:hAnsi="Garamond" w:cs="Times New Roman"/>
          <w:sz w:val="24"/>
          <w:szCs w:val="24"/>
          <w:lang w:val="sq-AL"/>
        </w:rPr>
        <w:t>) është të sigurojë ruajtjen dhe përdorimin e qëndrueshëm, në nivel biologjik, social, ekonomik dhe mjedisor, të burimeve të gjalla detare në zonën e zbatimit të GFCM-së;</w:t>
      </w:r>
    </w:p>
    <w:p w14:paraId="379EDECB" w14:textId="5D9B8D94" w:rsidR="00F931E8" w:rsidRPr="00CF2DF8" w:rsidRDefault="00320398" w:rsidP="00F931E8">
      <w:pPr>
        <w:autoSpaceDE w:val="0"/>
        <w:autoSpaceDN w:val="0"/>
        <w:adjustRightInd w:val="0"/>
        <w:spacing w:after="0" w:line="240" w:lineRule="auto"/>
        <w:ind w:firstLine="284"/>
        <w:jc w:val="both"/>
        <w:rPr>
          <w:rFonts w:ascii="Garamond" w:hAnsi="Garamond" w:cs="Times New Roman"/>
          <w:i/>
          <w:iCs/>
          <w:sz w:val="24"/>
          <w:szCs w:val="24"/>
          <w:lang w:val="sq-AL"/>
        </w:rPr>
      </w:pPr>
      <w:r w:rsidRPr="00320398">
        <w:rPr>
          <w:rFonts w:ascii="Garamond" w:hAnsi="Garamond" w:cs="Times New Roman"/>
          <w:i/>
          <w:iCs/>
          <w:sz w:val="24"/>
          <w:szCs w:val="24"/>
          <w:lang w:val="sq-AL"/>
        </w:rPr>
        <w:t xml:space="preserve">duke rikujtuar </w:t>
      </w:r>
      <w:r w:rsidRPr="00320398">
        <w:rPr>
          <w:rFonts w:ascii="Garamond" w:hAnsi="Garamond" w:cs="Times New Roman"/>
          <w:i/>
          <w:sz w:val="24"/>
          <w:szCs w:val="24"/>
          <w:lang w:val="sq-AL"/>
        </w:rPr>
        <w:t>se</w:t>
      </w:r>
      <w:r w:rsidR="00F931E8" w:rsidRPr="00CF2DF8">
        <w:rPr>
          <w:rFonts w:ascii="Garamond" w:hAnsi="Garamond" w:cs="Times New Roman"/>
          <w:sz w:val="24"/>
          <w:szCs w:val="24"/>
          <w:lang w:val="sq-AL"/>
        </w:rPr>
        <w:t>, në zbatim të qëllimit të Marrëveshjes së GFCM</w:t>
      </w:r>
      <w:r w:rsidR="00EC688C">
        <w:rPr>
          <w:rFonts w:ascii="Garamond" w:hAnsi="Garamond" w:cs="Times New Roman"/>
          <w:sz w:val="24"/>
          <w:szCs w:val="24"/>
          <w:lang w:val="sq-AL"/>
        </w:rPr>
        <w:t>-së</w:t>
      </w:r>
      <w:bookmarkStart w:id="0" w:name="_GoBack"/>
      <w:bookmarkEnd w:id="0"/>
      <w:r w:rsidR="00F931E8" w:rsidRPr="00CF2DF8">
        <w:rPr>
          <w:rFonts w:ascii="Garamond" w:hAnsi="Garamond" w:cs="Times New Roman"/>
          <w:sz w:val="24"/>
          <w:szCs w:val="24"/>
          <w:lang w:val="sq-AL"/>
        </w:rPr>
        <w:t xml:space="preserve">, GFCM-ja do të miratojë rekomandime për masa ruajtjeje dhe menaxhimi me synimin për të siguruar qëndrueshmërinë </w:t>
      </w:r>
      <w:r w:rsidR="00F931E8" w:rsidRPr="00CF2DF8">
        <w:rPr>
          <w:rFonts w:ascii="Garamond" w:hAnsi="Garamond" w:cs="Times New Roman"/>
          <w:sz w:val="24"/>
          <w:szCs w:val="24"/>
          <w:lang w:val="sq-AL"/>
        </w:rPr>
        <w:lastRenderedPageBreak/>
        <w:t>afatgjatë të aktiviteteve të peshkimit, me qëllim ruajtjen e burimeve të gjalla detare dhe qëndrueshmërinë ekonomike e sociale të sektorit të peshkimit dhe se, gjatë miratimit të këtyre rekomandimeve, GFCM-ja do t’i kushtojë vëmendje të veçantë masave për të parandaluar mbipeshkimin dhe për të minimizuar hedhjet e peshkut, si dhe ndikimeve të mundshme në peshkimin në shkallë të vogël dhe komunitetet lokale;</w:t>
      </w:r>
    </w:p>
    <w:p w14:paraId="64D5EECE" w14:textId="08D022B9" w:rsidR="00F931E8" w:rsidRPr="00CF2DF8" w:rsidRDefault="00320398" w:rsidP="00F931E8">
      <w:pPr>
        <w:autoSpaceDE w:val="0"/>
        <w:autoSpaceDN w:val="0"/>
        <w:adjustRightInd w:val="0"/>
        <w:spacing w:after="0" w:line="240" w:lineRule="auto"/>
        <w:ind w:firstLine="284"/>
        <w:jc w:val="both"/>
        <w:rPr>
          <w:rFonts w:ascii="Garamond" w:hAnsi="Garamond" w:cs="Times New Roman"/>
          <w:i/>
          <w:iCs/>
          <w:sz w:val="24"/>
          <w:szCs w:val="24"/>
          <w:lang w:val="sq-AL"/>
        </w:rPr>
      </w:pPr>
      <w:r w:rsidRPr="00320398">
        <w:rPr>
          <w:rFonts w:ascii="Garamond" w:hAnsi="Garamond" w:cs="Times New Roman"/>
          <w:i/>
          <w:iCs/>
          <w:sz w:val="24"/>
          <w:szCs w:val="24"/>
          <w:lang w:val="sq-AL"/>
        </w:rPr>
        <w:t>duke konsideruar</w:t>
      </w:r>
      <w:r w:rsidRPr="00CF2DF8">
        <w:rPr>
          <w:rFonts w:ascii="Garamond" w:hAnsi="Garamond" w:cs="Times New Roman"/>
          <w:i/>
          <w:iCs/>
          <w:sz w:val="24"/>
          <w:szCs w:val="24"/>
          <w:lang w:val="sq-AL"/>
        </w:rPr>
        <w:t xml:space="preserve"> </w:t>
      </w:r>
      <w:r w:rsidR="00F931E8" w:rsidRPr="00CF2DF8">
        <w:rPr>
          <w:rFonts w:ascii="Garamond" w:hAnsi="Garamond" w:cs="Times New Roman"/>
          <w:sz w:val="24"/>
          <w:szCs w:val="24"/>
          <w:lang w:val="sq-AL"/>
        </w:rPr>
        <w:t>këshillën shkencore më të fundit, të miratuar nga Komiteti Këshillimor Shkencor për Peshkimin (SAC) në sesionin e tij të njëzet e pestë (Francë, 2024), e cila tregon për një mbipeshkim të vazhdueshëm të rezervës së sardeles dhe një përmirësim të gjendjes së rezervës së açuges në detin Adriatik</w:t>
      </w:r>
      <w:r w:rsidR="00F931E8" w:rsidRPr="00CF2DF8">
        <w:rPr>
          <w:rFonts w:ascii="Garamond" w:hAnsi="Garamond" w:cs="Times New Roman"/>
          <w:i/>
          <w:iCs/>
          <w:sz w:val="24"/>
          <w:szCs w:val="24"/>
          <w:lang w:val="sq-AL"/>
        </w:rPr>
        <w:t>;</w:t>
      </w:r>
    </w:p>
    <w:p w14:paraId="7E374599" w14:textId="0F55019F" w:rsidR="00F931E8" w:rsidRPr="00CF2DF8" w:rsidRDefault="00320398" w:rsidP="00F931E8">
      <w:pPr>
        <w:autoSpaceDE w:val="0"/>
        <w:autoSpaceDN w:val="0"/>
        <w:adjustRightInd w:val="0"/>
        <w:spacing w:after="0" w:line="240" w:lineRule="auto"/>
        <w:ind w:firstLine="284"/>
        <w:jc w:val="both"/>
        <w:rPr>
          <w:rFonts w:ascii="Garamond" w:hAnsi="Garamond" w:cs="Times New Roman"/>
          <w:i/>
          <w:iCs/>
          <w:sz w:val="24"/>
          <w:szCs w:val="24"/>
          <w:lang w:val="sq-AL"/>
        </w:rPr>
      </w:pPr>
      <w:r w:rsidRPr="00320398">
        <w:rPr>
          <w:rFonts w:ascii="Garamond" w:hAnsi="Garamond" w:cs="Times New Roman"/>
          <w:i/>
          <w:iCs/>
          <w:sz w:val="24"/>
          <w:szCs w:val="24"/>
          <w:lang w:val="sq-AL"/>
        </w:rPr>
        <w:t xml:space="preserve">duke konsideruar </w:t>
      </w:r>
      <w:r w:rsidRPr="00320398">
        <w:rPr>
          <w:rFonts w:ascii="Garamond" w:hAnsi="Garamond" w:cs="Times New Roman"/>
          <w:i/>
          <w:sz w:val="24"/>
          <w:szCs w:val="24"/>
          <w:lang w:val="sq-AL"/>
        </w:rPr>
        <w:t>se</w:t>
      </w:r>
      <w:r w:rsidRPr="00CF2DF8">
        <w:rPr>
          <w:rFonts w:ascii="Garamond" w:hAnsi="Garamond" w:cs="Times New Roman"/>
          <w:sz w:val="24"/>
          <w:szCs w:val="24"/>
          <w:lang w:val="sq-AL"/>
        </w:rPr>
        <w:t xml:space="preserve"> </w:t>
      </w:r>
      <w:r w:rsidR="00F931E8" w:rsidRPr="00CF2DF8">
        <w:rPr>
          <w:rFonts w:ascii="Garamond" w:hAnsi="Garamond" w:cs="Times New Roman"/>
          <w:sz w:val="24"/>
          <w:szCs w:val="24"/>
          <w:lang w:val="sq-AL"/>
        </w:rPr>
        <w:t xml:space="preserve">SAC, në sesionin e tij të njëzet e pestë, njohu përmirësimin e vërejtur në biomasa e açuges ndërmjet vlerësimeve të mëparshme dhe vlerësimit aktual dhe se ajo tashmë ishte mbi nivelin </w:t>
      </w:r>
      <w:r w:rsidR="004478D1">
        <w:rPr>
          <w:rFonts w:ascii="Garamond" w:hAnsi="Garamond" w:cs="Times New Roman"/>
          <w:sz w:val="24"/>
          <w:szCs w:val="24"/>
          <w:lang w:val="sq-AL"/>
        </w:rPr>
        <w:t>B</w:t>
      </w:r>
      <w:r w:rsidR="004478D1" w:rsidRPr="004478D1">
        <w:rPr>
          <w:rFonts w:ascii="Garamond" w:hAnsi="Garamond" w:cs="Times New Roman"/>
          <w:sz w:val="24"/>
          <w:szCs w:val="24"/>
          <w:vertAlign w:val="subscript"/>
          <w:lang w:val="sq-AL"/>
        </w:rPr>
        <w:t>PA</w:t>
      </w:r>
      <w:r w:rsidR="004478D1" w:rsidRPr="004478D1">
        <w:rPr>
          <w:rFonts w:ascii="Garamond" w:hAnsi="Garamond" w:cs="Times New Roman"/>
          <w:sz w:val="24"/>
          <w:szCs w:val="24"/>
          <w:lang w:val="sq-AL"/>
        </w:rPr>
        <w:t>,</w:t>
      </w:r>
      <w:r w:rsidR="00F931E8" w:rsidRPr="00CF2DF8">
        <w:rPr>
          <w:rFonts w:ascii="Garamond" w:hAnsi="Garamond" w:cs="Times New Roman"/>
          <w:sz w:val="24"/>
          <w:szCs w:val="24"/>
          <w:lang w:val="sq-AL"/>
        </w:rPr>
        <w:t xml:space="preserve"> duke theksuar se ulja e vërejtur e vdekshmërisë nga peshkimi e solli atë në nivelin FMSY, ndërsa për sardelen vërejti se biomasa ishte ulur më tej pavarësisht një reduktimi të zënieve, megjithatë mbetej ende mbi nivelin </w:t>
      </w:r>
      <w:r w:rsidR="004478D1">
        <w:rPr>
          <w:rFonts w:ascii="Garamond" w:hAnsi="Garamond" w:cs="Times New Roman"/>
          <w:sz w:val="24"/>
          <w:szCs w:val="24"/>
          <w:lang w:val="sq-AL"/>
        </w:rPr>
        <w:t>B</w:t>
      </w:r>
      <w:r w:rsidR="004478D1" w:rsidRPr="004478D1">
        <w:rPr>
          <w:rFonts w:ascii="Garamond" w:hAnsi="Garamond" w:cs="Times New Roman"/>
          <w:sz w:val="24"/>
          <w:szCs w:val="24"/>
          <w:vertAlign w:val="subscript"/>
          <w:lang w:val="sq-AL"/>
        </w:rPr>
        <w:t>PA</w:t>
      </w:r>
      <w:r w:rsidR="00F931E8" w:rsidRPr="00CF2DF8">
        <w:rPr>
          <w:rFonts w:ascii="Garamond" w:hAnsi="Garamond" w:cs="Times New Roman"/>
          <w:sz w:val="24"/>
          <w:szCs w:val="24"/>
          <w:lang w:val="sq-AL"/>
        </w:rPr>
        <w:t>;</w:t>
      </w:r>
    </w:p>
    <w:p w14:paraId="29760CF3" w14:textId="100AD0D7" w:rsidR="00F931E8" w:rsidRPr="00CF2DF8" w:rsidRDefault="00320398" w:rsidP="00F931E8">
      <w:pPr>
        <w:autoSpaceDE w:val="0"/>
        <w:autoSpaceDN w:val="0"/>
        <w:adjustRightInd w:val="0"/>
        <w:spacing w:after="0" w:line="240" w:lineRule="auto"/>
        <w:ind w:firstLine="284"/>
        <w:jc w:val="both"/>
        <w:rPr>
          <w:rFonts w:ascii="Garamond" w:hAnsi="Garamond" w:cs="Times New Roman"/>
          <w:sz w:val="24"/>
          <w:szCs w:val="24"/>
          <w:lang w:val="sq-AL"/>
        </w:rPr>
      </w:pPr>
      <w:r w:rsidRPr="00320398">
        <w:rPr>
          <w:rFonts w:ascii="Garamond" w:hAnsi="Garamond" w:cs="Times New Roman"/>
          <w:i/>
          <w:iCs/>
          <w:sz w:val="24"/>
          <w:szCs w:val="24"/>
          <w:lang w:val="sq-AL"/>
        </w:rPr>
        <w:t xml:space="preserve">duke konsideruar </w:t>
      </w:r>
      <w:r w:rsidRPr="00320398">
        <w:rPr>
          <w:rFonts w:ascii="Garamond" w:hAnsi="Garamond" w:cs="Times New Roman"/>
          <w:i/>
          <w:sz w:val="24"/>
          <w:szCs w:val="24"/>
          <w:lang w:val="sq-AL"/>
        </w:rPr>
        <w:t>se</w:t>
      </w:r>
      <w:r w:rsidRPr="00CF2DF8">
        <w:rPr>
          <w:rFonts w:ascii="Garamond" w:hAnsi="Garamond" w:cs="Times New Roman"/>
          <w:sz w:val="24"/>
          <w:szCs w:val="24"/>
          <w:lang w:val="sq-AL"/>
        </w:rPr>
        <w:t xml:space="preserve"> </w:t>
      </w:r>
      <w:r w:rsidR="00F931E8" w:rsidRPr="00CF2DF8">
        <w:rPr>
          <w:rFonts w:ascii="Garamond" w:hAnsi="Garamond" w:cs="Times New Roman"/>
          <w:sz w:val="24"/>
          <w:szCs w:val="24"/>
          <w:lang w:val="sq-AL"/>
        </w:rPr>
        <w:t>vlerësimi referues për sardelen u përfundua në vitin 2023 dhe se grupi i punës për vlerësimin e Strategjisë së Menaxhimit (WGMSE) përfundoi vlerësimin e Strategjisë së Menaxhimit (MSE) për rregullat e propozuara të kontrollit të zënieve (HCRs), në përputhje me paragrafët 16</w:t>
      </w:r>
      <w:r w:rsidR="00BC6F97">
        <w:rPr>
          <w:rFonts w:ascii="Garamond" w:hAnsi="Garamond" w:cs="Times New Roman"/>
          <w:sz w:val="24"/>
          <w:szCs w:val="24"/>
          <w:lang w:val="sq-AL"/>
        </w:rPr>
        <w:t>–</w:t>
      </w:r>
      <w:r w:rsidR="00F931E8" w:rsidRPr="00CF2DF8">
        <w:rPr>
          <w:rFonts w:ascii="Garamond" w:hAnsi="Garamond" w:cs="Times New Roman"/>
          <w:sz w:val="24"/>
          <w:szCs w:val="24"/>
          <w:lang w:val="sq-AL"/>
        </w:rPr>
        <w:t xml:space="preserve">18, të </w:t>
      </w:r>
      <w:r w:rsidR="00BC6F97">
        <w:rPr>
          <w:rFonts w:ascii="Garamond" w:hAnsi="Garamond" w:cs="Times New Roman"/>
          <w:sz w:val="24"/>
          <w:szCs w:val="24"/>
          <w:lang w:val="sq-AL"/>
        </w:rPr>
        <w:t>r</w:t>
      </w:r>
      <w:r w:rsidR="00F931E8" w:rsidRPr="00CF2DF8">
        <w:rPr>
          <w:rFonts w:ascii="Garamond" w:hAnsi="Garamond" w:cs="Times New Roman"/>
          <w:sz w:val="24"/>
          <w:szCs w:val="24"/>
          <w:lang w:val="sq-AL"/>
        </w:rPr>
        <w:t>ekomandimit GFCM/44/2021/20 mbi një plan shumëvjeçar menaxhimi për shfrytëzimin e qëndrueshëm të rezervave të pelagjikëve të vegjël në detin Adriatik (nënzonat gjeografike 17 dhe 18);</w:t>
      </w:r>
    </w:p>
    <w:p w14:paraId="30DB7E40" w14:textId="2AB4C7BE" w:rsidR="00F931E8" w:rsidRPr="00CF2DF8" w:rsidRDefault="00320398" w:rsidP="00F931E8">
      <w:pPr>
        <w:autoSpaceDE w:val="0"/>
        <w:autoSpaceDN w:val="0"/>
        <w:adjustRightInd w:val="0"/>
        <w:spacing w:after="0" w:line="240" w:lineRule="auto"/>
        <w:ind w:firstLine="284"/>
        <w:jc w:val="both"/>
        <w:rPr>
          <w:rFonts w:ascii="Garamond" w:hAnsi="Garamond" w:cs="Times New Roman"/>
          <w:sz w:val="24"/>
          <w:szCs w:val="24"/>
          <w:lang w:val="sq-AL"/>
        </w:rPr>
      </w:pPr>
      <w:r w:rsidRPr="00320398">
        <w:rPr>
          <w:rFonts w:ascii="Garamond" w:hAnsi="Garamond" w:cs="Times New Roman"/>
          <w:i/>
          <w:iCs/>
          <w:sz w:val="24"/>
          <w:szCs w:val="24"/>
          <w:lang w:val="sq-AL"/>
        </w:rPr>
        <w:t xml:space="preserve">duke rikujtuar </w:t>
      </w:r>
      <w:r w:rsidRPr="00320398">
        <w:rPr>
          <w:rFonts w:ascii="Garamond" w:hAnsi="Garamond" w:cs="Times New Roman"/>
          <w:i/>
          <w:sz w:val="24"/>
          <w:szCs w:val="24"/>
          <w:lang w:val="sq-AL"/>
        </w:rPr>
        <w:t>se</w:t>
      </w:r>
      <w:r w:rsidRPr="00CF2DF8">
        <w:rPr>
          <w:rFonts w:ascii="Garamond" w:hAnsi="Garamond" w:cs="Times New Roman"/>
          <w:sz w:val="24"/>
          <w:szCs w:val="24"/>
          <w:lang w:val="sq-AL"/>
        </w:rPr>
        <w:t xml:space="preserve"> </w:t>
      </w:r>
      <w:r w:rsidR="00F931E8" w:rsidRPr="00CF2DF8">
        <w:rPr>
          <w:rFonts w:ascii="Garamond" w:hAnsi="Garamond" w:cs="Times New Roman"/>
          <w:sz w:val="24"/>
          <w:szCs w:val="24"/>
          <w:lang w:val="sq-AL"/>
        </w:rPr>
        <w:t>SAC, në sesionin e tij të njëzet e pestë, vlerësoi punën e kryer nga WGMSE në kuadër të procesit të vlerësimit të Strategjisë së Menaxhimit (MSE) për pelagjikët e vegjël në detin Adriatik, duke vënë në dukje se procesi i MSE kishte marrë parasysh një numër të madh skenarësh menaxhimi, përmes një procesi me dy hapa që kishte parashikuar një sërë simulimesh bazë dhe testesh të detajuara të qëndrueshmërisë, duke ofruar udhëzime të mira mbi rregullat e mundshme të kontrollit të zënieve (HCRs) që mund të zbatohen në peshkimin e pelagjikëve të vegjël;</w:t>
      </w:r>
    </w:p>
    <w:p w14:paraId="6D8B309C" w14:textId="210D28A0" w:rsidR="00F931E8" w:rsidRPr="00CF2DF8" w:rsidRDefault="00320398" w:rsidP="00F931E8">
      <w:pPr>
        <w:autoSpaceDE w:val="0"/>
        <w:autoSpaceDN w:val="0"/>
        <w:adjustRightInd w:val="0"/>
        <w:spacing w:after="0" w:line="240" w:lineRule="auto"/>
        <w:ind w:firstLine="284"/>
        <w:jc w:val="both"/>
        <w:rPr>
          <w:rFonts w:ascii="Garamond" w:hAnsi="Garamond" w:cs="Times New Roman"/>
          <w:sz w:val="24"/>
          <w:szCs w:val="24"/>
          <w:lang w:val="sq-AL"/>
        </w:rPr>
      </w:pPr>
      <w:r w:rsidRPr="00320398">
        <w:rPr>
          <w:rFonts w:ascii="Garamond" w:hAnsi="Garamond" w:cs="Times New Roman"/>
          <w:i/>
          <w:iCs/>
          <w:sz w:val="24"/>
          <w:szCs w:val="24"/>
          <w:lang w:val="sq-AL"/>
        </w:rPr>
        <w:t xml:space="preserve">duke rikujtuar </w:t>
      </w:r>
      <w:r w:rsidRPr="00320398">
        <w:rPr>
          <w:rFonts w:ascii="Garamond" w:hAnsi="Garamond" w:cs="Times New Roman"/>
          <w:i/>
          <w:sz w:val="24"/>
          <w:szCs w:val="24"/>
          <w:lang w:val="sq-AL"/>
        </w:rPr>
        <w:t>se</w:t>
      </w:r>
      <w:r w:rsidRPr="00CF2DF8">
        <w:rPr>
          <w:rFonts w:ascii="Garamond" w:hAnsi="Garamond" w:cs="Times New Roman"/>
          <w:sz w:val="24"/>
          <w:szCs w:val="24"/>
          <w:lang w:val="sq-AL"/>
        </w:rPr>
        <w:t xml:space="preserve"> </w:t>
      </w:r>
      <w:r w:rsidR="00F931E8" w:rsidRPr="00CF2DF8">
        <w:rPr>
          <w:rFonts w:ascii="Garamond" w:hAnsi="Garamond" w:cs="Times New Roman"/>
          <w:sz w:val="24"/>
          <w:szCs w:val="24"/>
          <w:lang w:val="sq-AL"/>
        </w:rPr>
        <w:t>SAC njohu përpjekjet e bëra nga ekspertët e WGMSE për të marrë parasysh një gamë të gjerë pasigurish dhe inputesh të theksuara nga palë të ndryshme të interesuara, duke mundësuar një analizë të performancës së rregullave të kontrollit të zënieve (HCRs) në lidhje me qëndrueshmërinë e zënieve, ndërkohë që WGMSE zhvilloi njëkohësisht teste të qëndrueshmërisë/stresit që morën parasysh si mungesat e mundshme në rekrutimin e rezervave të shkaktuara nga faktorë mjedisorë apo ndryshimet klimatike, ashtu edhe ndryshimet e mundshme në vdekshmërinë natyrore të shkaktuara nga rritja e grabiqarizmit, p.sh. nga ton i kuq (</w:t>
      </w:r>
      <w:r w:rsidR="00F931E8" w:rsidRPr="00320398">
        <w:rPr>
          <w:rFonts w:ascii="Garamond" w:hAnsi="Garamond" w:cs="Times New Roman"/>
          <w:i/>
          <w:sz w:val="24"/>
          <w:szCs w:val="24"/>
          <w:lang w:val="sq-AL"/>
        </w:rPr>
        <w:t>Thunnus thynnus</w:t>
      </w:r>
      <w:r w:rsidR="00F931E8" w:rsidRPr="00CF2DF8">
        <w:rPr>
          <w:rFonts w:ascii="Garamond" w:hAnsi="Garamond" w:cs="Times New Roman"/>
          <w:sz w:val="24"/>
          <w:szCs w:val="24"/>
          <w:lang w:val="sq-AL"/>
        </w:rPr>
        <w:t>);</w:t>
      </w:r>
    </w:p>
    <w:p w14:paraId="0FD4B647" w14:textId="71AEE0DD" w:rsidR="00F931E8" w:rsidRPr="00CF2DF8" w:rsidRDefault="00320398" w:rsidP="00F931E8">
      <w:pPr>
        <w:autoSpaceDE w:val="0"/>
        <w:autoSpaceDN w:val="0"/>
        <w:adjustRightInd w:val="0"/>
        <w:spacing w:after="0" w:line="240" w:lineRule="auto"/>
        <w:ind w:firstLine="284"/>
        <w:jc w:val="both"/>
        <w:rPr>
          <w:rFonts w:ascii="Garamond" w:hAnsi="Garamond" w:cs="Times New Roman"/>
          <w:sz w:val="24"/>
          <w:szCs w:val="24"/>
          <w:lang w:val="sq-AL"/>
        </w:rPr>
      </w:pPr>
      <w:r w:rsidRPr="00320398">
        <w:rPr>
          <w:rFonts w:ascii="Garamond" w:hAnsi="Garamond" w:cs="Times New Roman"/>
          <w:i/>
          <w:iCs/>
          <w:sz w:val="24"/>
          <w:szCs w:val="24"/>
          <w:lang w:val="sq-AL"/>
        </w:rPr>
        <w:t xml:space="preserve">duke konsideruar </w:t>
      </w:r>
      <w:r w:rsidRPr="00320398">
        <w:rPr>
          <w:rFonts w:ascii="Garamond" w:hAnsi="Garamond" w:cs="Times New Roman"/>
          <w:i/>
          <w:sz w:val="24"/>
          <w:szCs w:val="24"/>
          <w:lang w:val="sq-AL"/>
        </w:rPr>
        <w:t>se</w:t>
      </w:r>
      <w:r w:rsidRPr="00CF2DF8">
        <w:rPr>
          <w:rFonts w:ascii="Garamond" w:hAnsi="Garamond" w:cs="Times New Roman"/>
          <w:sz w:val="24"/>
          <w:szCs w:val="24"/>
          <w:lang w:val="sq-AL"/>
        </w:rPr>
        <w:t xml:space="preserve"> </w:t>
      </w:r>
      <w:r w:rsidR="00F931E8" w:rsidRPr="00CF2DF8">
        <w:rPr>
          <w:rFonts w:ascii="Garamond" w:hAnsi="Garamond" w:cs="Times New Roman"/>
          <w:sz w:val="24"/>
          <w:szCs w:val="24"/>
          <w:lang w:val="sq-AL"/>
        </w:rPr>
        <w:t>SAC, në sesionin e tij të njëzet e pestë, shqyrtoi masat e menaxhimit që do të zbatohen në fazën afatgjatë të planit shumëvjeçar, duke vënë në dukje se masat në hapësirë dhe në kohë kishin rezultuar efektive dhe duke rekomanduar që ato të mbahen edhe gjatë periudhës së ardhshme;</w:t>
      </w:r>
    </w:p>
    <w:p w14:paraId="6E6180F4" w14:textId="7646520F" w:rsidR="00F931E8" w:rsidRPr="00CF2DF8" w:rsidRDefault="00320398" w:rsidP="00F931E8">
      <w:pPr>
        <w:autoSpaceDE w:val="0"/>
        <w:autoSpaceDN w:val="0"/>
        <w:adjustRightInd w:val="0"/>
        <w:spacing w:after="0" w:line="240" w:lineRule="auto"/>
        <w:ind w:firstLine="284"/>
        <w:jc w:val="both"/>
        <w:rPr>
          <w:rFonts w:ascii="Garamond" w:hAnsi="Garamond" w:cs="Times New Roman"/>
          <w:sz w:val="24"/>
          <w:szCs w:val="24"/>
          <w:lang w:val="sq-AL"/>
        </w:rPr>
      </w:pPr>
      <w:r w:rsidRPr="00320398">
        <w:rPr>
          <w:rFonts w:ascii="Garamond" w:hAnsi="Garamond" w:cs="Times New Roman"/>
          <w:i/>
          <w:iCs/>
          <w:sz w:val="24"/>
          <w:szCs w:val="24"/>
          <w:lang w:val="sq-AL"/>
        </w:rPr>
        <w:t>miraton,</w:t>
      </w:r>
      <w:r w:rsidR="00F931E8" w:rsidRPr="00CF2DF8">
        <w:rPr>
          <w:rFonts w:ascii="Garamond" w:hAnsi="Garamond" w:cs="Times New Roman"/>
          <w:i/>
          <w:iCs/>
          <w:sz w:val="24"/>
          <w:szCs w:val="24"/>
          <w:lang w:val="sq-AL"/>
        </w:rPr>
        <w:t xml:space="preserve"> </w:t>
      </w:r>
      <w:r w:rsidR="00F931E8" w:rsidRPr="00CF2DF8">
        <w:rPr>
          <w:rFonts w:ascii="Garamond" w:hAnsi="Garamond" w:cs="Times New Roman"/>
          <w:sz w:val="24"/>
          <w:szCs w:val="24"/>
          <w:lang w:val="sq-AL"/>
        </w:rPr>
        <w:t xml:space="preserve">në përputhje me dispozitat e neneve 5, shkronja </w:t>
      </w:r>
      <w:r w:rsidR="00504260">
        <w:rPr>
          <w:rFonts w:ascii="Garamond" w:hAnsi="Garamond" w:cs="Times New Roman"/>
          <w:sz w:val="24"/>
          <w:szCs w:val="24"/>
          <w:lang w:val="sq-AL"/>
        </w:rPr>
        <w:t>“</w:t>
      </w:r>
      <w:r w:rsidR="00F931E8" w:rsidRPr="00CF2DF8">
        <w:rPr>
          <w:rFonts w:ascii="Garamond" w:hAnsi="Garamond" w:cs="Times New Roman"/>
          <w:sz w:val="24"/>
          <w:szCs w:val="24"/>
          <w:lang w:val="sq-AL"/>
        </w:rPr>
        <w:t>b</w:t>
      </w:r>
      <w:r w:rsidR="00504260">
        <w:rPr>
          <w:rFonts w:ascii="Garamond" w:hAnsi="Garamond" w:cs="Times New Roman"/>
          <w:sz w:val="24"/>
          <w:szCs w:val="24"/>
          <w:lang w:val="sq-AL"/>
        </w:rPr>
        <w:t>”</w:t>
      </w:r>
      <w:r w:rsidR="00F931E8" w:rsidRPr="00CF2DF8">
        <w:rPr>
          <w:rFonts w:ascii="Garamond" w:hAnsi="Garamond" w:cs="Times New Roman"/>
          <w:sz w:val="24"/>
          <w:szCs w:val="24"/>
          <w:lang w:val="sq-AL"/>
        </w:rPr>
        <w:t>, 8</w:t>
      </w:r>
      <w:r w:rsidR="00504260">
        <w:rPr>
          <w:rFonts w:ascii="Garamond" w:hAnsi="Garamond" w:cs="Times New Roman"/>
          <w:sz w:val="24"/>
          <w:szCs w:val="24"/>
          <w:lang w:val="sq-AL"/>
        </w:rPr>
        <w:t>,</w:t>
      </w:r>
      <w:r w:rsidR="00F931E8" w:rsidRPr="00CF2DF8">
        <w:rPr>
          <w:rFonts w:ascii="Garamond" w:hAnsi="Garamond" w:cs="Times New Roman"/>
          <w:sz w:val="24"/>
          <w:szCs w:val="24"/>
          <w:lang w:val="sq-AL"/>
        </w:rPr>
        <w:t xml:space="preserve"> shkronja </w:t>
      </w:r>
      <w:r w:rsidR="00504260">
        <w:rPr>
          <w:rFonts w:ascii="Garamond" w:hAnsi="Garamond" w:cs="Times New Roman"/>
          <w:sz w:val="24"/>
          <w:szCs w:val="24"/>
          <w:lang w:val="sq-AL"/>
        </w:rPr>
        <w:t>“</w:t>
      </w:r>
      <w:r w:rsidR="00F931E8" w:rsidRPr="00CF2DF8">
        <w:rPr>
          <w:rFonts w:ascii="Garamond" w:hAnsi="Garamond" w:cs="Times New Roman"/>
          <w:sz w:val="24"/>
          <w:szCs w:val="24"/>
          <w:lang w:val="sq-AL"/>
        </w:rPr>
        <w:t>b</w:t>
      </w:r>
      <w:r w:rsidR="00504260">
        <w:rPr>
          <w:rFonts w:ascii="Garamond" w:hAnsi="Garamond" w:cs="Times New Roman"/>
          <w:sz w:val="24"/>
          <w:szCs w:val="24"/>
          <w:lang w:val="sq-AL"/>
        </w:rPr>
        <w:t>”</w:t>
      </w:r>
      <w:r w:rsidR="00F931E8" w:rsidRPr="00CF2DF8">
        <w:rPr>
          <w:rFonts w:ascii="Garamond" w:hAnsi="Garamond" w:cs="Times New Roman"/>
          <w:sz w:val="24"/>
          <w:szCs w:val="24"/>
          <w:lang w:val="sq-AL"/>
        </w:rPr>
        <w:t xml:space="preserve"> dhe 13 të Marrëveshjes së GFCM-së, rekomandimin e mëposhtëm:</w:t>
      </w:r>
    </w:p>
    <w:p w14:paraId="2D9D1591" w14:textId="59C3BF44"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 xml:space="preserve">1. Në përputhje me paragrafët 17 dhe 18, të </w:t>
      </w:r>
      <w:r w:rsidR="00504260">
        <w:rPr>
          <w:rFonts w:ascii="Garamond" w:hAnsi="Garamond" w:cs="Times New Roman"/>
          <w:sz w:val="24"/>
          <w:szCs w:val="24"/>
          <w:lang w:val="sq-AL"/>
        </w:rPr>
        <w:t>r</w:t>
      </w:r>
      <w:r w:rsidRPr="00CF2DF8">
        <w:rPr>
          <w:rFonts w:ascii="Garamond" w:hAnsi="Garamond" w:cs="Times New Roman"/>
          <w:sz w:val="24"/>
          <w:szCs w:val="24"/>
          <w:lang w:val="sq-AL"/>
        </w:rPr>
        <w:t>ekomandimit GFCM/44/2021/20, plani afatgjatë i menaxhimit do të fillojë më 1 janar 2025 dhe do të përfundojë më 31 dhjetor 2029. Në përputhje me këtë, paragrafi 55 i atij rekomandimi do të ndryshohet për të pasqyruar se kohëzgjatja e planit është tetë vjet.</w:t>
      </w:r>
    </w:p>
    <w:p w14:paraId="7E511824" w14:textId="2757A0AA"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 xml:space="preserve">2. Rregullat e Kontrollit të Zënieve (HCRs), në përputhje me kërkesat e </w:t>
      </w:r>
      <w:r w:rsidR="00320398">
        <w:rPr>
          <w:rFonts w:ascii="Garamond" w:hAnsi="Garamond" w:cs="Times New Roman"/>
          <w:sz w:val="24"/>
          <w:szCs w:val="24"/>
          <w:lang w:val="sq-AL"/>
        </w:rPr>
        <w:t>p</w:t>
      </w:r>
      <w:r w:rsidRPr="00CF2DF8">
        <w:rPr>
          <w:rFonts w:ascii="Garamond" w:hAnsi="Garamond" w:cs="Times New Roman"/>
          <w:sz w:val="24"/>
          <w:szCs w:val="24"/>
          <w:lang w:val="sq-AL"/>
        </w:rPr>
        <w:t xml:space="preserve">aragrafit 18, të </w:t>
      </w:r>
      <w:r w:rsidR="00320398">
        <w:rPr>
          <w:rFonts w:ascii="Garamond" w:hAnsi="Garamond" w:cs="Times New Roman"/>
          <w:sz w:val="24"/>
          <w:szCs w:val="24"/>
          <w:lang w:val="sq-AL"/>
        </w:rPr>
        <w:t>r</w:t>
      </w:r>
      <w:r w:rsidRPr="00CF2DF8">
        <w:rPr>
          <w:rFonts w:ascii="Garamond" w:hAnsi="Garamond" w:cs="Times New Roman"/>
          <w:sz w:val="24"/>
          <w:szCs w:val="24"/>
          <w:lang w:val="sq-AL"/>
        </w:rPr>
        <w:t xml:space="preserve">ekomandimit GFCM/44/2021/20 dhe të miratuara nga SAC, për menaxhimin e sardeles dhe açuges në detin Adriatik janë: </w:t>
      </w:r>
    </w:p>
    <w:p w14:paraId="08180D53" w14:textId="0D9DCB1E"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 xml:space="preserve">a) për sardelen, rregulla e kontrollit të zënieve (HCR) është e parametruar me Btr1 në Blim, Btr2 në </w:t>
      </w:r>
      <w:r w:rsidR="00BC6F97">
        <w:rPr>
          <w:rFonts w:ascii="Garamond" w:hAnsi="Garamond" w:cs="Times New Roman"/>
          <w:sz w:val="24"/>
          <w:szCs w:val="24"/>
          <w:lang w:val="sq-AL"/>
        </w:rPr>
        <w:t>B</w:t>
      </w:r>
      <w:r w:rsidR="00BC6F97" w:rsidRPr="004478D1">
        <w:rPr>
          <w:rFonts w:ascii="Garamond" w:hAnsi="Garamond" w:cs="Times New Roman"/>
          <w:sz w:val="24"/>
          <w:szCs w:val="24"/>
          <w:vertAlign w:val="subscript"/>
          <w:lang w:val="sq-AL"/>
        </w:rPr>
        <w:t>PA</w:t>
      </w:r>
      <w:r w:rsidRPr="00CF2DF8">
        <w:rPr>
          <w:rFonts w:ascii="Garamond" w:hAnsi="Garamond" w:cs="Times New Roman"/>
          <w:sz w:val="24"/>
          <w:szCs w:val="24"/>
          <w:lang w:val="sq-AL"/>
        </w:rPr>
        <w:t xml:space="preserve"> dhe Btrig3 = 1.1 BMSY, ndërsa Cmin është vendosur në 20 000 ton</w:t>
      </w:r>
      <w:r w:rsidR="003616BD">
        <w:rPr>
          <w:rFonts w:ascii="Garamond" w:hAnsi="Garamond" w:cs="Times New Roman"/>
          <w:sz w:val="24"/>
          <w:szCs w:val="24"/>
          <w:lang w:val="sq-AL"/>
        </w:rPr>
        <w:t>ë</w:t>
      </w:r>
      <w:r w:rsidRPr="00CF2DF8">
        <w:rPr>
          <w:rFonts w:ascii="Garamond" w:hAnsi="Garamond" w:cs="Times New Roman"/>
          <w:sz w:val="24"/>
          <w:szCs w:val="24"/>
          <w:lang w:val="sq-AL"/>
        </w:rPr>
        <w:t xml:space="preserve"> dhe Cmax në 50 000 ton</w:t>
      </w:r>
      <w:r w:rsidR="00504260">
        <w:rPr>
          <w:rFonts w:ascii="Garamond" w:hAnsi="Garamond" w:cs="Times New Roman"/>
          <w:sz w:val="24"/>
          <w:szCs w:val="24"/>
          <w:lang w:val="sq-AL"/>
        </w:rPr>
        <w:t>ë;</w:t>
      </w:r>
      <w:r w:rsidRPr="00CF2DF8">
        <w:rPr>
          <w:rFonts w:ascii="Garamond" w:hAnsi="Garamond" w:cs="Times New Roman"/>
          <w:sz w:val="24"/>
          <w:szCs w:val="24"/>
          <w:lang w:val="sq-AL"/>
        </w:rPr>
        <w:t xml:space="preserve"> dhe</w:t>
      </w:r>
    </w:p>
    <w:p w14:paraId="1DC3E087" w14:textId="547973D5"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b) për açugen, rregulla e kontrollit të zënieve (HCR) është e parametruar me Btr1 në Blim (16 200 ton</w:t>
      </w:r>
      <w:r w:rsidR="00D00ED8">
        <w:rPr>
          <w:rFonts w:ascii="Garamond" w:hAnsi="Garamond" w:cs="Times New Roman"/>
          <w:sz w:val="24"/>
          <w:szCs w:val="24"/>
          <w:lang w:val="sq-AL"/>
        </w:rPr>
        <w:t>ë</w:t>
      </w:r>
      <w:r w:rsidRPr="00CF2DF8">
        <w:rPr>
          <w:rFonts w:ascii="Garamond" w:hAnsi="Garamond" w:cs="Times New Roman"/>
          <w:sz w:val="24"/>
          <w:szCs w:val="24"/>
          <w:lang w:val="sq-AL"/>
        </w:rPr>
        <w:t xml:space="preserve">), Btr2 në </w:t>
      </w:r>
      <w:r w:rsidR="00BC6F97">
        <w:rPr>
          <w:rFonts w:ascii="Garamond" w:hAnsi="Garamond" w:cs="Times New Roman"/>
          <w:sz w:val="24"/>
          <w:szCs w:val="24"/>
          <w:lang w:val="sq-AL"/>
        </w:rPr>
        <w:t>B</w:t>
      </w:r>
      <w:r w:rsidR="00BC6F97" w:rsidRPr="004478D1">
        <w:rPr>
          <w:rFonts w:ascii="Garamond" w:hAnsi="Garamond" w:cs="Times New Roman"/>
          <w:sz w:val="24"/>
          <w:szCs w:val="24"/>
          <w:vertAlign w:val="subscript"/>
          <w:lang w:val="sq-AL"/>
        </w:rPr>
        <w:t>PA</w:t>
      </w:r>
      <w:r w:rsidRPr="00CF2DF8">
        <w:rPr>
          <w:rFonts w:ascii="Garamond" w:hAnsi="Garamond" w:cs="Times New Roman"/>
          <w:sz w:val="24"/>
          <w:szCs w:val="24"/>
          <w:lang w:val="sq-AL"/>
        </w:rPr>
        <w:t xml:space="preserve"> (21 400 ton</w:t>
      </w:r>
      <w:r w:rsidR="00BC6F97">
        <w:rPr>
          <w:rFonts w:ascii="Garamond" w:hAnsi="Garamond" w:cs="Times New Roman"/>
          <w:sz w:val="24"/>
          <w:szCs w:val="24"/>
          <w:lang w:val="sq-AL"/>
        </w:rPr>
        <w:t>ë</w:t>
      </w:r>
      <w:r w:rsidRPr="00CF2DF8">
        <w:rPr>
          <w:rFonts w:ascii="Garamond" w:hAnsi="Garamond" w:cs="Times New Roman"/>
          <w:sz w:val="24"/>
          <w:szCs w:val="24"/>
          <w:lang w:val="sq-AL"/>
        </w:rPr>
        <w:t>) dhe Btr3 në 46 400 ton</w:t>
      </w:r>
      <w:r w:rsidR="003616BD">
        <w:rPr>
          <w:rFonts w:ascii="Garamond" w:hAnsi="Garamond" w:cs="Times New Roman"/>
          <w:sz w:val="24"/>
          <w:szCs w:val="24"/>
          <w:lang w:val="sq-AL"/>
        </w:rPr>
        <w:t>ë</w:t>
      </w:r>
      <w:r w:rsidRPr="00CF2DF8">
        <w:rPr>
          <w:rFonts w:ascii="Garamond" w:hAnsi="Garamond" w:cs="Times New Roman"/>
          <w:sz w:val="24"/>
          <w:szCs w:val="24"/>
          <w:lang w:val="sq-AL"/>
        </w:rPr>
        <w:t>, ndërsa Cmin është vendosur në 15 000 ton</w:t>
      </w:r>
      <w:r w:rsidR="00D00ED8">
        <w:rPr>
          <w:rFonts w:ascii="Garamond" w:hAnsi="Garamond" w:cs="Times New Roman"/>
          <w:sz w:val="24"/>
          <w:szCs w:val="24"/>
          <w:lang w:val="sq-AL"/>
        </w:rPr>
        <w:t>ë</w:t>
      </w:r>
      <w:r w:rsidRPr="00CF2DF8">
        <w:rPr>
          <w:rFonts w:ascii="Garamond" w:hAnsi="Garamond" w:cs="Times New Roman"/>
          <w:sz w:val="24"/>
          <w:szCs w:val="24"/>
          <w:lang w:val="sq-AL"/>
        </w:rPr>
        <w:t xml:space="preserve"> dhe Cmax në 35 000 ton</w:t>
      </w:r>
      <w:r w:rsidR="00BC6F97">
        <w:rPr>
          <w:rFonts w:ascii="Garamond" w:hAnsi="Garamond" w:cs="Times New Roman"/>
          <w:sz w:val="24"/>
          <w:szCs w:val="24"/>
          <w:lang w:val="sq-AL"/>
        </w:rPr>
        <w:t>ë</w:t>
      </w:r>
      <w:r w:rsidRPr="00CF2DF8">
        <w:rPr>
          <w:rFonts w:ascii="Garamond" w:hAnsi="Garamond" w:cs="Times New Roman"/>
          <w:sz w:val="24"/>
          <w:szCs w:val="24"/>
          <w:lang w:val="sq-AL"/>
        </w:rPr>
        <w:t>.</w:t>
      </w:r>
    </w:p>
    <w:p w14:paraId="7E89576F" w14:textId="3969F28D"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3. Rregullat e Kontrollit të Zënieve (HCRs) në paragrafin 2 të këtij rekomandimi do të shërbejnë si bazë për përcaktimin e kufijve vjetorë të zënieve për secilën specie.</w:t>
      </w:r>
    </w:p>
    <w:p w14:paraId="75EC2698" w14:textId="67914164"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lastRenderedPageBreak/>
        <w:t xml:space="preserve">4. Në përputhje me paragrafin 17 të </w:t>
      </w:r>
      <w:r w:rsidR="00B23768">
        <w:rPr>
          <w:rFonts w:ascii="Garamond" w:hAnsi="Garamond" w:cs="Times New Roman"/>
          <w:sz w:val="24"/>
          <w:szCs w:val="24"/>
          <w:lang w:val="sq-AL"/>
        </w:rPr>
        <w:t>r</w:t>
      </w:r>
      <w:r w:rsidRPr="00CF2DF8">
        <w:rPr>
          <w:rFonts w:ascii="Garamond" w:hAnsi="Garamond" w:cs="Times New Roman"/>
          <w:sz w:val="24"/>
          <w:szCs w:val="24"/>
          <w:lang w:val="sq-AL"/>
        </w:rPr>
        <w:t>ekomandimit GFCM/44/2021/20, mbi bazën e zbatimit të rregullave të kontrollit të zënieve (HCRs) të përmendura në paragrafin 2 dhe të këshillës së SAC, GFCM-ja do të miratojë kufij të veçantë zëniesh, sipas palës kontraktuese dhe palës bashkëpunuese jokontraktuese, për sardelen dhe açuges për vitin 2025. Në bazë të këtij paragrafi, kufijtë e zënieve për vitin 2025 janë përcaktuar në aneksin e këtij rekomandimi.</w:t>
      </w:r>
    </w:p>
    <w:p w14:paraId="7F919D5C" w14:textId="4571E571" w:rsidR="00F931E8" w:rsidRPr="00CF2DF8" w:rsidRDefault="00F931E8" w:rsidP="00F931E8">
      <w:pPr>
        <w:autoSpaceDE w:val="0"/>
        <w:autoSpaceDN w:val="0"/>
        <w:adjustRightInd w:val="0"/>
        <w:spacing w:after="0" w:line="240" w:lineRule="auto"/>
        <w:ind w:firstLine="284"/>
        <w:jc w:val="both"/>
        <w:rPr>
          <w:rFonts w:ascii="Garamond" w:hAnsi="Garamond" w:cs="Times New Roman"/>
          <w:sz w:val="24"/>
          <w:szCs w:val="24"/>
          <w:lang w:val="sq-AL"/>
        </w:rPr>
      </w:pPr>
      <w:r w:rsidRPr="00CF2DF8">
        <w:rPr>
          <w:rFonts w:ascii="Garamond" w:hAnsi="Garamond" w:cs="Times New Roman"/>
          <w:sz w:val="24"/>
          <w:szCs w:val="24"/>
          <w:lang w:val="sq-AL"/>
        </w:rPr>
        <w:t>5. Kufizimet në hapësirë dhe në kohë të përmendura në paragrafët 23</w:t>
      </w:r>
      <w:r w:rsidR="00B23768">
        <w:rPr>
          <w:rFonts w:ascii="Garamond" w:hAnsi="Garamond" w:cs="Times New Roman"/>
          <w:sz w:val="24"/>
          <w:szCs w:val="24"/>
          <w:lang w:val="sq-AL"/>
        </w:rPr>
        <w:t>–</w:t>
      </w:r>
      <w:r w:rsidRPr="00CF2DF8">
        <w:rPr>
          <w:rFonts w:ascii="Garamond" w:hAnsi="Garamond" w:cs="Times New Roman"/>
          <w:sz w:val="24"/>
          <w:szCs w:val="24"/>
          <w:lang w:val="sq-AL"/>
        </w:rPr>
        <w:t>26</w:t>
      </w:r>
      <w:r w:rsidR="00B23768">
        <w:rPr>
          <w:rFonts w:ascii="Garamond" w:hAnsi="Garamond" w:cs="Times New Roman"/>
          <w:sz w:val="24"/>
          <w:szCs w:val="24"/>
          <w:lang w:val="sq-AL"/>
        </w:rPr>
        <w:t xml:space="preserve"> </w:t>
      </w:r>
      <w:r w:rsidRPr="00CF2DF8">
        <w:rPr>
          <w:rFonts w:ascii="Garamond" w:hAnsi="Garamond" w:cs="Times New Roman"/>
          <w:sz w:val="24"/>
          <w:szCs w:val="24"/>
          <w:lang w:val="sq-AL"/>
        </w:rPr>
        <w:t>(</w:t>
      </w:r>
      <w:r w:rsidR="00B23768">
        <w:rPr>
          <w:rFonts w:ascii="Garamond" w:hAnsi="Garamond" w:cs="Times New Roman"/>
          <w:sz w:val="24"/>
          <w:szCs w:val="24"/>
          <w:lang w:val="sq-AL"/>
        </w:rPr>
        <w:t>p</w:t>
      </w:r>
      <w:r w:rsidRPr="00CF2DF8">
        <w:rPr>
          <w:rFonts w:ascii="Garamond" w:hAnsi="Garamond" w:cs="Times New Roman"/>
          <w:sz w:val="24"/>
          <w:szCs w:val="24"/>
          <w:lang w:val="sq-AL"/>
        </w:rPr>
        <w:t xml:space="preserve">jesa IV, “Mbi masat teknike”) të </w:t>
      </w:r>
      <w:r w:rsidR="00504260">
        <w:rPr>
          <w:rFonts w:ascii="Garamond" w:hAnsi="Garamond" w:cs="Times New Roman"/>
          <w:sz w:val="24"/>
          <w:szCs w:val="24"/>
          <w:lang w:val="sq-AL"/>
        </w:rPr>
        <w:t>r</w:t>
      </w:r>
      <w:r w:rsidRPr="00CF2DF8">
        <w:rPr>
          <w:rFonts w:ascii="Garamond" w:hAnsi="Garamond" w:cs="Times New Roman"/>
          <w:sz w:val="24"/>
          <w:szCs w:val="24"/>
          <w:lang w:val="sq-AL"/>
        </w:rPr>
        <w:t>ekomandimit GFCM/44/2021/20 do të zgjaten për një vit. SAC, në sesionin e tij të njëzet e gjashtë në vitin 2025, do të vlerësojë masat e përmendura në paragrafët 21 dhe 23</w:t>
      </w:r>
      <w:r w:rsidR="00504260">
        <w:rPr>
          <w:rFonts w:ascii="Garamond" w:hAnsi="Garamond" w:cs="Times New Roman"/>
          <w:sz w:val="24"/>
          <w:szCs w:val="24"/>
          <w:lang w:val="sq-AL"/>
        </w:rPr>
        <w:t>–</w:t>
      </w:r>
      <w:r w:rsidRPr="00CF2DF8">
        <w:rPr>
          <w:rFonts w:ascii="Garamond" w:hAnsi="Garamond" w:cs="Times New Roman"/>
          <w:sz w:val="24"/>
          <w:szCs w:val="24"/>
          <w:lang w:val="sq-AL"/>
        </w:rPr>
        <w:t xml:space="preserve">26 të </w:t>
      </w:r>
      <w:r w:rsidR="00504260">
        <w:rPr>
          <w:rFonts w:ascii="Garamond" w:hAnsi="Garamond" w:cs="Times New Roman"/>
          <w:sz w:val="24"/>
          <w:szCs w:val="24"/>
          <w:lang w:val="sq-AL"/>
        </w:rPr>
        <w:t>r</w:t>
      </w:r>
      <w:r w:rsidRPr="00CF2DF8">
        <w:rPr>
          <w:rFonts w:ascii="Garamond" w:hAnsi="Garamond" w:cs="Times New Roman"/>
          <w:sz w:val="24"/>
          <w:szCs w:val="24"/>
          <w:lang w:val="sq-AL"/>
        </w:rPr>
        <w:t xml:space="preserve">ekomandimit GFCM/44/2021/20 dhe në paragrafin 3 të </w:t>
      </w:r>
      <w:r w:rsidR="000A661D">
        <w:rPr>
          <w:rFonts w:ascii="Garamond" w:hAnsi="Garamond" w:cs="Times New Roman"/>
          <w:sz w:val="24"/>
          <w:szCs w:val="24"/>
          <w:lang w:val="sq-AL"/>
        </w:rPr>
        <w:t>r</w:t>
      </w:r>
      <w:r w:rsidRPr="00CF2DF8">
        <w:rPr>
          <w:rFonts w:ascii="Garamond" w:hAnsi="Garamond" w:cs="Times New Roman"/>
          <w:sz w:val="24"/>
          <w:szCs w:val="24"/>
          <w:lang w:val="sq-AL"/>
        </w:rPr>
        <w:t xml:space="preserve">ekomandimit GFCM/38/2014/1 mbi masat paraprake dhe emergjente për vitin 2015 për rezervat e pelagjikëve të vegjël në nënzonën gjeografike 1, duke ndryshuar </w:t>
      </w:r>
      <w:r w:rsidR="00320398">
        <w:rPr>
          <w:rFonts w:ascii="Garamond" w:hAnsi="Garamond" w:cs="Times New Roman"/>
          <w:sz w:val="24"/>
          <w:szCs w:val="24"/>
          <w:lang w:val="sq-AL"/>
        </w:rPr>
        <w:t>r</w:t>
      </w:r>
      <w:r w:rsidRPr="00CF2DF8">
        <w:rPr>
          <w:rFonts w:ascii="Garamond" w:hAnsi="Garamond" w:cs="Times New Roman"/>
          <w:sz w:val="24"/>
          <w:szCs w:val="24"/>
          <w:lang w:val="sq-AL"/>
        </w:rPr>
        <w:t>ekomandimin GFCM/37/2013/1, dhe do të japë këshilla mbi masa alternative dhe/ose shtesë ndaj atyre të përfshira në këtë paragraf, si dhe për një mekanizëm të mundshëm të menaxhimit të kuotave që do të zbatohet nga viti 2026.</w:t>
      </w:r>
    </w:p>
    <w:p w14:paraId="7A21B450" w14:textId="77777777" w:rsidR="009863F0" w:rsidRPr="00CF2DF8" w:rsidRDefault="009863F0" w:rsidP="00F931E8">
      <w:pPr>
        <w:spacing w:after="0" w:line="240" w:lineRule="auto"/>
        <w:ind w:firstLine="284"/>
        <w:jc w:val="right"/>
        <w:rPr>
          <w:rFonts w:ascii="Garamond" w:hAnsi="Garamond" w:cs="Times New Roman"/>
          <w:b/>
          <w:bCs/>
          <w:color w:val="000000" w:themeColor="text1"/>
          <w:sz w:val="24"/>
          <w:szCs w:val="24"/>
          <w:lang w:val="sq-AL"/>
        </w:rPr>
      </w:pPr>
    </w:p>
    <w:p w14:paraId="48A47775" w14:textId="516EFF53" w:rsidR="004B6503" w:rsidRPr="00320398" w:rsidRDefault="00320398" w:rsidP="00320398">
      <w:pPr>
        <w:spacing w:after="0" w:line="240" w:lineRule="auto"/>
        <w:ind w:firstLine="284"/>
        <w:jc w:val="center"/>
        <w:rPr>
          <w:rFonts w:ascii="Garamond" w:hAnsi="Garamond" w:cs="Times New Roman"/>
          <w:bCs/>
          <w:color w:val="000000" w:themeColor="text1"/>
          <w:sz w:val="24"/>
          <w:szCs w:val="24"/>
          <w:lang w:val="sq-AL"/>
        </w:rPr>
      </w:pPr>
      <w:r w:rsidRPr="00320398">
        <w:rPr>
          <w:rFonts w:ascii="Garamond" w:hAnsi="Garamond" w:cs="Times New Roman"/>
          <w:bCs/>
          <w:color w:val="000000" w:themeColor="text1"/>
          <w:sz w:val="24"/>
          <w:szCs w:val="24"/>
          <w:lang w:val="sq-AL"/>
        </w:rPr>
        <w:t xml:space="preserve">SHTOJCA 1 </w:t>
      </w:r>
    </w:p>
    <w:p w14:paraId="29CDFFC6" w14:textId="77777777" w:rsidR="00C919B0" w:rsidRDefault="000A661D" w:rsidP="001D3390">
      <w:pPr>
        <w:spacing w:after="0" w:line="240" w:lineRule="auto"/>
        <w:jc w:val="center"/>
        <w:rPr>
          <w:rFonts w:ascii="Garamond" w:eastAsia="Times New Roman" w:hAnsi="Garamond" w:cs="Times New Roman"/>
          <w:bCs/>
          <w:i/>
          <w:color w:val="000000" w:themeColor="text1"/>
          <w:sz w:val="20"/>
          <w:szCs w:val="20"/>
          <w:lang w:val="sq-AL" w:eastAsia="en-GB"/>
        </w:rPr>
      </w:pPr>
      <w:r w:rsidRPr="005F1E81">
        <w:rPr>
          <w:rFonts w:ascii="Garamond" w:eastAsia="Times New Roman" w:hAnsi="Garamond" w:cs="Times New Roman"/>
          <w:bCs/>
          <w:i/>
          <w:color w:val="000000" w:themeColor="text1"/>
          <w:sz w:val="20"/>
          <w:szCs w:val="20"/>
          <w:lang w:val="sq-AL" w:eastAsia="en-GB"/>
        </w:rPr>
        <w:t>Tabela e mundësive të peshkimit për vitin 2025</w:t>
      </w:r>
      <w:r w:rsidR="001D3390">
        <w:rPr>
          <w:rFonts w:ascii="Garamond" w:eastAsia="Times New Roman" w:hAnsi="Garamond" w:cs="Times New Roman"/>
          <w:bCs/>
          <w:i/>
          <w:color w:val="000000" w:themeColor="text1"/>
          <w:sz w:val="20"/>
          <w:szCs w:val="20"/>
          <w:lang w:val="sq-AL" w:eastAsia="en-GB"/>
        </w:rPr>
        <w:t>,</w:t>
      </w:r>
      <w:r w:rsidRPr="005F1E81">
        <w:rPr>
          <w:rFonts w:ascii="Garamond" w:eastAsia="Times New Roman" w:hAnsi="Garamond" w:cs="Times New Roman"/>
          <w:bCs/>
          <w:i/>
          <w:color w:val="000000" w:themeColor="text1"/>
          <w:sz w:val="20"/>
          <w:szCs w:val="20"/>
          <w:lang w:val="sq-AL" w:eastAsia="en-GB"/>
        </w:rPr>
        <w:t xml:space="preserve"> sipas palëve kontraktuese për sardelen dhe açugen në detin Adriatik </w:t>
      </w:r>
    </w:p>
    <w:p w14:paraId="6A54D2EA" w14:textId="1A82DFBC" w:rsidR="009863F0" w:rsidRPr="005F1E81" w:rsidRDefault="000A661D" w:rsidP="001D3390">
      <w:pPr>
        <w:spacing w:after="0" w:line="240" w:lineRule="auto"/>
        <w:jc w:val="center"/>
        <w:rPr>
          <w:rFonts w:ascii="Garamond" w:eastAsia="Times New Roman" w:hAnsi="Garamond" w:cs="Times New Roman"/>
          <w:b/>
          <w:bCs/>
          <w:i/>
          <w:color w:val="000000" w:themeColor="text1"/>
          <w:sz w:val="20"/>
          <w:szCs w:val="20"/>
          <w:lang w:val="sq-AL" w:eastAsia="en-GB"/>
        </w:rPr>
      </w:pPr>
      <w:r w:rsidRPr="005F1E81">
        <w:rPr>
          <w:rFonts w:ascii="Garamond" w:eastAsia="Times New Roman" w:hAnsi="Garamond" w:cs="Times New Roman"/>
          <w:bCs/>
          <w:i/>
          <w:color w:val="000000" w:themeColor="text1"/>
          <w:sz w:val="20"/>
          <w:szCs w:val="20"/>
          <w:lang w:val="sq-AL" w:eastAsia="en-GB"/>
        </w:rPr>
        <w:t>(nënzonat gjeografike 17–18)</w:t>
      </w:r>
    </w:p>
    <w:tbl>
      <w:tblPr>
        <w:tblStyle w:val="TableGrid"/>
        <w:tblW w:w="9442" w:type="dxa"/>
        <w:tblLook w:val="04A0" w:firstRow="1" w:lastRow="0" w:firstColumn="1" w:lastColumn="0" w:noHBand="0" w:noVBand="1"/>
      </w:tblPr>
      <w:tblGrid>
        <w:gridCol w:w="1838"/>
        <w:gridCol w:w="2882"/>
        <w:gridCol w:w="2361"/>
        <w:gridCol w:w="2361"/>
      </w:tblGrid>
      <w:tr w:rsidR="00471737" w:rsidRPr="005F1E81" w14:paraId="142120CF" w14:textId="77777777" w:rsidTr="005F1E81">
        <w:trPr>
          <w:trHeight w:val="20"/>
        </w:trPr>
        <w:tc>
          <w:tcPr>
            <w:tcW w:w="1838" w:type="dxa"/>
            <w:vAlign w:val="center"/>
          </w:tcPr>
          <w:p w14:paraId="3472B8BD" w14:textId="6958F97F"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eastAsia="Times New Roman" w:hAnsi="Garamond" w:cs="Times New Roman"/>
                <w:b/>
                <w:bCs/>
                <w:color w:val="000000" w:themeColor="text1"/>
                <w:sz w:val="20"/>
                <w:szCs w:val="20"/>
                <w:lang w:eastAsia="en-GB"/>
              </w:rPr>
              <w:t>Specie</w:t>
            </w:r>
            <w:r w:rsidR="009863F0" w:rsidRPr="005F1E81">
              <w:rPr>
                <w:rFonts w:ascii="Garamond" w:eastAsia="Times New Roman" w:hAnsi="Garamond" w:cs="Times New Roman"/>
                <w:b/>
                <w:bCs/>
                <w:color w:val="000000" w:themeColor="text1"/>
                <w:sz w:val="20"/>
                <w:szCs w:val="20"/>
                <w:lang w:eastAsia="en-GB"/>
              </w:rPr>
              <w:t>t</w:t>
            </w:r>
          </w:p>
        </w:tc>
        <w:tc>
          <w:tcPr>
            <w:tcW w:w="2882" w:type="dxa"/>
            <w:vAlign w:val="center"/>
          </w:tcPr>
          <w:p w14:paraId="3025F8E3" w14:textId="35A486B9" w:rsidR="004B6503" w:rsidRPr="005F1E81" w:rsidRDefault="00630037" w:rsidP="00F931E8">
            <w:pPr>
              <w:jc w:val="center"/>
              <w:rPr>
                <w:rFonts w:ascii="Garamond" w:hAnsi="Garamond" w:cs="Times New Roman"/>
                <w:b/>
                <w:color w:val="000000" w:themeColor="text1"/>
                <w:sz w:val="20"/>
                <w:szCs w:val="20"/>
              </w:rPr>
            </w:pPr>
            <w:r w:rsidRPr="005F1E81">
              <w:rPr>
                <w:rFonts w:ascii="Garamond" w:hAnsi="Garamond" w:cs="Times New Roman"/>
                <w:b/>
                <w:color w:val="000000" w:themeColor="text1"/>
                <w:sz w:val="20"/>
                <w:szCs w:val="20"/>
              </w:rPr>
              <w:t>Bashkimi Ev</w:t>
            </w:r>
            <w:r w:rsidR="009863F0" w:rsidRPr="005F1E81">
              <w:rPr>
                <w:rFonts w:ascii="Garamond" w:hAnsi="Garamond" w:cs="Times New Roman"/>
                <w:b/>
                <w:color w:val="000000" w:themeColor="text1"/>
                <w:sz w:val="20"/>
                <w:szCs w:val="20"/>
              </w:rPr>
              <w:t>ropian</w:t>
            </w:r>
            <w:r w:rsidR="004B6503" w:rsidRPr="005F1E81">
              <w:rPr>
                <w:rFonts w:ascii="Garamond" w:hAnsi="Garamond" w:cs="Times New Roman"/>
                <w:b/>
                <w:color w:val="000000" w:themeColor="text1"/>
                <w:sz w:val="20"/>
                <w:szCs w:val="20"/>
              </w:rPr>
              <w:t xml:space="preserve"> 2025</w:t>
            </w:r>
          </w:p>
          <w:p w14:paraId="3BC9E838" w14:textId="1F68C764" w:rsidR="004B6503" w:rsidRPr="005F1E81" w:rsidRDefault="004B6503" w:rsidP="00F931E8">
            <w:pPr>
              <w:jc w:val="center"/>
              <w:rPr>
                <w:rFonts w:ascii="Garamond" w:hAnsi="Garamond" w:cs="Times New Roman"/>
                <w:b/>
                <w:color w:val="000000" w:themeColor="text1"/>
                <w:sz w:val="20"/>
                <w:szCs w:val="20"/>
              </w:rPr>
            </w:pPr>
            <w:r w:rsidRPr="005F1E81">
              <w:rPr>
                <w:rFonts w:ascii="Garamond" w:hAnsi="Garamond" w:cs="Times New Roman"/>
                <w:b/>
                <w:color w:val="000000" w:themeColor="text1"/>
                <w:sz w:val="20"/>
                <w:szCs w:val="20"/>
              </w:rPr>
              <w:t>(ton)</w:t>
            </w:r>
          </w:p>
        </w:tc>
        <w:tc>
          <w:tcPr>
            <w:tcW w:w="2361" w:type="dxa"/>
            <w:vAlign w:val="center"/>
          </w:tcPr>
          <w:p w14:paraId="4BDE7852" w14:textId="4E754EFE" w:rsidR="004B6503" w:rsidRPr="005F1E81" w:rsidRDefault="009863F0" w:rsidP="00F931E8">
            <w:pPr>
              <w:jc w:val="center"/>
              <w:rPr>
                <w:rFonts w:ascii="Garamond" w:hAnsi="Garamond" w:cs="Times New Roman"/>
                <w:b/>
                <w:color w:val="000000" w:themeColor="text1"/>
                <w:sz w:val="20"/>
                <w:szCs w:val="20"/>
              </w:rPr>
            </w:pPr>
            <w:r w:rsidRPr="005F1E81">
              <w:rPr>
                <w:rFonts w:ascii="Garamond" w:hAnsi="Garamond" w:cs="Times New Roman"/>
                <w:b/>
                <w:color w:val="000000" w:themeColor="text1"/>
                <w:sz w:val="20"/>
                <w:szCs w:val="20"/>
              </w:rPr>
              <w:t>Shqipëria</w:t>
            </w:r>
            <w:r w:rsidR="004B6503" w:rsidRPr="005F1E81">
              <w:rPr>
                <w:rFonts w:ascii="Garamond" w:hAnsi="Garamond" w:cs="Times New Roman"/>
                <w:b/>
                <w:color w:val="000000" w:themeColor="text1"/>
                <w:sz w:val="20"/>
                <w:szCs w:val="20"/>
              </w:rPr>
              <w:t xml:space="preserve"> 2025</w:t>
            </w:r>
          </w:p>
          <w:p w14:paraId="30BAC2AC" w14:textId="2D608D2F"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eastAsia="Times New Roman" w:hAnsi="Garamond" w:cs="Times New Roman"/>
                <w:b/>
                <w:bCs/>
                <w:color w:val="000000" w:themeColor="text1"/>
                <w:sz w:val="20"/>
                <w:szCs w:val="20"/>
                <w:lang w:eastAsia="en-GB"/>
              </w:rPr>
              <w:t>(ton)</w:t>
            </w:r>
          </w:p>
        </w:tc>
        <w:tc>
          <w:tcPr>
            <w:tcW w:w="2361" w:type="dxa"/>
            <w:vAlign w:val="center"/>
          </w:tcPr>
          <w:p w14:paraId="07CB1502" w14:textId="7A81198B" w:rsidR="004B6503" w:rsidRPr="005F1E81" w:rsidRDefault="00630037" w:rsidP="00F931E8">
            <w:pPr>
              <w:jc w:val="center"/>
              <w:rPr>
                <w:rFonts w:ascii="Garamond" w:hAnsi="Garamond" w:cs="Times New Roman"/>
                <w:b/>
                <w:color w:val="000000" w:themeColor="text1"/>
                <w:sz w:val="20"/>
                <w:szCs w:val="20"/>
              </w:rPr>
            </w:pPr>
            <w:r w:rsidRPr="005F1E81">
              <w:rPr>
                <w:rFonts w:ascii="Garamond" w:hAnsi="Garamond" w:cs="Times New Roman"/>
                <w:b/>
                <w:color w:val="000000" w:themeColor="text1"/>
                <w:sz w:val="20"/>
                <w:szCs w:val="20"/>
              </w:rPr>
              <w:t>Mali i Z</w:t>
            </w:r>
            <w:r w:rsidR="009863F0" w:rsidRPr="005F1E81">
              <w:rPr>
                <w:rFonts w:ascii="Garamond" w:hAnsi="Garamond" w:cs="Times New Roman"/>
                <w:b/>
                <w:color w:val="000000" w:themeColor="text1"/>
                <w:sz w:val="20"/>
                <w:szCs w:val="20"/>
              </w:rPr>
              <w:t>i</w:t>
            </w:r>
            <w:r w:rsidR="004B6503" w:rsidRPr="005F1E81">
              <w:rPr>
                <w:rFonts w:ascii="Garamond" w:hAnsi="Garamond" w:cs="Times New Roman"/>
                <w:b/>
                <w:color w:val="000000" w:themeColor="text1"/>
                <w:sz w:val="20"/>
                <w:szCs w:val="20"/>
              </w:rPr>
              <w:t xml:space="preserve"> 2025</w:t>
            </w:r>
          </w:p>
          <w:p w14:paraId="14F19D02" w14:textId="7FA5103A"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b/>
                <w:color w:val="000000" w:themeColor="text1"/>
                <w:sz w:val="20"/>
                <w:szCs w:val="20"/>
              </w:rPr>
              <w:t>(ton)</w:t>
            </w:r>
          </w:p>
        </w:tc>
      </w:tr>
      <w:tr w:rsidR="00471737" w:rsidRPr="005F1E81" w14:paraId="4DDFFDAC" w14:textId="77777777" w:rsidTr="005F1E81">
        <w:trPr>
          <w:trHeight w:val="20"/>
        </w:trPr>
        <w:tc>
          <w:tcPr>
            <w:tcW w:w="1838" w:type="dxa"/>
            <w:vAlign w:val="center"/>
          </w:tcPr>
          <w:p w14:paraId="55F458D3" w14:textId="5A662B9E"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color w:val="000000" w:themeColor="text1"/>
                <w:sz w:val="20"/>
                <w:szCs w:val="20"/>
              </w:rPr>
              <w:t>A</w:t>
            </w:r>
            <w:r w:rsidR="00630037" w:rsidRPr="005F1E81">
              <w:rPr>
                <w:rFonts w:ascii="Garamond" w:hAnsi="Garamond" w:cs="Times New Roman"/>
                <w:color w:val="000000" w:themeColor="text1"/>
                <w:sz w:val="20"/>
                <w:szCs w:val="20"/>
              </w:rPr>
              <w:t>ç</w:t>
            </w:r>
            <w:r w:rsidR="009863F0" w:rsidRPr="005F1E81">
              <w:rPr>
                <w:rFonts w:ascii="Garamond" w:hAnsi="Garamond" w:cs="Times New Roman"/>
                <w:color w:val="000000" w:themeColor="text1"/>
                <w:sz w:val="20"/>
                <w:szCs w:val="20"/>
              </w:rPr>
              <w:t>uge</w:t>
            </w:r>
          </w:p>
        </w:tc>
        <w:tc>
          <w:tcPr>
            <w:tcW w:w="2882" w:type="dxa"/>
            <w:vAlign w:val="center"/>
          </w:tcPr>
          <w:p w14:paraId="1A007643" w14:textId="77777777"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color w:val="000000" w:themeColor="text1"/>
                <w:sz w:val="20"/>
                <w:szCs w:val="20"/>
              </w:rPr>
              <w:t>26 453</w:t>
            </w:r>
          </w:p>
        </w:tc>
        <w:tc>
          <w:tcPr>
            <w:tcW w:w="2361" w:type="dxa"/>
            <w:vAlign w:val="center"/>
          </w:tcPr>
          <w:p w14:paraId="1EC5B97D" w14:textId="77777777"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color w:val="000000" w:themeColor="text1"/>
                <w:sz w:val="20"/>
                <w:szCs w:val="20"/>
              </w:rPr>
              <w:t>737</w:t>
            </w:r>
          </w:p>
        </w:tc>
        <w:tc>
          <w:tcPr>
            <w:tcW w:w="2361" w:type="dxa"/>
            <w:vAlign w:val="center"/>
          </w:tcPr>
          <w:p w14:paraId="2269BF63" w14:textId="77777777"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color w:val="000000" w:themeColor="text1"/>
                <w:sz w:val="20"/>
                <w:szCs w:val="20"/>
              </w:rPr>
              <w:t>176</w:t>
            </w:r>
          </w:p>
        </w:tc>
      </w:tr>
      <w:tr w:rsidR="00837B34" w:rsidRPr="005F1E81" w14:paraId="5900B1EA" w14:textId="77777777" w:rsidTr="005F1E81">
        <w:trPr>
          <w:trHeight w:val="20"/>
        </w:trPr>
        <w:tc>
          <w:tcPr>
            <w:tcW w:w="1838" w:type="dxa"/>
            <w:vAlign w:val="center"/>
          </w:tcPr>
          <w:p w14:paraId="25139EFB" w14:textId="698DE458"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color w:val="000000" w:themeColor="text1"/>
                <w:sz w:val="20"/>
                <w:szCs w:val="20"/>
              </w:rPr>
              <w:t>Sard</w:t>
            </w:r>
            <w:r w:rsidR="009863F0" w:rsidRPr="005F1E81">
              <w:rPr>
                <w:rFonts w:ascii="Garamond" w:hAnsi="Garamond" w:cs="Times New Roman"/>
                <w:color w:val="000000" w:themeColor="text1"/>
                <w:sz w:val="20"/>
                <w:szCs w:val="20"/>
              </w:rPr>
              <w:t>ele</w:t>
            </w:r>
          </w:p>
        </w:tc>
        <w:tc>
          <w:tcPr>
            <w:tcW w:w="2882" w:type="dxa"/>
            <w:vAlign w:val="center"/>
          </w:tcPr>
          <w:p w14:paraId="7CC6C172" w14:textId="77777777"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color w:val="000000" w:themeColor="text1"/>
                <w:sz w:val="20"/>
                <w:szCs w:val="20"/>
              </w:rPr>
              <w:t>45 419</w:t>
            </w:r>
          </w:p>
        </w:tc>
        <w:tc>
          <w:tcPr>
            <w:tcW w:w="2361" w:type="dxa"/>
            <w:vAlign w:val="center"/>
          </w:tcPr>
          <w:p w14:paraId="6FF83071" w14:textId="77777777"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color w:val="000000" w:themeColor="text1"/>
                <w:sz w:val="20"/>
                <w:szCs w:val="20"/>
              </w:rPr>
              <w:t>826</w:t>
            </w:r>
          </w:p>
        </w:tc>
        <w:tc>
          <w:tcPr>
            <w:tcW w:w="2361" w:type="dxa"/>
            <w:vAlign w:val="center"/>
          </w:tcPr>
          <w:p w14:paraId="1F674CF9" w14:textId="77777777" w:rsidR="004B6503" w:rsidRPr="005F1E81" w:rsidRDefault="004B6503" w:rsidP="00F931E8">
            <w:pPr>
              <w:jc w:val="center"/>
              <w:rPr>
                <w:rFonts w:ascii="Garamond" w:eastAsia="Times New Roman" w:hAnsi="Garamond" w:cs="Times New Roman"/>
                <w:b/>
                <w:bCs/>
                <w:color w:val="000000" w:themeColor="text1"/>
                <w:sz w:val="20"/>
                <w:szCs w:val="20"/>
                <w:lang w:eastAsia="en-GB"/>
              </w:rPr>
            </w:pPr>
            <w:r w:rsidRPr="005F1E81">
              <w:rPr>
                <w:rFonts w:ascii="Garamond" w:hAnsi="Garamond" w:cs="Times New Roman"/>
                <w:color w:val="000000" w:themeColor="text1"/>
                <w:sz w:val="20"/>
                <w:szCs w:val="20"/>
              </w:rPr>
              <w:t>270</w:t>
            </w:r>
          </w:p>
        </w:tc>
      </w:tr>
    </w:tbl>
    <w:p w14:paraId="524436F4" w14:textId="77777777" w:rsidR="004B6503" w:rsidRPr="005F1E81" w:rsidRDefault="004B6503" w:rsidP="00F931E8">
      <w:pPr>
        <w:pStyle w:val="Title"/>
        <w:tabs>
          <w:tab w:val="left" w:pos="9540"/>
        </w:tabs>
        <w:ind w:firstLine="284"/>
        <w:jc w:val="left"/>
        <w:outlineLvl w:val="0"/>
        <w:rPr>
          <w:rFonts w:ascii="Garamond" w:hAnsi="Garamond"/>
          <w:color w:val="000000" w:themeColor="text1"/>
          <w:sz w:val="20"/>
          <w:lang w:val="sq-AL"/>
        </w:rPr>
      </w:pPr>
    </w:p>
    <w:sectPr w:rsidR="004B6503" w:rsidRPr="005F1E81" w:rsidSect="00471737">
      <w:footerReference w:type="default" r:id="rId13"/>
      <w:pgSz w:w="11906" w:h="16838"/>
      <w:pgMar w:top="426"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C7372" w14:textId="77777777" w:rsidR="00CF2DF8" w:rsidRDefault="00CF2DF8" w:rsidP="00B1728B">
      <w:pPr>
        <w:spacing w:after="0" w:line="240" w:lineRule="auto"/>
      </w:pPr>
      <w:r>
        <w:separator/>
      </w:r>
    </w:p>
  </w:endnote>
  <w:endnote w:type="continuationSeparator" w:id="0">
    <w:p w14:paraId="1BCD2682" w14:textId="77777777" w:rsidR="00CF2DF8" w:rsidRDefault="00CF2DF8" w:rsidP="00B1728B">
      <w:pPr>
        <w:spacing w:after="0" w:line="240" w:lineRule="auto"/>
      </w:pPr>
      <w:r>
        <w:continuationSeparator/>
      </w:r>
    </w:p>
  </w:endnote>
  <w:endnote w:type="continuationNotice" w:id="1">
    <w:p w14:paraId="5F6E7B54" w14:textId="77777777" w:rsidR="00CF2DF8" w:rsidRDefault="00CF2D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9EBF9" w14:textId="77777777" w:rsidR="00CF2DF8" w:rsidRPr="0071470B" w:rsidRDefault="00CF2DF8">
    <w:pPr>
      <w:pStyle w:val="Footer"/>
      <w:jc w:val="right"/>
      <w:rPr>
        <w:lang w:val="it-IT"/>
      </w:rPr>
    </w:pPr>
  </w:p>
  <w:p w14:paraId="47772F26" w14:textId="77777777" w:rsidR="00CF2DF8" w:rsidRPr="0071470B" w:rsidRDefault="00CF2DF8">
    <w:pPr>
      <w:pStyle w:val="Footer"/>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83B539" w14:textId="77777777" w:rsidR="00CF2DF8" w:rsidRDefault="00CF2DF8" w:rsidP="00B1728B">
      <w:pPr>
        <w:spacing w:after="0" w:line="240" w:lineRule="auto"/>
      </w:pPr>
      <w:r>
        <w:separator/>
      </w:r>
    </w:p>
  </w:footnote>
  <w:footnote w:type="continuationSeparator" w:id="0">
    <w:p w14:paraId="30F766F9" w14:textId="77777777" w:rsidR="00CF2DF8" w:rsidRDefault="00CF2DF8" w:rsidP="00B1728B">
      <w:pPr>
        <w:spacing w:after="0" w:line="240" w:lineRule="auto"/>
      </w:pPr>
      <w:r>
        <w:continuationSeparator/>
      </w:r>
    </w:p>
  </w:footnote>
  <w:footnote w:type="continuationNotice" w:id="1">
    <w:p w14:paraId="20207889" w14:textId="77777777" w:rsidR="00CF2DF8" w:rsidRDefault="00CF2D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85076"/>
    <w:multiLevelType w:val="hybridMultilevel"/>
    <w:tmpl w:val="22881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495781"/>
    <w:multiLevelType w:val="hybridMultilevel"/>
    <w:tmpl w:val="75CEEA4E"/>
    <w:lvl w:ilvl="0" w:tplc="041C000F">
      <w:start w:val="1"/>
      <w:numFmt w:val="decimal"/>
      <w:lvlText w:val="%1."/>
      <w:lvlJc w:val="left"/>
      <w:pPr>
        <w:ind w:left="1004" w:hanging="360"/>
      </w:pPr>
    </w:lvl>
    <w:lvl w:ilvl="1" w:tplc="041C0019" w:tentative="1">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2" w15:restartNumberingAfterBreak="0">
    <w:nsid w:val="40F52B81"/>
    <w:multiLevelType w:val="hybridMultilevel"/>
    <w:tmpl w:val="9ED6280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7">
      <w:start w:val="1"/>
      <w:numFmt w:val="lowerLetter"/>
      <w:lvlText w:val="%3)"/>
      <w:lvlJc w:val="lef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 w15:restartNumberingAfterBreak="0">
    <w:nsid w:val="4FB767CD"/>
    <w:multiLevelType w:val="hybridMultilevel"/>
    <w:tmpl w:val="E5D47E46"/>
    <w:lvl w:ilvl="0" w:tplc="041C000F">
      <w:start w:val="1"/>
      <w:numFmt w:val="decimal"/>
      <w:lvlText w:val="%1."/>
      <w:lvlJc w:val="left"/>
      <w:pPr>
        <w:ind w:left="3060" w:hanging="360"/>
      </w:pPr>
    </w:lvl>
    <w:lvl w:ilvl="1" w:tplc="041C0019" w:tentative="1">
      <w:start w:val="1"/>
      <w:numFmt w:val="lowerLetter"/>
      <w:lvlText w:val="%2."/>
      <w:lvlJc w:val="left"/>
      <w:pPr>
        <w:ind w:left="3780" w:hanging="360"/>
      </w:pPr>
    </w:lvl>
    <w:lvl w:ilvl="2" w:tplc="041C001B" w:tentative="1">
      <w:start w:val="1"/>
      <w:numFmt w:val="lowerRoman"/>
      <w:lvlText w:val="%3."/>
      <w:lvlJc w:val="right"/>
      <w:pPr>
        <w:ind w:left="4500" w:hanging="180"/>
      </w:pPr>
    </w:lvl>
    <w:lvl w:ilvl="3" w:tplc="041C000F" w:tentative="1">
      <w:start w:val="1"/>
      <w:numFmt w:val="decimal"/>
      <w:lvlText w:val="%4."/>
      <w:lvlJc w:val="left"/>
      <w:pPr>
        <w:ind w:left="5220" w:hanging="360"/>
      </w:pPr>
    </w:lvl>
    <w:lvl w:ilvl="4" w:tplc="041C0019" w:tentative="1">
      <w:start w:val="1"/>
      <w:numFmt w:val="lowerLetter"/>
      <w:lvlText w:val="%5."/>
      <w:lvlJc w:val="left"/>
      <w:pPr>
        <w:ind w:left="5940" w:hanging="360"/>
      </w:pPr>
    </w:lvl>
    <w:lvl w:ilvl="5" w:tplc="041C001B" w:tentative="1">
      <w:start w:val="1"/>
      <w:numFmt w:val="lowerRoman"/>
      <w:lvlText w:val="%6."/>
      <w:lvlJc w:val="right"/>
      <w:pPr>
        <w:ind w:left="6660" w:hanging="180"/>
      </w:pPr>
    </w:lvl>
    <w:lvl w:ilvl="6" w:tplc="041C000F" w:tentative="1">
      <w:start w:val="1"/>
      <w:numFmt w:val="decimal"/>
      <w:lvlText w:val="%7."/>
      <w:lvlJc w:val="left"/>
      <w:pPr>
        <w:ind w:left="7380" w:hanging="360"/>
      </w:pPr>
    </w:lvl>
    <w:lvl w:ilvl="7" w:tplc="041C0019" w:tentative="1">
      <w:start w:val="1"/>
      <w:numFmt w:val="lowerLetter"/>
      <w:lvlText w:val="%8."/>
      <w:lvlJc w:val="left"/>
      <w:pPr>
        <w:ind w:left="8100" w:hanging="360"/>
      </w:pPr>
    </w:lvl>
    <w:lvl w:ilvl="8" w:tplc="041C001B" w:tentative="1">
      <w:start w:val="1"/>
      <w:numFmt w:val="lowerRoman"/>
      <w:lvlText w:val="%9."/>
      <w:lvlJc w:val="right"/>
      <w:pPr>
        <w:ind w:left="8820" w:hanging="180"/>
      </w:pPr>
    </w:lvl>
  </w:abstractNum>
  <w:abstractNum w:abstractNumId="4" w15:restartNumberingAfterBreak="0">
    <w:nsid w:val="53110618"/>
    <w:multiLevelType w:val="hybridMultilevel"/>
    <w:tmpl w:val="48380B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728CD53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404615"/>
    <w:multiLevelType w:val="hybridMultilevel"/>
    <w:tmpl w:val="B61007E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DC5782"/>
    <w:multiLevelType w:val="hybridMultilevel"/>
    <w:tmpl w:val="2F7AC088"/>
    <w:lvl w:ilvl="0" w:tplc="FFFFFFFF">
      <w:start w:val="1"/>
      <w:numFmt w:val="decimal"/>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2FF1BE5"/>
    <w:multiLevelType w:val="hybridMultilevel"/>
    <w:tmpl w:val="CD3888B2"/>
    <w:lvl w:ilvl="0" w:tplc="04090017">
      <w:start w:val="1"/>
      <w:numFmt w:val="lowerLetter"/>
      <w:lvlText w:val="%1)"/>
      <w:lvlJc w:val="left"/>
      <w:pPr>
        <w:ind w:left="955" w:hanging="360"/>
      </w:pPr>
    </w:lvl>
    <w:lvl w:ilvl="1" w:tplc="04090019" w:tentative="1">
      <w:start w:val="1"/>
      <w:numFmt w:val="lowerLetter"/>
      <w:lvlText w:val="%2."/>
      <w:lvlJc w:val="left"/>
      <w:pPr>
        <w:ind w:left="1675" w:hanging="360"/>
      </w:pPr>
    </w:lvl>
    <w:lvl w:ilvl="2" w:tplc="0409001B" w:tentative="1">
      <w:start w:val="1"/>
      <w:numFmt w:val="lowerRoman"/>
      <w:lvlText w:val="%3."/>
      <w:lvlJc w:val="right"/>
      <w:pPr>
        <w:ind w:left="2395" w:hanging="180"/>
      </w:pPr>
    </w:lvl>
    <w:lvl w:ilvl="3" w:tplc="0409000F" w:tentative="1">
      <w:start w:val="1"/>
      <w:numFmt w:val="decimal"/>
      <w:lvlText w:val="%4."/>
      <w:lvlJc w:val="left"/>
      <w:pPr>
        <w:ind w:left="3115" w:hanging="360"/>
      </w:pPr>
    </w:lvl>
    <w:lvl w:ilvl="4" w:tplc="04090019" w:tentative="1">
      <w:start w:val="1"/>
      <w:numFmt w:val="lowerLetter"/>
      <w:lvlText w:val="%5."/>
      <w:lvlJc w:val="left"/>
      <w:pPr>
        <w:ind w:left="3835" w:hanging="360"/>
      </w:pPr>
    </w:lvl>
    <w:lvl w:ilvl="5" w:tplc="0409001B" w:tentative="1">
      <w:start w:val="1"/>
      <w:numFmt w:val="lowerRoman"/>
      <w:lvlText w:val="%6."/>
      <w:lvlJc w:val="right"/>
      <w:pPr>
        <w:ind w:left="4555" w:hanging="180"/>
      </w:pPr>
    </w:lvl>
    <w:lvl w:ilvl="6" w:tplc="0409000F" w:tentative="1">
      <w:start w:val="1"/>
      <w:numFmt w:val="decimal"/>
      <w:lvlText w:val="%7."/>
      <w:lvlJc w:val="left"/>
      <w:pPr>
        <w:ind w:left="5275" w:hanging="360"/>
      </w:pPr>
    </w:lvl>
    <w:lvl w:ilvl="7" w:tplc="04090019" w:tentative="1">
      <w:start w:val="1"/>
      <w:numFmt w:val="lowerLetter"/>
      <w:lvlText w:val="%8."/>
      <w:lvlJc w:val="left"/>
      <w:pPr>
        <w:ind w:left="5995" w:hanging="360"/>
      </w:pPr>
    </w:lvl>
    <w:lvl w:ilvl="8" w:tplc="0409001B" w:tentative="1">
      <w:start w:val="1"/>
      <w:numFmt w:val="lowerRoman"/>
      <w:lvlText w:val="%9."/>
      <w:lvlJc w:val="right"/>
      <w:pPr>
        <w:ind w:left="6715" w:hanging="180"/>
      </w:pPr>
    </w:lvl>
  </w:abstractNum>
  <w:abstractNum w:abstractNumId="8" w15:restartNumberingAfterBreak="0">
    <w:nsid w:val="730435DB"/>
    <w:multiLevelType w:val="hybridMultilevel"/>
    <w:tmpl w:val="934C784C"/>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9" w15:restartNumberingAfterBreak="0">
    <w:nsid w:val="7E8E5DF3"/>
    <w:multiLevelType w:val="hybridMultilevel"/>
    <w:tmpl w:val="6CC8C2F4"/>
    <w:lvl w:ilvl="0" w:tplc="0F429414">
      <w:start w:val="1"/>
      <w:numFmt w:val="decimal"/>
      <w:lvlText w:val="%1."/>
      <w:lvlJc w:val="left"/>
      <w:pPr>
        <w:ind w:left="644" w:hanging="360"/>
      </w:pPr>
      <w:rPr>
        <w:rFonts w:hint="default"/>
        <w:color w:val="auto"/>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1"/>
  </w:num>
  <w:num w:numId="2">
    <w:abstractNumId w:val="9"/>
  </w:num>
  <w:num w:numId="3">
    <w:abstractNumId w:val="4"/>
  </w:num>
  <w:num w:numId="4">
    <w:abstractNumId w:val="6"/>
  </w:num>
  <w:num w:numId="5">
    <w:abstractNumId w:val="8"/>
  </w:num>
  <w:num w:numId="6">
    <w:abstractNumId w:val="2"/>
  </w:num>
  <w:num w:numId="7">
    <w:abstractNumId w:val="3"/>
  </w:num>
  <w:num w:numId="8">
    <w:abstractNumId w:val="0"/>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553"/>
    <w:rsid w:val="00003F8A"/>
    <w:rsid w:val="00022B92"/>
    <w:rsid w:val="00023854"/>
    <w:rsid w:val="00027534"/>
    <w:rsid w:val="00047A95"/>
    <w:rsid w:val="00055BB2"/>
    <w:rsid w:val="000818F1"/>
    <w:rsid w:val="000A2CB9"/>
    <w:rsid w:val="000A661D"/>
    <w:rsid w:val="00107979"/>
    <w:rsid w:val="001109FF"/>
    <w:rsid w:val="00114363"/>
    <w:rsid w:val="00131082"/>
    <w:rsid w:val="00141F90"/>
    <w:rsid w:val="00143340"/>
    <w:rsid w:val="001575AB"/>
    <w:rsid w:val="00157CC6"/>
    <w:rsid w:val="00184C12"/>
    <w:rsid w:val="001B7EAA"/>
    <w:rsid w:val="001D3390"/>
    <w:rsid w:val="001E5E65"/>
    <w:rsid w:val="001F676A"/>
    <w:rsid w:val="00232EFA"/>
    <w:rsid w:val="00242197"/>
    <w:rsid w:val="00265103"/>
    <w:rsid w:val="002A1AEF"/>
    <w:rsid w:val="002D7225"/>
    <w:rsid w:val="002E37D0"/>
    <w:rsid w:val="00302EFA"/>
    <w:rsid w:val="00320398"/>
    <w:rsid w:val="003368D9"/>
    <w:rsid w:val="00336FCB"/>
    <w:rsid w:val="003613EB"/>
    <w:rsid w:val="003616BD"/>
    <w:rsid w:val="00362B84"/>
    <w:rsid w:val="00363429"/>
    <w:rsid w:val="00383CFA"/>
    <w:rsid w:val="0039090B"/>
    <w:rsid w:val="00391E87"/>
    <w:rsid w:val="0039397A"/>
    <w:rsid w:val="003A0092"/>
    <w:rsid w:val="003C3B4B"/>
    <w:rsid w:val="0040057B"/>
    <w:rsid w:val="00420D7C"/>
    <w:rsid w:val="004478D1"/>
    <w:rsid w:val="00471737"/>
    <w:rsid w:val="004A5330"/>
    <w:rsid w:val="004B6503"/>
    <w:rsid w:val="004C40F2"/>
    <w:rsid w:val="004C7758"/>
    <w:rsid w:val="004D730B"/>
    <w:rsid w:val="004E321A"/>
    <w:rsid w:val="004E503B"/>
    <w:rsid w:val="00503CF2"/>
    <w:rsid w:val="00504260"/>
    <w:rsid w:val="005065F3"/>
    <w:rsid w:val="0052057E"/>
    <w:rsid w:val="00534B1F"/>
    <w:rsid w:val="00535CBF"/>
    <w:rsid w:val="00553784"/>
    <w:rsid w:val="005714BB"/>
    <w:rsid w:val="00574705"/>
    <w:rsid w:val="005855C8"/>
    <w:rsid w:val="005B5B70"/>
    <w:rsid w:val="005B6553"/>
    <w:rsid w:val="005D4FB8"/>
    <w:rsid w:val="005E6B42"/>
    <w:rsid w:val="005F1E81"/>
    <w:rsid w:val="00606D1D"/>
    <w:rsid w:val="00615480"/>
    <w:rsid w:val="00630037"/>
    <w:rsid w:val="006414EA"/>
    <w:rsid w:val="006513A2"/>
    <w:rsid w:val="00670F49"/>
    <w:rsid w:val="00671673"/>
    <w:rsid w:val="006A3C40"/>
    <w:rsid w:val="006C0CCC"/>
    <w:rsid w:val="006C375F"/>
    <w:rsid w:val="006C6521"/>
    <w:rsid w:val="006D1E00"/>
    <w:rsid w:val="00707297"/>
    <w:rsid w:val="00710DC3"/>
    <w:rsid w:val="0071470B"/>
    <w:rsid w:val="00721573"/>
    <w:rsid w:val="00744A95"/>
    <w:rsid w:val="0078254A"/>
    <w:rsid w:val="007960D5"/>
    <w:rsid w:val="007A49EC"/>
    <w:rsid w:val="007D0096"/>
    <w:rsid w:val="00804B3E"/>
    <w:rsid w:val="00825189"/>
    <w:rsid w:val="00831E61"/>
    <w:rsid w:val="008343E6"/>
    <w:rsid w:val="00837B34"/>
    <w:rsid w:val="00842484"/>
    <w:rsid w:val="00844435"/>
    <w:rsid w:val="008638E1"/>
    <w:rsid w:val="00893DB7"/>
    <w:rsid w:val="008A50B2"/>
    <w:rsid w:val="008B1E30"/>
    <w:rsid w:val="008C3A6A"/>
    <w:rsid w:val="008C40DA"/>
    <w:rsid w:val="008C5A36"/>
    <w:rsid w:val="008C60E7"/>
    <w:rsid w:val="008E1467"/>
    <w:rsid w:val="008E7303"/>
    <w:rsid w:val="00906963"/>
    <w:rsid w:val="00920D20"/>
    <w:rsid w:val="00920E47"/>
    <w:rsid w:val="00925C0C"/>
    <w:rsid w:val="00933E4E"/>
    <w:rsid w:val="00977DDC"/>
    <w:rsid w:val="00980C2D"/>
    <w:rsid w:val="009863F0"/>
    <w:rsid w:val="009876A7"/>
    <w:rsid w:val="00990131"/>
    <w:rsid w:val="009961C5"/>
    <w:rsid w:val="009B4EE5"/>
    <w:rsid w:val="009B51D0"/>
    <w:rsid w:val="009D1612"/>
    <w:rsid w:val="009D3464"/>
    <w:rsid w:val="00A00E79"/>
    <w:rsid w:val="00A62666"/>
    <w:rsid w:val="00A906F7"/>
    <w:rsid w:val="00A934D0"/>
    <w:rsid w:val="00A9798F"/>
    <w:rsid w:val="00AA4D66"/>
    <w:rsid w:val="00AB54CC"/>
    <w:rsid w:val="00AB6C28"/>
    <w:rsid w:val="00AD02DF"/>
    <w:rsid w:val="00AF6E9B"/>
    <w:rsid w:val="00B00047"/>
    <w:rsid w:val="00B00450"/>
    <w:rsid w:val="00B1728B"/>
    <w:rsid w:val="00B17E97"/>
    <w:rsid w:val="00B23768"/>
    <w:rsid w:val="00B27CE6"/>
    <w:rsid w:val="00B30B51"/>
    <w:rsid w:val="00B34009"/>
    <w:rsid w:val="00B53F92"/>
    <w:rsid w:val="00B825AD"/>
    <w:rsid w:val="00B82A50"/>
    <w:rsid w:val="00B92017"/>
    <w:rsid w:val="00B94389"/>
    <w:rsid w:val="00B94A31"/>
    <w:rsid w:val="00BA76EB"/>
    <w:rsid w:val="00BB6650"/>
    <w:rsid w:val="00BC6F97"/>
    <w:rsid w:val="00BD250B"/>
    <w:rsid w:val="00BD51B7"/>
    <w:rsid w:val="00C02D34"/>
    <w:rsid w:val="00C433BC"/>
    <w:rsid w:val="00C52C86"/>
    <w:rsid w:val="00C56669"/>
    <w:rsid w:val="00C919B0"/>
    <w:rsid w:val="00C95CD3"/>
    <w:rsid w:val="00C96B96"/>
    <w:rsid w:val="00CC576C"/>
    <w:rsid w:val="00CF11D1"/>
    <w:rsid w:val="00CF2DF8"/>
    <w:rsid w:val="00CF64B4"/>
    <w:rsid w:val="00D00ED8"/>
    <w:rsid w:val="00D056F1"/>
    <w:rsid w:val="00D13547"/>
    <w:rsid w:val="00D312A6"/>
    <w:rsid w:val="00D64957"/>
    <w:rsid w:val="00D736C3"/>
    <w:rsid w:val="00DA2128"/>
    <w:rsid w:val="00DA777B"/>
    <w:rsid w:val="00DC08DC"/>
    <w:rsid w:val="00DC244E"/>
    <w:rsid w:val="00DD0484"/>
    <w:rsid w:val="00DE2DDF"/>
    <w:rsid w:val="00DE4E1C"/>
    <w:rsid w:val="00E2273C"/>
    <w:rsid w:val="00E6276E"/>
    <w:rsid w:val="00E660F2"/>
    <w:rsid w:val="00E71EB0"/>
    <w:rsid w:val="00E8532A"/>
    <w:rsid w:val="00E904D7"/>
    <w:rsid w:val="00E925D1"/>
    <w:rsid w:val="00E964BD"/>
    <w:rsid w:val="00EC688C"/>
    <w:rsid w:val="00F13039"/>
    <w:rsid w:val="00F17DFD"/>
    <w:rsid w:val="00F2036C"/>
    <w:rsid w:val="00F3536F"/>
    <w:rsid w:val="00F43B0B"/>
    <w:rsid w:val="00F45957"/>
    <w:rsid w:val="00F47D0C"/>
    <w:rsid w:val="00F54B52"/>
    <w:rsid w:val="00F77DCA"/>
    <w:rsid w:val="00F868AB"/>
    <w:rsid w:val="00F931E8"/>
    <w:rsid w:val="00FB2528"/>
    <w:rsid w:val="00FC2B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DE14BD"/>
  <w15:docId w15:val="{F96E319D-3333-4190-AD75-38BD497B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4B6503"/>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 w:type="paragraph" w:styleId="Title">
    <w:name w:val="Title"/>
    <w:basedOn w:val="Normal"/>
    <w:link w:val="TitleChar"/>
    <w:uiPriority w:val="99"/>
    <w:qFormat/>
    <w:rsid w:val="008B1E30"/>
    <w:pPr>
      <w:spacing w:after="0" w:line="240" w:lineRule="auto"/>
      <w:jc w:val="center"/>
    </w:pPr>
    <w:rPr>
      <w:rFonts w:ascii="Times New Roman" w:eastAsia="Times New Roman" w:hAnsi="Times New Roman" w:cs="Times New Roman"/>
      <w:b/>
      <w:sz w:val="24"/>
      <w:szCs w:val="20"/>
      <w:lang w:val="x-none" w:eastAsia="x-none"/>
    </w:rPr>
  </w:style>
  <w:style w:type="character" w:customStyle="1" w:styleId="TitleChar">
    <w:name w:val="Title Char"/>
    <w:basedOn w:val="DefaultParagraphFont"/>
    <w:link w:val="Title"/>
    <w:rsid w:val="008B1E30"/>
    <w:rPr>
      <w:rFonts w:ascii="Times New Roman" w:eastAsia="Times New Roman" w:hAnsi="Times New Roman" w:cs="Times New Roman"/>
      <w:b/>
      <w:sz w:val="24"/>
      <w:szCs w:val="20"/>
      <w:lang w:val="x-none" w:eastAsia="x-none"/>
    </w:rPr>
  </w:style>
  <w:style w:type="paragraph" w:styleId="ListParagraph">
    <w:name w:val="List Paragraph"/>
    <w:aliases w:val="References,Bullets,FOTO,Paragraphe de liste1,List Paragraph11,Para,ADB paragraph numbering,TCI Cursive,Bullet Points,Liste Paragraf,Llista Nivell1,Lista de nivel 1,Paragraphe de liste PBLH,Bullet list,Table of contents numbered,Normal 1"/>
    <w:basedOn w:val="Normal"/>
    <w:link w:val="ListParagraphChar"/>
    <w:uiPriority w:val="99"/>
    <w:qFormat/>
    <w:rsid w:val="008B1E30"/>
    <w:pPr>
      <w:ind w:left="720"/>
      <w:contextualSpacing/>
    </w:pPr>
  </w:style>
  <w:style w:type="table" w:styleId="TableGrid">
    <w:name w:val="Table Grid"/>
    <w:basedOn w:val="TableNormal"/>
    <w:uiPriority w:val="39"/>
    <w:qFormat/>
    <w:rsid w:val="00363429"/>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B6503"/>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ListParagraphChar">
    <w:name w:val="List Paragraph Char"/>
    <w:aliases w:val="References Char,Bullets Char,FOTO Char,Paragraphe de liste1 Char,List Paragraph11 Char,Para Char,ADB paragraph numbering Char,TCI Cursive Char,Bullet Points Char,Liste Paragraf Char,Llista Nivell1 Char,Lista de nivel 1 Char"/>
    <w:link w:val="ListParagraph"/>
    <w:uiPriority w:val="34"/>
    <w:qFormat/>
    <w:locked/>
    <w:rsid w:val="004B6503"/>
  </w:style>
  <w:style w:type="paragraph" w:customStyle="1" w:styleId="Default">
    <w:name w:val="Default"/>
    <w:link w:val="DefaultChar"/>
    <w:rsid w:val="004B650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link w:val="Default"/>
    <w:rsid w:val="004B6503"/>
    <w:rPr>
      <w:rFonts w:ascii="Times New Roman" w:hAnsi="Times New Roman" w:cs="Times New Roman"/>
      <w:color w:val="000000"/>
      <w:sz w:val="24"/>
      <w:szCs w:val="24"/>
    </w:rPr>
  </w:style>
  <w:style w:type="character" w:styleId="Hyperlink">
    <w:name w:val="Hyperlink"/>
    <w:unhideWhenUsed/>
    <w:rsid w:val="004717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406</Nr_x002e__x0020_akti>
    <Data_x0020_e_x0020_Krijimit xmlns="0e656187-b300-4fb0-8bf4-3a50f872073c">2025-05-07T10:25:53Z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2025-05-06T00:00:00Z</Date_x0020_protokolli>
    <Titulli xmlns="0e656187-b300-4fb0-8bf4-3a50f872073c">Për disa shtesa dhe ndryshime në urdhrin nr. 11, datë 14.1.2022, "Për një plan menaxhimi shumëvjeçar për një shfrytëzim të qëndrueshëm të rezervave të pelagjikëve të vegjël në Detin Adriatik (nënzonat gjeografike 17 dhe 18)</Titulli>
    <Modifikuesi xmlns="0e656187-b300-4fb0-8bf4-3a50f872073c">Suada.Daci</Modifikuesi>
    <Nr_x002e__x0020_prot_x0020_QBZ xmlns="0e656187-b300-4fb0-8bf4-3a50f872073c">735/2</Nr_x002e__x0020_prot_x0020_QBZ>
    <Data_x0020_e_x0020_Modifikimit xmlns="0e656187-b300-4fb0-8bf4-3a50f872073c">2025-05-07T10:42:24Z</Data_x0020_e_x0020_Modifikimit>
    <Dekretuar xmlns="0e656187-b300-4fb0-8bf4-3a50f872073c">false</Dekretuar>
    <Data xmlns="0e656187-b300-4fb0-8bf4-3a50f872073c">2025-04-25T00:00:00Z</Data>
    <Nr_x002e__x0020_protokolli_x0020_i_x0020_aktit xmlns="0e656187-b300-4fb0-8bf4-3a50f872073c">3231/1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0C116580F0647BFB83A59E47E37BB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0C116580F0647BFB83A59E47E37BB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33A8C-5E1B-4829-9E46-E155C7C7616A}">
  <ds:schemaRefs>
    <ds:schemaRef ds:uri="http://purl.org/dc/elements/1.1/"/>
    <ds:schemaRef ds:uri="http://purl.org/dc/dcmitype/"/>
    <ds:schemaRef ds:uri="http://schemas.microsoft.com/office/2006/metadata/properties"/>
    <ds:schemaRef ds:uri="http://purl.org/dc/terms/"/>
    <ds:schemaRef ds:uri="http://schemas.microsoft.com/office/2006/documentManagement/types"/>
    <ds:schemaRef ds:uri="0e656187-b300-4fb0-8bf4-3a50f872073c"/>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782C1343-337D-4814-9979-4CB987B1A4EA}">
  <ds:schemaRefs>
    <ds:schemaRef ds:uri="http://schemas.microsoft.com/sharepoint/v3/contenttype/forms"/>
  </ds:schemaRefs>
</ds:datastoreItem>
</file>

<file path=customXml/itemProps3.xml><?xml version="1.0" encoding="utf-8"?>
<ds:datastoreItem xmlns:ds="http://schemas.openxmlformats.org/officeDocument/2006/customXml" ds:itemID="{02B72B31-1B66-42A1-BF0A-E8E340014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59CD626-1114-40F5-86DE-87BDABBB67E0}">
  <ds:schemaRefs>
    <ds:schemaRef ds:uri="http://schemas.microsoft.com/sharepoint/v3/contenttype/forms"/>
  </ds:schemaRefs>
</ds:datastoreItem>
</file>

<file path=customXml/itemProps5.xml><?xml version="1.0" encoding="utf-8"?>
<ds:datastoreItem xmlns:ds="http://schemas.openxmlformats.org/officeDocument/2006/customXml" ds:itemID="{8EB94D30-6E48-48CC-B50E-315B8A167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2C74C1E-470B-4A59-B6C7-4478C0A99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1327</Words>
  <Characters>7568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një plan menaxhimi shumëvjeçar për një shfrytëzim të qëndrueshëm të rezervave të pelagjikëve të vegjël në detin Adriatik (nënzona gjeografike 17 dhe 18) [Rekomandimi i GFCM/44/2021/20]</vt:lpstr>
    </vt:vector>
  </TitlesOfParts>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një shfrytëzim të qëndrueshëm të rezervave të pelagjikëve të vegjël në detin Adriatik (nënzona gjeografike 17 dhe 18) [Rekomandimi i GFCM/44/2021/20]</dc:title>
  <dc:creator>Entela Suli</dc:creator>
  <cp:lastModifiedBy>Jorina Kryeziu</cp:lastModifiedBy>
  <cp:revision>21</cp:revision>
  <dcterms:created xsi:type="dcterms:W3CDTF">2025-04-17T12:03:00Z</dcterms:created>
  <dcterms:modified xsi:type="dcterms:W3CDTF">2025-05-07T10:24:00Z</dcterms:modified>
</cp:coreProperties>
</file>