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B9B" w:rsidRPr="001706D7" w:rsidRDefault="00BA5B9B" w:rsidP="00BA5B9B">
      <w:pPr>
        <w:pStyle w:val="Akti"/>
        <w:rPr>
          <w:sz w:val="21"/>
          <w:szCs w:val="21"/>
          <w:lang w:val="sq-AL"/>
        </w:rPr>
      </w:pPr>
      <w:bookmarkStart w:id="0" w:name="_GoBack"/>
      <w:bookmarkEnd w:id="0"/>
      <w:r w:rsidRPr="001706D7">
        <w:rPr>
          <w:sz w:val="21"/>
          <w:szCs w:val="21"/>
          <w:lang w:val="sq-AL"/>
        </w:rPr>
        <w:t>URDHËR</w:t>
      </w:r>
    </w:p>
    <w:p w:rsidR="00BA5B9B" w:rsidRPr="001706D7" w:rsidRDefault="00BA5B9B" w:rsidP="00BA5B9B">
      <w:pPr>
        <w:pStyle w:val="NumriData"/>
        <w:rPr>
          <w:sz w:val="21"/>
          <w:szCs w:val="21"/>
          <w:lang w:val="sq-AL"/>
        </w:rPr>
      </w:pPr>
      <w:r w:rsidRPr="001706D7">
        <w:rPr>
          <w:sz w:val="21"/>
          <w:szCs w:val="21"/>
          <w:lang w:val="sq-AL"/>
        </w:rPr>
        <w:t>Nr. 195/2, datë 3.10.2012</w:t>
      </w:r>
    </w:p>
    <w:p w:rsidR="00BA5B9B" w:rsidRPr="001706D7" w:rsidRDefault="00BA5B9B" w:rsidP="00BA5B9B">
      <w:pPr>
        <w:pStyle w:val="Paragrafi"/>
        <w:rPr>
          <w:sz w:val="21"/>
          <w:szCs w:val="21"/>
          <w:lang w:val="sq-AL"/>
        </w:rPr>
      </w:pPr>
    </w:p>
    <w:p w:rsidR="00BA5B9B" w:rsidRPr="001706D7" w:rsidRDefault="00BA5B9B" w:rsidP="00BA5B9B">
      <w:pPr>
        <w:pStyle w:val="Titulli"/>
        <w:rPr>
          <w:sz w:val="21"/>
          <w:szCs w:val="21"/>
          <w:lang w:val="sq-AL"/>
        </w:rPr>
      </w:pPr>
      <w:r w:rsidRPr="001706D7">
        <w:rPr>
          <w:sz w:val="21"/>
          <w:szCs w:val="21"/>
          <w:lang w:val="sq-AL"/>
        </w:rPr>
        <w:t>PËR RISHPËRNDARJEN SIPAS NJËSIVE VENDORE TË NUMRIT TË PËRGJITHSHËM TË NOTERËVE TË CAKTUAR NË VITIN 2011 DHE SHPALLJEN E VENDEVE VAKANTE</w:t>
      </w:r>
    </w:p>
    <w:p w:rsidR="00BA5B9B" w:rsidRPr="001706D7" w:rsidRDefault="00BA5B9B" w:rsidP="00BA5B9B">
      <w:pPr>
        <w:pStyle w:val="Paragrafi"/>
        <w:rPr>
          <w:sz w:val="21"/>
          <w:szCs w:val="21"/>
          <w:lang w:val="sq-AL"/>
        </w:rPr>
      </w:pPr>
    </w:p>
    <w:p w:rsidR="00BA5B9B" w:rsidRPr="001706D7" w:rsidRDefault="00BA5B9B" w:rsidP="00BA5B9B">
      <w:pPr>
        <w:pStyle w:val="Paragrafi"/>
        <w:rPr>
          <w:sz w:val="21"/>
          <w:szCs w:val="21"/>
          <w:lang w:val="sq-AL"/>
        </w:rPr>
      </w:pPr>
      <w:r w:rsidRPr="001706D7">
        <w:rPr>
          <w:sz w:val="21"/>
          <w:szCs w:val="21"/>
          <w:lang w:val="sq-AL"/>
        </w:rPr>
        <w:t>Në mbështetje të nenit 102 pika 4 të Kushtetutës, të nenit 7 pika 2 të ligjit nr. 8678, datë 14.5.2001 “Për organizimin dhe funksionimin e Ministrisë së Drejtësisë”, të ndryshuar dhe të nenit 16 të ligjit nr. 7829, datë 1.6.1994 “Për noterinë”, të ndryshuar, bazuar në studimin e kryer në shtator 2012,</w:t>
      </w:r>
    </w:p>
    <w:p w:rsidR="00BA5B9B" w:rsidRPr="001706D7" w:rsidRDefault="00BA5B9B" w:rsidP="00BA5B9B">
      <w:pPr>
        <w:pStyle w:val="Paragrafi"/>
        <w:rPr>
          <w:sz w:val="21"/>
          <w:szCs w:val="21"/>
          <w:lang w:val="sq-AL"/>
        </w:rPr>
      </w:pPr>
    </w:p>
    <w:p w:rsidR="00BA5B9B" w:rsidRPr="001706D7" w:rsidRDefault="00BA5B9B" w:rsidP="00BA5B9B">
      <w:pPr>
        <w:pStyle w:val="VENDOSI"/>
        <w:rPr>
          <w:sz w:val="21"/>
          <w:szCs w:val="21"/>
          <w:lang w:val="sq-AL"/>
        </w:rPr>
      </w:pPr>
      <w:r w:rsidRPr="001706D7">
        <w:rPr>
          <w:sz w:val="21"/>
          <w:szCs w:val="21"/>
          <w:lang w:val="sq-AL"/>
        </w:rPr>
        <w:t>KONSTATOJ SE:</w:t>
      </w:r>
    </w:p>
    <w:p w:rsidR="00BA5B9B" w:rsidRPr="001706D7" w:rsidRDefault="00BA5B9B" w:rsidP="00BA5B9B">
      <w:pPr>
        <w:pStyle w:val="Paragrafi"/>
        <w:rPr>
          <w:sz w:val="21"/>
          <w:szCs w:val="21"/>
          <w:lang w:val="sq-AL"/>
        </w:rPr>
      </w:pPr>
    </w:p>
    <w:p w:rsidR="00BA5B9B" w:rsidRPr="001706D7" w:rsidRDefault="00BA5B9B" w:rsidP="00BA5B9B">
      <w:pPr>
        <w:pStyle w:val="Paragrafi"/>
        <w:rPr>
          <w:sz w:val="21"/>
          <w:szCs w:val="21"/>
          <w:lang w:val="sq-AL"/>
        </w:rPr>
      </w:pPr>
      <w:r w:rsidRPr="001706D7">
        <w:rPr>
          <w:sz w:val="21"/>
          <w:szCs w:val="21"/>
          <w:lang w:val="sq-AL"/>
        </w:rPr>
        <w:t xml:space="preserve">Me urdhër të Ministrit të Drejtësisë nr. 2140, datë 18.3.2011 “Për caktimin e numrit të përgjithshëm të noterëve dhe numrit të tyre sipas njësive vendore”, numri i përgjithshëm i noterëve është 378. Në vijim të urdhrit nr. 213, datë 18.5.2012 të Ministrit të Drejtësisë, më datë 2-3/6/2012 u zhvillua konkursi për vendet e shpallura vakante. Nga ky konkurrim rezultuan fitues 25 kandidatë, të cilët plotësuan 23 vende vakante. Dy nga kandidatët e shpallur fitues, në përputhje me ligjin nr. 7829/1994, plotësuan vendin vakant të lënë nga prindërit e tyre. Më pas, me urdhrin nr. 275, datë 13.6.2012 të Ministrit të Drejtësisë, u rishpallën vakante 63 vendet e mbetura, sipas së njëjtës shpërndarje në njësitë e qeverisjes vendore të përcaktuar më parë. Nga konkursi i zhvilluar më datë 30/6/2012 rezultuan fitues 13 kandidatë, të cilët plotësuan 13 vende vakante. Pas zhvillimit të dy procedurave konkurruese, rezulton se në Republikën e Shqipërisë ushtrojnë aktualisht veprimtarinë 328 noterë. Në këtë kuadër, mbeten 50 vende vakante. </w:t>
      </w:r>
    </w:p>
    <w:p w:rsidR="00BA5B9B" w:rsidRPr="001706D7" w:rsidRDefault="00BA5B9B" w:rsidP="00BA5B9B">
      <w:pPr>
        <w:pStyle w:val="Paragrafi"/>
        <w:rPr>
          <w:sz w:val="21"/>
          <w:szCs w:val="21"/>
          <w:lang w:val="sq-AL"/>
        </w:rPr>
      </w:pPr>
      <w:r w:rsidRPr="001706D7">
        <w:rPr>
          <w:sz w:val="21"/>
          <w:szCs w:val="21"/>
          <w:lang w:val="sq-AL"/>
        </w:rPr>
        <w:t>Shpërndarja e propozuar nga studimi i muajit maj 2012 nuk ka analizuar volumin e veprimeve noteriale pranë çdo njësie vendore, por është bazuar thellësisht në numrin e popullsisë. Është kërkesë e nenit 16 të ligjit nr. 7829/1994, që vendimmarrja për shpërndarjen e numrit të noterëve të mbajë në konsideratë dy kritere themelore:</w:t>
      </w:r>
    </w:p>
    <w:p w:rsidR="00BA5B9B" w:rsidRPr="001706D7" w:rsidRDefault="00BA5B9B" w:rsidP="00BA5B9B">
      <w:pPr>
        <w:pStyle w:val="Paragrafi"/>
        <w:rPr>
          <w:sz w:val="21"/>
          <w:szCs w:val="21"/>
          <w:lang w:val="sq-AL"/>
        </w:rPr>
      </w:pPr>
      <w:r w:rsidRPr="001706D7">
        <w:rPr>
          <w:sz w:val="21"/>
          <w:szCs w:val="21"/>
          <w:lang w:val="sq-AL"/>
        </w:rPr>
        <w:t>a) Numrin e popullsisë së bashkisë së bashku me komunat rreth saj;</w:t>
      </w:r>
    </w:p>
    <w:p w:rsidR="00BA5B9B" w:rsidRPr="001706D7" w:rsidRDefault="00BA5B9B" w:rsidP="00BA5B9B">
      <w:pPr>
        <w:pStyle w:val="Paragrafi"/>
        <w:rPr>
          <w:sz w:val="21"/>
          <w:szCs w:val="21"/>
          <w:lang w:val="sq-AL"/>
        </w:rPr>
      </w:pPr>
      <w:r w:rsidRPr="001706D7">
        <w:rPr>
          <w:sz w:val="21"/>
          <w:szCs w:val="21"/>
          <w:lang w:val="sq-AL"/>
        </w:rPr>
        <w:t>b) Vëllimin e punës së veprimtarisë noteriale.</w:t>
      </w:r>
    </w:p>
    <w:p w:rsidR="00BA5B9B" w:rsidRPr="001706D7" w:rsidRDefault="00BA5B9B" w:rsidP="00BA5B9B">
      <w:pPr>
        <w:pStyle w:val="Paragrafi"/>
        <w:rPr>
          <w:sz w:val="21"/>
          <w:szCs w:val="21"/>
          <w:lang w:val="sq-AL"/>
        </w:rPr>
      </w:pPr>
      <w:r w:rsidRPr="001706D7">
        <w:rPr>
          <w:sz w:val="21"/>
          <w:szCs w:val="21"/>
          <w:lang w:val="sq-AL"/>
        </w:rPr>
        <w:t xml:space="preserve">Në këtë kuadër, duke vlerësuar edhe mungesën e kërkesave gjatë dy procedurave të para të konkurrimit, për shumë nga vendet vakante të shpallura për njësitë e ndryshme vendore, vlerësohet si domosdoshmëri, rishpërndarja e vendeve vakante, pikërisht bazuar në dy kriteret ligjore të specifikuara në ligjin nr. 7829/1994. Rishpërndarja duhet të udhëhiqet nga kriteret e vendosura nga ligji, si dhe nga parimet e eficencës dhe shpejtësisë së shërbimit, mbulimit me shërbim noterial të të gjitha njësive administrative vendore, ngarkesës së noterëve, si dhe numrit të veprimeve noteriale për çdo banor. </w:t>
      </w:r>
    </w:p>
    <w:p w:rsidR="00BA5B9B" w:rsidRPr="001706D7" w:rsidRDefault="00BA5B9B" w:rsidP="00BA5B9B">
      <w:pPr>
        <w:pStyle w:val="Paragrafi"/>
        <w:rPr>
          <w:sz w:val="21"/>
          <w:szCs w:val="21"/>
          <w:lang w:val="sq-AL"/>
        </w:rPr>
      </w:pPr>
      <w:r w:rsidRPr="001706D7">
        <w:rPr>
          <w:sz w:val="21"/>
          <w:szCs w:val="21"/>
          <w:lang w:val="sq-AL"/>
        </w:rPr>
        <w:t xml:space="preserve">Përmbushja njëherazi i të gjitha kritereve dhe parimeve që duhet të udhëheqin këtë proces, kërkon analizimin me kujdes të numrit të noterëve për çdo njësi vendore, numrit të popullsisë, numrit të veprimeve noteriale, si dhe vendeve vakante të shpallura për këtë njësi vendore, në funksion të përcaktimit të: </w:t>
      </w:r>
    </w:p>
    <w:p w:rsidR="00BA5B9B" w:rsidRPr="001706D7" w:rsidRDefault="00BA5B9B" w:rsidP="00BA5B9B">
      <w:pPr>
        <w:pStyle w:val="Paragrafi"/>
        <w:rPr>
          <w:sz w:val="21"/>
          <w:szCs w:val="21"/>
          <w:lang w:val="sq-AL"/>
        </w:rPr>
      </w:pPr>
      <w:r w:rsidRPr="001706D7">
        <w:rPr>
          <w:sz w:val="21"/>
          <w:szCs w:val="21"/>
          <w:lang w:val="sq-AL"/>
        </w:rPr>
        <w:t>a) nevojës për shtesë të numrit të noterëve në disa njësi vendore;</w:t>
      </w:r>
    </w:p>
    <w:p w:rsidR="00BA5B9B" w:rsidRPr="001706D7" w:rsidRDefault="00BA5B9B" w:rsidP="00BA5B9B">
      <w:pPr>
        <w:pStyle w:val="Paragrafi"/>
        <w:rPr>
          <w:sz w:val="21"/>
          <w:szCs w:val="21"/>
          <w:lang w:val="sq-AL"/>
        </w:rPr>
      </w:pPr>
      <w:r w:rsidRPr="001706D7">
        <w:rPr>
          <w:sz w:val="21"/>
          <w:szCs w:val="21"/>
          <w:lang w:val="sq-AL"/>
        </w:rPr>
        <w:t>b) nevojës për vende vakante, në njësitë e përcaktuara nga urdhri nr. 195/2012 i Ministrit të Drejtësisë;</w:t>
      </w:r>
    </w:p>
    <w:p w:rsidR="00BA5B9B" w:rsidRPr="001706D7" w:rsidRDefault="00BA5B9B" w:rsidP="00BA5B9B">
      <w:pPr>
        <w:pStyle w:val="Paragrafi"/>
        <w:rPr>
          <w:sz w:val="21"/>
          <w:szCs w:val="21"/>
          <w:lang w:val="sq-AL"/>
        </w:rPr>
      </w:pPr>
      <w:r w:rsidRPr="001706D7">
        <w:rPr>
          <w:sz w:val="21"/>
          <w:szCs w:val="21"/>
          <w:lang w:val="sq-AL"/>
        </w:rPr>
        <w:t xml:space="preserve"> c) cilësisë dhe shpejtësisë në ofrimin e shërbimeve noteriale në njësitë vendore. </w:t>
      </w:r>
    </w:p>
    <w:p w:rsidR="00BA5B9B" w:rsidRPr="001706D7" w:rsidRDefault="00BA5B9B" w:rsidP="00BA5B9B">
      <w:pPr>
        <w:pStyle w:val="Paragrafi"/>
        <w:rPr>
          <w:sz w:val="21"/>
          <w:szCs w:val="21"/>
          <w:lang w:val="sq-AL"/>
        </w:rPr>
      </w:pPr>
      <w:r w:rsidRPr="001706D7">
        <w:rPr>
          <w:sz w:val="21"/>
          <w:szCs w:val="21"/>
          <w:lang w:val="sq-AL"/>
        </w:rPr>
        <w:t>Për këtë qëllim është hartuar studimi “Numri i përgjithshëm i noterëve dhe nevoja për rishpërndarjen e vendeve të shpallura vakante”, shtator 2012. Referuar studimit, rishpërndarja e numrit të përgjithshëm të noterëve është bërë sipas standardeve ndërkombëtare, duke u bazuar në dy kritere:</w:t>
      </w:r>
    </w:p>
    <w:p w:rsidR="00BA5B9B" w:rsidRPr="001706D7" w:rsidRDefault="00BA5B9B" w:rsidP="00BA5B9B">
      <w:pPr>
        <w:pStyle w:val="Paragrafi"/>
        <w:rPr>
          <w:sz w:val="21"/>
          <w:szCs w:val="21"/>
          <w:lang w:val="sq-AL"/>
        </w:rPr>
      </w:pPr>
      <w:r w:rsidRPr="001706D7">
        <w:rPr>
          <w:sz w:val="21"/>
          <w:szCs w:val="21"/>
          <w:lang w:val="sq-AL"/>
        </w:rPr>
        <w:t>1. Numri i popullsisë në njësitë vendore të caktuara;</w:t>
      </w:r>
    </w:p>
    <w:p w:rsidR="00BA5B9B" w:rsidRPr="001706D7" w:rsidRDefault="00BA5B9B" w:rsidP="00BA5B9B">
      <w:pPr>
        <w:pStyle w:val="Paragrafi"/>
        <w:rPr>
          <w:sz w:val="21"/>
          <w:szCs w:val="21"/>
          <w:lang w:val="sq-AL"/>
        </w:rPr>
      </w:pPr>
      <w:r w:rsidRPr="001706D7">
        <w:rPr>
          <w:sz w:val="21"/>
          <w:szCs w:val="21"/>
          <w:lang w:val="sq-AL"/>
        </w:rPr>
        <w:t xml:space="preserve">2. Numri i transaksioneve. </w:t>
      </w:r>
    </w:p>
    <w:p w:rsidR="00BA5B9B" w:rsidRPr="001706D7" w:rsidRDefault="00BA5B9B" w:rsidP="00BA5B9B">
      <w:pPr>
        <w:pStyle w:val="Paragrafi"/>
        <w:rPr>
          <w:sz w:val="21"/>
          <w:szCs w:val="21"/>
          <w:lang w:val="sq-AL"/>
        </w:rPr>
      </w:pPr>
      <w:r w:rsidRPr="001706D7">
        <w:rPr>
          <w:sz w:val="21"/>
          <w:szCs w:val="21"/>
          <w:lang w:val="sq-AL"/>
        </w:rPr>
        <w:t>Në këtë studim është sugjeruar që, pa ndryshuar numrin e përgjithshëm të noterëve, pozicionet e vendeve vakante duhen rishpërndarë, duke u bazuar kryesisht te vëllimi i veprimtarisë noteriale dhe ngarkesa në punë e noterëve. Për këtë qëllim, del e nevojshme që bazuar në studimin e kryer nga Ministria e Drejtësisë në shtator 2012, të bëhet përcaktimi i numrit të noterëve sipas njësive vendore, dhe vendet vakante të rishpërndahen bazuar në kriteret e parashikuara nga ligji dhe standardet ndërkombëtare.</w:t>
      </w:r>
    </w:p>
    <w:p w:rsidR="00BA5B9B" w:rsidRPr="001706D7" w:rsidRDefault="00BA5B9B" w:rsidP="00BA5B9B">
      <w:pPr>
        <w:pStyle w:val="Paragrafi"/>
        <w:rPr>
          <w:sz w:val="21"/>
          <w:szCs w:val="21"/>
          <w:lang w:val="sq-AL"/>
        </w:rPr>
      </w:pPr>
    </w:p>
    <w:p w:rsidR="00BA5B9B" w:rsidRPr="001706D7" w:rsidRDefault="00BA5B9B" w:rsidP="00BA5B9B">
      <w:pPr>
        <w:pStyle w:val="VENDOSI"/>
        <w:rPr>
          <w:sz w:val="21"/>
          <w:szCs w:val="21"/>
          <w:lang w:val="sq-AL"/>
        </w:rPr>
      </w:pPr>
      <w:r w:rsidRPr="001706D7">
        <w:rPr>
          <w:sz w:val="21"/>
          <w:szCs w:val="21"/>
          <w:lang w:val="sq-AL"/>
        </w:rPr>
        <w:t>PËR KËTË ARSYE:</w:t>
      </w:r>
    </w:p>
    <w:p w:rsidR="00BA5B9B" w:rsidRPr="001706D7" w:rsidRDefault="00BA5B9B" w:rsidP="00BA5B9B">
      <w:pPr>
        <w:pStyle w:val="Paragrafi"/>
        <w:rPr>
          <w:sz w:val="21"/>
          <w:szCs w:val="21"/>
          <w:lang w:val="sq-AL"/>
        </w:rPr>
      </w:pPr>
    </w:p>
    <w:p w:rsidR="00BA5B9B" w:rsidRPr="001706D7" w:rsidRDefault="00BA5B9B" w:rsidP="00BA5B9B">
      <w:pPr>
        <w:pStyle w:val="Paragrafi"/>
        <w:rPr>
          <w:sz w:val="21"/>
          <w:szCs w:val="21"/>
          <w:lang w:val="sq-AL"/>
        </w:rPr>
      </w:pPr>
      <w:r w:rsidRPr="001706D7">
        <w:rPr>
          <w:sz w:val="21"/>
          <w:szCs w:val="21"/>
          <w:lang w:val="sq-AL"/>
        </w:rPr>
        <w:lastRenderedPageBreak/>
        <w:t>Ministri i Drejtësisë, në mbështetje të nenit 16 të ligjit nr. 7829, datë 1.6.1994 “Për noterinë”, të ndryshuar,</w:t>
      </w:r>
    </w:p>
    <w:p w:rsidR="00BA5B9B" w:rsidRPr="001706D7" w:rsidRDefault="00BA5B9B" w:rsidP="00BA5B9B">
      <w:pPr>
        <w:pStyle w:val="Paragrafi"/>
        <w:rPr>
          <w:sz w:val="21"/>
          <w:szCs w:val="21"/>
          <w:lang w:val="sq-AL"/>
        </w:rPr>
      </w:pPr>
    </w:p>
    <w:p w:rsidR="00BA5B9B" w:rsidRPr="001706D7" w:rsidRDefault="00BA5B9B" w:rsidP="00BA5B9B">
      <w:pPr>
        <w:pStyle w:val="VENDOSI"/>
        <w:rPr>
          <w:sz w:val="21"/>
          <w:szCs w:val="21"/>
          <w:lang w:val="sq-AL"/>
        </w:rPr>
      </w:pPr>
      <w:r w:rsidRPr="001706D7">
        <w:rPr>
          <w:sz w:val="21"/>
          <w:szCs w:val="21"/>
          <w:lang w:val="sq-AL"/>
        </w:rPr>
        <w:t>URDHËROJ:</w:t>
      </w:r>
    </w:p>
    <w:p w:rsidR="00BA5B9B" w:rsidRPr="001706D7" w:rsidRDefault="00BA5B9B" w:rsidP="00BA5B9B">
      <w:pPr>
        <w:pStyle w:val="Paragrafi"/>
        <w:rPr>
          <w:sz w:val="21"/>
          <w:szCs w:val="21"/>
          <w:lang w:val="sq-AL"/>
        </w:rPr>
      </w:pPr>
    </w:p>
    <w:p w:rsidR="00BA5B9B" w:rsidRPr="001706D7" w:rsidRDefault="00BA5B9B" w:rsidP="00BA5B9B">
      <w:pPr>
        <w:pStyle w:val="Paragrafi"/>
        <w:rPr>
          <w:sz w:val="21"/>
          <w:szCs w:val="21"/>
          <w:lang w:val="sq-AL"/>
        </w:rPr>
      </w:pPr>
      <w:r w:rsidRPr="001706D7">
        <w:rPr>
          <w:sz w:val="21"/>
          <w:szCs w:val="21"/>
          <w:lang w:val="sq-AL"/>
        </w:rPr>
        <w:t>1. Rishpërndarja sipas njësive vendore të numrit të përgjithshëm të noterëve, të jetë sipas aneksit 1 bashkëlidhur këtij urdhri dhe pjesë përbërëse e tij.</w:t>
      </w:r>
    </w:p>
    <w:p w:rsidR="00BA5B9B" w:rsidRPr="001706D7" w:rsidRDefault="00BA5B9B" w:rsidP="00BA5B9B">
      <w:pPr>
        <w:pStyle w:val="Paragrafi"/>
        <w:rPr>
          <w:sz w:val="21"/>
          <w:szCs w:val="21"/>
          <w:lang w:val="sq-AL"/>
        </w:rPr>
      </w:pPr>
      <w:r w:rsidRPr="001706D7">
        <w:rPr>
          <w:sz w:val="21"/>
          <w:szCs w:val="21"/>
          <w:lang w:val="sq-AL"/>
        </w:rPr>
        <w:t>2. Shpalljen e vendeve vakante për njësitë vendore, sipas aneksit 2 bashkëlidhur këtij urdhri dhe pjesë përbërëse e tij.</w:t>
      </w:r>
    </w:p>
    <w:p w:rsidR="00BA5B9B" w:rsidRPr="001706D7" w:rsidRDefault="00BA5B9B" w:rsidP="00BA5B9B">
      <w:pPr>
        <w:pStyle w:val="Paragrafi"/>
        <w:rPr>
          <w:sz w:val="21"/>
          <w:szCs w:val="21"/>
          <w:lang w:val="sq-AL"/>
        </w:rPr>
      </w:pPr>
      <w:r w:rsidRPr="001706D7">
        <w:rPr>
          <w:sz w:val="21"/>
          <w:szCs w:val="21"/>
          <w:lang w:val="sq-AL"/>
        </w:rPr>
        <w:t>3. Urdhri nr. 195, datë 9.5.2012 i Ministrit të Drejtësisë “Për rishpërndarjen sipas njësive vendore të numrit të përgjithshëm të noterëve të caktuar në vitin 2011 dhe shpalljen e vendeve vakante”, shfuqizohet.</w:t>
      </w:r>
    </w:p>
    <w:p w:rsidR="00BA5B9B" w:rsidRPr="001706D7" w:rsidRDefault="00BA5B9B" w:rsidP="00BA5B9B">
      <w:pPr>
        <w:pStyle w:val="Paragrafi"/>
        <w:rPr>
          <w:sz w:val="21"/>
          <w:szCs w:val="21"/>
          <w:lang w:val="sq-AL"/>
        </w:rPr>
      </w:pPr>
      <w:r w:rsidRPr="001706D7">
        <w:rPr>
          <w:sz w:val="21"/>
          <w:szCs w:val="21"/>
          <w:lang w:val="sq-AL"/>
        </w:rPr>
        <w:t>4. Ngarkohet Sekretari i Përgjithshëm për njoftimin e këtij urdhri dhe dërgimin e tij për botim në Fletoren Zyrtare.</w:t>
      </w:r>
    </w:p>
    <w:p w:rsidR="00BA5B9B" w:rsidRPr="001706D7" w:rsidRDefault="00BA5B9B" w:rsidP="00BA5B9B">
      <w:pPr>
        <w:pStyle w:val="Paragrafi"/>
        <w:rPr>
          <w:sz w:val="21"/>
          <w:szCs w:val="21"/>
          <w:lang w:val="sq-AL"/>
        </w:rPr>
      </w:pPr>
      <w:r w:rsidRPr="001706D7">
        <w:rPr>
          <w:sz w:val="21"/>
          <w:szCs w:val="21"/>
          <w:lang w:val="sq-AL"/>
        </w:rPr>
        <w:t>Ky urdhër hyn në fuqi menjëherë.</w:t>
      </w:r>
    </w:p>
    <w:p w:rsidR="00BA5B9B" w:rsidRPr="001706D7" w:rsidRDefault="00BA5B9B" w:rsidP="00BA5B9B">
      <w:pPr>
        <w:pStyle w:val="Paragrafi"/>
        <w:ind w:firstLine="0"/>
        <w:rPr>
          <w:sz w:val="21"/>
          <w:szCs w:val="21"/>
          <w:lang w:val="sq-AL"/>
        </w:rPr>
      </w:pPr>
    </w:p>
    <w:p w:rsidR="00BA5B9B" w:rsidRPr="001706D7" w:rsidRDefault="00BA5B9B" w:rsidP="00BA5B9B">
      <w:pPr>
        <w:pStyle w:val="Autoriteti"/>
        <w:rPr>
          <w:sz w:val="21"/>
          <w:szCs w:val="21"/>
          <w:lang w:val="sq-AL"/>
        </w:rPr>
      </w:pPr>
      <w:r w:rsidRPr="001706D7">
        <w:rPr>
          <w:sz w:val="21"/>
          <w:szCs w:val="21"/>
          <w:lang w:val="sq-AL"/>
        </w:rPr>
        <w:t>MINISTRI I DREJTËSISË</w:t>
      </w:r>
    </w:p>
    <w:p w:rsidR="00BA5B9B" w:rsidRPr="006C5187" w:rsidRDefault="00BA5B9B" w:rsidP="00BA5B9B">
      <w:pPr>
        <w:pStyle w:val="AutoritetiEmer"/>
        <w:rPr>
          <w:sz w:val="21"/>
          <w:szCs w:val="21"/>
          <w:lang w:val="sq-AL"/>
        </w:rPr>
      </w:pPr>
      <w:r w:rsidRPr="001706D7">
        <w:rPr>
          <w:sz w:val="21"/>
          <w:szCs w:val="21"/>
          <w:lang w:val="sq-AL"/>
        </w:rPr>
        <w:t>Eduard Halimi</w:t>
      </w:r>
    </w:p>
    <w:sectPr w:rsidR="00BA5B9B" w:rsidRPr="006C5187"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B9B"/>
    <w:rsid w:val="0008095A"/>
    <w:rsid w:val="00923549"/>
    <w:rsid w:val="00BA5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E67B7B4-CA2D-4E86-B7A5-C68C413B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54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BA5B9B"/>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BA5B9B"/>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BA5B9B"/>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BA5B9B"/>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BA5B9B"/>
    <w:rPr>
      <w:rFonts w:ascii="CG Times" w:eastAsia="MS Mincho" w:hAnsi="CG Times" w:cs="CG Times"/>
      <w:b/>
      <w:bCs/>
      <w:sz w:val="22"/>
      <w:szCs w:val="22"/>
      <w:lang w:val="en-GB" w:eastAsia="en-US" w:bidi="ar-SA"/>
    </w:rPr>
  </w:style>
  <w:style w:type="paragraph" w:customStyle="1" w:styleId="Paragrafi">
    <w:name w:val="Paragrafi"/>
    <w:link w:val="ParagrafiChar"/>
    <w:rsid w:val="00BA5B9B"/>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BA5B9B"/>
    <w:rPr>
      <w:rFonts w:ascii="CG Times" w:eastAsia="MS Mincho" w:hAnsi="CG Times" w:cs="CG Times"/>
      <w:sz w:val="22"/>
      <w:szCs w:val="22"/>
      <w:lang w:val="en-US" w:eastAsia="en-US" w:bidi="ar-SA"/>
    </w:rPr>
  </w:style>
  <w:style w:type="paragraph" w:customStyle="1" w:styleId="Titulli">
    <w:name w:val="Titulli"/>
    <w:next w:val="Normal"/>
    <w:link w:val="TitulliChar"/>
    <w:rsid w:val="00BA5B9B"/>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BA5B9B"/>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BA5B9B"/>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BA5B9B"/>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BA5B9B"/>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BA5B9B"/>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2019-03-18T15:43:00Z</dcterms:created>
  <dcterms:modified xsi:type="dcterms:W3CDTF">2019-03-18T15:43:00Z</dcterms:modified>
</cp:coreProperties>
</file>