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3B21" w:rsidRPr="00A5389E" w:rsidRDefault="00493B21" w:rsidP="00493B21">
      <w:pPr>
        <w:pStyle w:val="Akti"/>
        <w:rPr>
          <w:lang w:val="sq-AL"/>
        </w:rPr>
      </w:pPr>
      <w:bookmarkStart w:id="0" w:name="_GoBack"/>
      <w:bookmarkEnd w:id="0"/>
      <w:r w:rsidRPr="00A5389E">
        <w:rPr>
          <w:lang w:val="sq-AL"/>
        </w:rPr>
        <w:t>URDHËR</w:t>
      </w:r>
    </w:p>
    <w:p w:rsidR="00493B21" w:rsidRPr="00A5389E" w:rsidRDefault="00493B21" w:rsidP="00493B21">
      <w:pPr>
        <w:pStyle w:val="NumriData"/>
        <w:rPr>
          <w:lang w:val="sq-AL"/>
        </w:rPr>
      </w:pPr>
      <w:r w:rsidRPr="00A5389E">
        <w:rPr>
          <w:lang w:val="sq-AL"/>
        </w:rPr>
        <w:t>Nr. 360, datë 5.9.2013</w:t>
      </w:r>
    </w:p>
    <w:p w:rsidR="00493B21" w:rsidRPr="00A5389E" w:rsidRDefault="00493B21" w:rsidP="00493B21">
      <w:pPr>
        <w:pStyle w:val="Paragrafi"/>
        <w:rPr>
          <w:lang w:val="sq-AL"/>
        </w:rPr>
      </w:pPr>
    </w:p>
    <w:p w:rsidR="00493B21" w:rsidRPr="00A5389E" w:rsidRDefault="00493B21" w:rsidP="00493B21">
      <w:pPr>
        <w:pStyle w:val="Titulli"/>
        <w:rPr>
          <w:lang w:val="sq-AL"/>
        </w:rPr>
      </w:pPr>
      <w:r w:rsidRPr="00A5389E">
        <w:rPr>
          <w:lang w:val="sq-AL"/>
        </w:rPr>
        <w:t>PËR MËNYRËN E NJOFTIMIT ELEKTRONIK TË AKTEVE GJYQËSORE</w:t>
      </w:r>
    </w:p>
    <w:p w:rsidR="00493B21" w:rsidRPr="00A5389E" w:rsidRDefault="00493B21" w:rsidP="00493B21">
      <w:pPr>
        <w:pStyle w:val="Paragrafi"/>
        <w:rPr>
          <w:lang w:val="sq-AL"/>
        </w:rPr>
      </w:pPr>
    </w:p>
    <w:p w:rsidR="00493B21" w:rsidRPr="00A5389E" w:rsidRDefault="00493B21" w:rsidP="00493B21">
      <w:pPr>
        <w:pStyle w:val="Paragrafi"/>
        <w:rPr>
          <w:lang w:val="sq-AL"/>
        </w:rPr>
      </w:pPr>
      <w:r w:rsidRPr="00A5389E">
        <w:rPr>
          <w:lang w:val="sq-AL"/>
        </w:rPr>
        <w:t>Në mbështetje të nenit 102 pika 4 e Kushtetutës, të nenit 7 pika 2 të ligjit nr. 8678, datë 14.5.2001 “Për organizimin dhe funksionimin e Ministrisë së Drejtësisë”, të ndryshuar, si dhe nenit 141 të ligjit nr. 8116, datë 29.3.1996 “Kodi i Procedurës Civile i Republikës së Shqipërisë”, të ndryshuar,</w:t>
      </w:r>
    </w:p>
    <w:p w:rsidR="00493B21" w:rsidRPr="00A5389E" w:rsidRDefault="00493B21" w:rsidP="00493B21">
      <w:pPr>
        <w:pStyle w:val="Paragrafi"/>
        <w:rPr>
          <w:lang w:val="sq-AL"/>
        </w:rPr>
      </w:pPr>
    </w:p>
    <w:p w:rsidR="00493B21" w:rsidRPr="00A5389E" w:rsidRDefault="00493B21" w:rsidP="00493B21">
      <w:pPr>
        <w:pStyle w:val="VENDOSI"/>
        <w:rPr>
          <w:lang w:val="sq-AL"/>
        </w:rPr>
      </w:pPr>
      <w:r w:rsidRPr="00A5389E">
        <w:rPr>
          <w:lang w:val="sq-AL"/>
        </w:rPr>
        <w:t>URDHËROJ:</w:t>
      </w:r>
    </w:p>
    <w:p w:rsidR="00493B21" w:rsidRPr="00A5389E" w:rsidRDefault="00493B21" w:rsidP="00493B21">
      <w:pPr>
        <w:pStyle w:val="Paragrafi"/>
        <w:rPr>
          <w:lang w:val="sq-AL"/>
        </w:rPr>
      </w:pPr>
    </w:p>
    <w:p w:rsidR="00493B21" w:rsidRPr="00A5389E" w:rsidRDefault="00493B21" w:rsidP="00493B21">
      <w:pPr>
        <w:pStyle w:val="Paragrafi"/>
        <w:rPr>
          <w:lang w:val="sq-AL"/>
        </w:rPr>
      </w:pPr>
      <w:r w:rsidRPr="00A5389E">
        <w:rPr>
          <w:lang w:val="sq-AL"/>
        </w:rPr>
        <w:t xml:space="preserve">1. Njoftimi elektronik, si një ndër mënyrat e njoftimit të akteve gjyqësore bëhet nga nëpunësi gjyqësor nëpërmjet mjeteve të komunikimit elektronik dhe ndiqet nga gjyqtari ose kryetari i trupit gjykues të çështjes, i cili kontrollon dhe kujdeset për procesin e zhvillimit të tij në përputhje me rregullat e parashikuara në Kodin e Procedurës Civile. </w:t>
      </w:r>
    </w:p>
    <w:p w:rsidR="00493B21" w:rsidRPr="00A5389E" w:rsidRDefault="00493B21" w:rsidP="00493B21">
      <w:pPr>
        <w:pStyle w:val="Paragrafi"/>
        <w:rPr>
          <w:lang w:val="sq-AL"/>
        </w:rPr>
      </w:pPr>
      <w:r w:rsidRPr="00A5389E">
        <w:rPr>
          <w:lang w:val="sq-AL"/>
        </w:rPr>
        <w:t>2. Thirrja në gjykatë, nëpërmjet lëtërthirrjes, urdhërohet të bëhet nëpërmjet njoftimit me mjete të komunikimit elektronik, në rast se çmohet e dobishme nga gjykata dhe kur pala ka dhënë pëlqimin paraprak, sipas rregullave të parashikuara në Kodin e Procedurës Civile.</w:t>
      </w:r>
    </w:p>
    <w:p w:rsidR="00493B21" w:rsidRPr="00A5389E" w:rsidRDefault="00493B21" w:rsidP="00493B21">
      <w:pPr>
        <w:pStyle w:val="Paragrafi"/>
        <w:rPr>
          <w:lang w:val="sq-AL"/>
        </w:rPr>
      </w:pPr>
      <w:r w:rsidRPr="00A5389E">
        <w:rPr>
          <w:lang w:val="sq-AL"/>
        </w:rPr>
        <w:t>3. Njoftimi elektronik bëhet me mjete të komunikimit elektronik që mundësojnë marrjen e konfirmimit për mbërritjen/marrjen e njoftimit ose nëse kjo është e pamundur përsoni i thirrur duhet të konfirmojë personalisht që ka marrë njoftimin.</w:t>
      </w:r>
    </w:p>
    <w:p w:rsidR="00493B21" w:rsidRPr="00A5389E" w:rsidRDefault="00493B21" w:rsidP="00493B21">
      <w:pPr>
        <w:pStyle w:val="Paragrafi"/>
        <w:rPr>
          <w:lang w:val="sq-AL"/>
        </w:rPr>
      </w:pPr>
      <w:r w:rsidRPr="00A5389E">
        <w:rPr>
          <w:lang w:val="sq-AL"/>
        </w:rPr>
        <w:t>4. Njoftimi elektronik i paditësit ose përfaqësuesit të tij, bëhet vetëm në rastin kur në kërkesëpadi janë paraqitur të dhënat elektronike të kontaktit, si dhe deklarata e pranimit të njoftimit me mjete të komunikimit elektronik.</w:t>
      </w:r>
    </w:p>
    <w:p w:rsidR="00493B21" w:rsidRPr="00A5389E" w:rsidRDefault="00493B21" w:rsidP="00493B21">
      <w:pPr>
        <w:pStyle w:val="Paragrafi"/>
        <w:rPr>
          <w:lang w:val="sq-AL"/>
        </w:rPr>
      </w:pPr>
      <w:r w:rsidRPr="00A5389E">
        <w:rPr>
          <w:lang w:val="sq-AL"/>
        </w:rPr>
        <w:t xml:space="preserve">5. Në rast se vërtetohet nga nëpunësi gjyqësor se paditësi ose përfaqësuesi i tij ka ndryshuar të dhënat elektronike të kontaktit të tij dhe gjykata nuk është njoftuar për të dhënat e reja elektronike të kontaktit të tij, në përputhje me detyrimin ligjor të parashikuar në nenin 158/a të Kodit të Procedurës Civile, njoftimi bëhet në formë shkresore në një kohë sa më të shpejtë. Në rast se edhe të dhënat e adresës së paditësit ose përfaqësuesit të tij, kanë ndryshuar dhe gjykata edhe në këtë rast nuk është njoftuar nga paditësi ose përfaqësuesi i tij për adresën e re, në kushtet e mosrespektimit të detyrimit për njoftimin e të dhënave të reja nga paditësi, pretendimet e tij lidhur me pavlefshmërinë e njoftimit do të konsiderohen të papranueshme. </w:t>
      </w:r>
    </w:p>
    <w:p w:rsidR="00493B21" w:rsidRDefault="00493B21" w:rsidP="00493B21">
      <w:pPr>
        <w:pStyle w:val="Paragrafi"/>
        <w:rPr>
          <w:lang w:val="sq-AL"/>
        </w:rPr>
      </w:pPr>
      <w:r w:rsidRPr="00A5389E">
        <w:rPr>
          <w:lang w:val="sq-AL"/>
        </w:rPr>
        <w:t>6. Për njoftimin e vendimit të gjykatës ndiqen të njëjtat rregulla</w:t>
      </w:r>
      <w:r>
        <w:rPr>
          <w:lang w:val="sq-AL"/>
        </w:rPr>
        <w:t>,</w:t>
      </w:r>
      <w:r w:rsidRPr="00A5389E">
        <w:rPr>
          <w:lang w:val="sq-AL"/>
        </w:rPr>
        <w:t xml:space="preserve"> të parashikuara në pikat 1, 2, 3, 4 dhe 5 të këtij urdhri. </w:t>
      </w:r>
    </w:p>
    <w:p w:rsidR="00493B21" w:rsidRPr="00A5389E" w:rsidRDefault="00493B21" w:rsidP="00493B21">
      <w:pPr>
        <w:pStyle w:val="Paragrafi"/>
        <w:rPr>
          <w:lang w:val="sq-AL"/>
        </w:rPr>
      </w:pPr>
    </w:p>
    <w:p w:rsidR="00493B21" w:rsidRPr="00A5389E" w:rsidRDefault="00493B21" w:rsidP="00493B21">
      <w:pPr>
        <w:pStyle w:val="Paragrafi"/>
        <w:rPr>
          <w:lang w:val="sq-AL"/>
        </w:rPr>
      </w:pPr>
      <w:r w:rsidRPr="00A5389E">
        <w:rPr>
          <w:lang w:val="sq-AL"/>
        </w:rPr>
        <w:t>7. Në çdo rast</w:t>
      </w:r>
      <w:r>
        <w:rPr>
          <w:lang w:val="sq-AL"/>
        </w:rPr>
        <w:t>,</w:t>
      </w:r>
      <w:r w:rsidRPr="00A5389E">
        <w:rPr>
          <w:lang w:val="sq-AL"/>
        </w:rPr>
        <w:t xml:space="preserve"> njoftimi bëhet duke respektuar legjislacionin për komunikimet elektronike dhe mbrojtjen e të dhënave personale. </w:t>
      </w:r>
    </w:p>
    <w:p w:rsidR="00493B21" w:rsidRPr="00A5389E" w:rsidRDefault="00493B21" w:rsidP="00493B21">
      <w:pPr>
        <w:pStyle w:val="Paragrafi"/>
        <w:rPr>
          <w:lang w:val="sq-AL"/>
        </w:rPr>
      </w:pPr>
      <w:r w:rsidRPr="00A5389E">
        <w:rPr>
          <w:lang w:val="sq-AL"/>
        </w:rPr>
        <w:t xml:space="preserve">8. Njoftimi pasqyrohet në një procesverbal të posaçëm, i cili hartohet dhe përmban elementet e parashikuara në nenin 141 të Kodit të Procedurës Civile, si dhe bëhet pjesë e dosjes gjyqësore. </w:t>
      </w:r>
    </w:p>
    <w:p w:rsidR="00493B21" w:rsidRPr="00A5389E" w:rsidRDefault="00493B21" w:rsidP="00493B21">
      <w:pPr>
        <w:pStyle w:val="Paragrafi"/>
        <w:rPr>
          <w:lang w:val="sq-AL"/>
        </w:rPr>
      </w:pPr>
      <w:r w:rsidRPr="00A5389E">
        <w:rPr>
          <w:lang w:val="sq-AL"/>
        </w:rPr>
        <w:t xml:space="preserve">9. Për arkivimin dhe ruajtjen e procesverbalit të njoftimit ndiqen të njëjtat rregulla si për ruajtjen dhe arkivimin e procesverbalit të seancës gjyqësore të mbajtur në formën e një përmbledhjeje me shtypshkrim apo dorëshkrim. </w:t>
      </w:r>
    </w:p>
    <w:p w:rsidR="00493B21" w:rsidRPr="00A5389E" w:rsidRDefault="00493B21" w:rsidP="00493B21">
      <w:pPr>
        <w:pStyle w:val="Paragrafi"/>
        <w:rPr>
          <w:lang w:val="sq-AL"/>
        </w:rPr>
      </w:pPr>
      <w:r w:rsidRPr="00A5389E">
        <w:rPr>
          <w:lang w:val="sq-AL"/>
        </w:rPr>
        <w:t>10. Ngarkohen gjykatat e shkallës së parë dhe gjykatat e apelit për zbatimin e këtij urdhri.</w:t>
      </w:r>
    </w:p>
    <w:p w:rsidR="00493B21" w:rsidRPr="00A5389E" w:rsidRDefault="00493B21" w:rsidP="00493B21">
      <w:pPr>
        <w:pStyle w:val="Paragrafi"/>
        <w:rPr>
          <w:lang w:val="sq-AL"/>
        </w:rPr>
      </w:pPr>
      <w:r w:rsidRPr="00A5389E">
        <w:rPr>
          <w:lang w:val="sq-AL"/>
        </w:rPr>
        <w:t xml:space="preserve">11. Ngarkohet Drejtoria e Përgjithshme e Çështjeve të Drejtësisë në Ministrinë e Drejtësisë për ndjekjen e zbatimit të këtij urdhri. </w:t>
      </w:r>
    </w:p>
    <w:p w:rsidR="00493B21" w:rsidRPr="00A5389E" w:rsidRDefault="00493B21" w:rsidP="00493B21">
      <w:pPr>
        <w:pStyle w:val="Paragrafi"/>
        <w:rPr>
          <w:lang w:val="sq-AL"/>
        </w:rPr>
      </w:pPr>
      <w:r w:rsidRPr="00A5389E">
        <w:rPr>
          <w:lang w:val="sq-AL"/>
        </w:rPr>
        <w:t>12. Ngarkohet Sekretari i Përgjithshëm për njoftimin e këtij urdhri.</w:t>
      </w:r>
    </w:p>
    <w:p w:rsidR="00493B21" w:rsidRPr="00A5389E" w:rsidRDefault="00493B21" w:rsidP="00493B21">
      <w:pPr>
        <w:pStyle w:val="Paragrafi"/>
        <w:rPr>
          <w:lang w:val="sq-AL"/>
        </w:rPr>
      </w:pPr>
      <w:r w:rsidRPr="00A5389E">
        <w:rPr>
          <w:lang w:val="sq-AL"/>
        </w:rPr>
        <w:t>Ky urdhër hyn në fuqi menjëherë dhe botohet në Fletoren Zyrtare.</w:t>
      </w:r>
    </w:p>
    <w:p w:rsidR="00493B21" w:rsidRDefault="00493B21" w:rsidP="00493B21">
      <w:pPr>
        <w:pStyle w:val="Autoriteti"/>
        <w:rPr>
          <w:lang w:val="sq-AL"/>
        </w:rPr>
      </w:pPr>
    </w:p>
    <w:p w:rsidR="00493B21" w:rsidRPr="00A5389E" w:rsidRDefault="00493B21" w:rsidP="00493B21">
      <w:pPr>
        <w:pStyle w:val="Autoriteti"/>
        <w:rPr>
          <w:lang w:val="sq-AL"/>
        </w:rPr>
      </w:pPr>
      <w:r w:rsidRPr="00A5389E">
        <w:rPr>
          <w:lang w:val="sq-AL"/>
        </w:rPr>
        <w:t>MINISTRI I DREJTËSISË</w:t>
      </w:r>
    </w:p>
    <w:p w:rsidR="00493B21" w:rsidRPr="00A5389E" w:rsidRDefault="00493B21" w:rsidP="00493B21">
      <w:pPr>
        <w:pStyle w:val="AutoritetiEmer"/>
        <w:rPr>
          <w:lang w:val="sq-AL"/>
        </w:rPr>
      </w:pPr>
      <w:r w:rsidRPr="00A5389E">
        <w:rPr>
          <w:lang w:val="sq-AL"/>
        </w:rPr>
        <w:t>Eduard Halimi</w:t>
      </w:r>
    </w:p>
    <w:sectPr w:rsidR="00493B21" w:rsidRPr="00A5389E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93B21"/>
    <w:rsid w:val="00493B21"/>
    <w:rsid w:val="00CE303F"/>
    <w:rsid w:val="00D44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EE0782F-A329-431D-B783-CAEE527CA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03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93B21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493B21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493B21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493B21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493B21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493B21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493B21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493B21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493B21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493B21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493B21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493B21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493B21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495</Words>
  <Characters>2824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2019-03-18T14:06:00Z</dcterms:created>
  <dcterms:modified xsi:type="dcterms:W3CDTF">2019-03-18T14:06:00Z</dcterms:modified>
</cp:coreProperties>
</file>