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130C9" w14:textId="77777777" w:rsidR="00493B21" w:rsidRPr="00A5389E" w:rsidRDefault="00493B21" w:rsidP="00493B21">
      <w:pPr>
        <w:pStyle w:val="Akti"/>
        <w:rPr>
          <w:lang w:val="sq-AL"/>
        </w:rPr>
      </w:pPr>
      <w:r w:rsidRPr="00A5389E">
        <w:rPr>
          <w:lang w:val="sq-AL"/>
        </w:rPr>
        <w:t>URDHËR</w:t>
      </w:r>
    </w:p>
    <w:p w14:paraId="2B0130CA" w14:textId="77777777" w:rsidR="00493B21" w:rsidRPr="00A5389E" w:rsidRDefault="00493B21" w:rsidP="00493B21">
      <w:pPr>
        <w:pStyle w:val="NumriData"/>
        <w:rPr>
          <w:lang w:val="sq-AL"/>
        </w:rPr>
      </w:pPr>
      <w:r w:rsidRPr="00A5389E">
        <w:rPr>
          <w:lang w:val="sq-AL"/>
        </w:rPr>
        <w:t>Nr. 360, datë 5.9.2013</w:t>
      </w:r>
    </w:p>
    <w:p w14:paraId="2B0130CB" w14:textId="77777777" w:rsidR="00493B21" w:rsidRPr="00A5389E" w:rsidRDefault="00493B21" w:rsidP="00493B21">
      <w:pPr>
        <w:pStyle w:val="Paragrafi"/>
        <w:rPr>
          <w:lang w:val="sq-AL"/>
        </w:rPr>
      </w:pPr>
    </w:p>
    <w:p w14:paraId="2B0130CC" w14:textId="77777777" w:rsidR="00493B21" w:rsidRDefault="00493B21" w:rsidP="00493B21">
      <w:pPr>
        <w:pStyle w:val="Titulli"/>
        <w:rPr>
          <w:lang w:val="sq-AL"/>
        </w:rPr>
      </w:pPr>
      <w:r w:rsidRPr="00A5389E">
        <w:rPr>
          <w:lang w:val="sq-AL"/>
        </w:rPr>
        <w:t>PËR MËNYRËN E NJOFTIMIT ELEKTRONIK TË AKTEVE GJYQËSORE</w:t>
      </w:r>
    </w:p>
    <w:p w14:paraId="6F1F32ED" w14:textId="77777777" w:rsidR="009D129D" w:rsidRPr="009D129D" w:rsidRDefault="009D129D" w:rsidP="009D129D">
      <w:pPr>
        <w:jc w:val="center"/>
        <w:rPr>
          <w:rFonts w:ascii="Times New Roman" w:hAnsi="Times New Roman"/>
          <w:i/>
          <w:lang w:val="sq-AL"/>
        </w:rPr>
      </w:pPr>
      <w:r w:rsidRPr="009D129D">
        <w:rPr>
          <w:rFonts w:ascii="Times New Roman" w:hAnsi="Times New Roman"/>
          <w:i/>
          <w:lang w:val="sq-AL"/>
        </w:rPr>
        <w:t>(ndryshuar me urdhrin Nr. 387, datë 12.6.2023)</w:t>
      </w:r>
    </w:p>
    <w:p w14:paraId="2B0130CD" w14:textId="77777777" w:rsidR="00493B21" w:rsidRPr="00A5389E" w:rsidRDefault="00493B21" w:rsidP="00493B21">
      <w:pPr>
        <w:pStyle w:val="Paragrafi"/>
        <w:rPr>
          <w:lang w:val="sq-AL"/>
        </w:rPr>
      </w:pPr>
    </w:p>
    <w:p w14:paraId="2B0130CE" w14:textId="77777777"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>Në mbështetje të nenit 102 pika 4 e Kushtetutës, të nenit 7 pika 2 të ligjit nr. 8678, datë 14.5.2001 “Për organizimin dhe funksionimin e Ministrisë së Drejtësisë”, të ndryshuar, si dhe nenit 141 të ligjit nr. 8116, datë 29.3.1996 “Kodi i Procedurës Civile i Republikës së Shqipërisë”, të ndryshuar,</w:t>
      </w:r>
    </w:p>
    <w:p w14:paraId="2B0130CF" w14:textId="77777777" w:rsidR="00493B21" w:rsidRPr="00A5389E" w:rsidRDefault="00493B21" w:rsidP="00493B21">
      <w:pPr>
        <w:pStyle w:val="Paragrafi"/>
        <w:rPr>
          <w:lang w:val="sq-AL"/>
        </w:rPr>
      </w:pPr>
    </w:p>
    <w:p w14:paraId="2B0130D0" w14:textId="77777777" w:rsidR="00493B21" w:rsidRPr="00A5389E" w:rsidRDefault="00493B21" w:rsidP="00493B21">
      <w:pPr>
        <w:pStyle w:val="VENDOSI"/>
        <w:rPr>
          <w:lang w:val="sq-AL"/>
        </w:rPr>
      </w:pPr>
      <w:r w:rsidRPr="00A5389E">
        <w:rPr>
          <w:lang w:val="sq-AL"/>
        </w:rPr>
        <w:t>URDHËROJ:</w:t>
      </w:r>
    </w:p>
    <w:p w14:paraId="2B0130D1" w14:textId="77777777" w:rsidR="00493B21" w:rsidRPr="00A5389E" w:rsidRDefault="00493B21" w:rsidP="00493B21">
      <w:pPr>
        <w:pStyle w:val="Paragrafi"/>
        <w:rPr>
          <w:lang w:val="sq-AL"/>
        </w:rPr>
      </w:pPr>
    </w:p>
    <w:p w14:paraId="2B0130D2" w14:textId="331B8435"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 xml:space="preserve">1. Njoftimi elektronik, si një ndër mënyrat e njoftimit të akteve gjyqësore bëhet nga </w:t>
      </w:r>
      <w:r w:rsidR="009D129D" w:rsidRPr="009D129D">
        <w:rPr>
          <w:i/>
          <w:lang w:val="sq-AL"/>
        </w:rPr>
        <w:t>punonjësi i</w:t>
      </w:r>
      <w:r w:rsidR="009D129D" w:rsidRPr="009D129D">
        <w:rPr>
          <w:lang w:val="sq-AL"/>
        </w:rPr>
        <w:t xml:space="preserve"> </w:t>
      </w:r>
      <w:r w:rsidR="009D129D" w:rsidRPr="009D129D">
        <w:rPr>
          <w:i/>
          <w:lang w:val="sq-AL"/>
        </w:rPr>
        <w:t>gjykatës</w:t>
      </w:r>
      <w:r w:rsidRPr="009D129D">
        <w:rPr>
          <w:i/>
          <w:lang w:val="sq-AL"/>
        </w:rPr>
        <w:t xml:space="preserve"> </w:t>
      </w:r>
      <w:r w:rsidRPr="00A5389E">
        <w:rPr>
          <w:lang w:val="sq-AL"/>
        </w:rPr>
        <w:t xml:space="preserve">nëpërmjet mjeteve të komunikimit elektronik dhe ndiqet nga gjyqtari ose kryetari i trupit gjykues të çështjes, i cili kontrollon dhe kujdeset për procesin e zhvillimit të tij në përputhje me rregullat e parashikuara në Kodin e Procedurës Civile. </w:t>
      </w:r>
    </w:p>
    <w:p w14:paraId="2B0130D3" w14:textId="41ABC2D7"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 xml:space="preserve">2. Thirrja në gjykatë, nëpërmjet lëtërthirrjes, urdhërohet të bëhet nëpërmjet njoftimit me mjete të komunikimit elektronik, në rast se çmohet e dobishme nga gjykata dhe kur pala </w:t>
      </w:r>
      <w:r w:rsidR="009D129D" w:rsidRPr="009D129D">
        <w:rPr>
          <w:i/>
          <w:lang w:val="sq-AL"/>
        </w:rPr>
        <w:t>ose personi i tretë</w:t>
      </w:r>
      <w:r w:rsidR="009D129D" w:rsidRPr="009D129D">
        <w:rPr>
          <w:lang w:val="sq-AL"/>
        </w:rPr>
        <w:t xml:space="preserve"> </w:t>
      </w:r>
      <w:r w:rsidRPr="00A5389E">
        <w:rPr>
          <w:lang w:val="sq-AL"/>
        </w:rPr>
        <w:t>ka dhënë pëlqimin paraprak, sipas rregullave të parashikuara në Kodin e Procedurës Civile.</w:t>
      </w:r>
    </w:p>
    <w:p w14:paraId="2B0130D4" w14:textId="755E86EC" w:rsidR="009D129D" w:rsidRPr="009D129D" w:rsidRDefault="009D129D" w:rsidP="009D129D">
      <w:pPr>
        <w:pStyle w:val="Paragrafi"/>
        <w:rPr>
          <w:i/>
          <w:lang w:val="sq-AL"/>
        </w:rPr>
      </w:pPr>
      <w:r w:rsidRPr="009D129D">
        <w:rPr>
          <w:i/>
          <w:lang w:val="sq-AL"/>
        </w:rPr>
        <w:t xml:space="preserve">3. Njoftimi elektronik bëhet me mjete të komunikimit elektronik që mundësojnë marrjen e njoftimit në adresën e postës elektronike apo numrin e kontaktit të deklaruar nga vetë pala apo personi i tretë. Punonjësi i gjykatës dokumenton dërgimin dhe marrësi duhet të konfirmojë marrjen e njoftimit brenda 5 ditësh. Me kalimin e këtij afati, </w:t>
      </w:r>
      <w:r>
        <w:rPr>
          <w:i/>
          <w:lang w:val="sq-AL"/>
        </w:rPr>
        <w:t>njoftimi konsiderohet i kryer.</w:t>
      </w:r>
    </w:p>
    <w:p w14:paraId="2B0130D5" w14:textId="466AFD40" w:rsidR="009D129D" w:rsidRPr="009D129D" w:rsidRDefault="009D129D" w:rsidP="009D129D">
      <w:pPr>
        <w:pStyle w:val="Paragrafi"/>
        <w:rPr>
          <w:i/>
          <w:lang w:val="sq-AL"/>
        </w:rPr>
      </w:pPr>
      <w:r w:rsidRPr="009D129D">
        <w:rPr>
          <w:i/>
          <w:lang w:val="sq-AL"/>
        </w:rPr>
        <w:t>4. Njoftimi elektronik i paditësit, të paditurit apo përfaqësuesve të tyre bëhet kur, sipas rastit, në kërkesëpadi, deklaratën e mbrojtjes, si dhe në mjetet e ankimit janë paraqitur të dhënat elektronike të kontaktit, si dhe deklarata e pranimit të njoftimit me mjete të komunikimit elektronik.</w:t>
      </w:r>
    </w:p>
    <w:p w14:paraId="11826149" w14:textId="77777777" w:rsidR="009D129D" w:rsidRPr="009D129D" w:rsidRDefault="009D129D" w:rsidP="009D129D">
      <w:pPr>
        <w:pStyle w:val="Paragrafi"/>
        <w:rPr>
          <w:i/>
          <w:lang w:val="sq-AL"/>
        </w:rPr>
      </w:pPr>
      <w:r w:rsidRPr="009D129D">
        <w:rPr>
          <w:i/>
          <w:lang w:val="sq-AL"/>
        </w:rPr>
        <w:t>4/1 Gjykata i kërkon personit të tretë konfirmimin e adresës dhe paraqitjen e të dhënave elektronike të kontaktit të tij apo përfa</w:t>
      </w:r>
      <w:bookmarkStart w:id="0" w:name="_GoBack"/>
      <w:bookmarkEnd w:id="0"/>
      <w:r w:rsidRPr="009D129D">
        <w:rPr>
          <w:i/>
          <w:lang w:val="sq-AL"/>
        </w:rPr>
        <w:t>qësuesit, nëse ka një të tillë, ku gjykata kryen njoftimet. Njoftimi elektronik i personit të tretë kryhet kur ai e ka pranuar përmes deklaratës së pranimit të njoftimit me mjete të komunikimit elektronik.</w:t>
      </w:r>
    </w:p>
    <w:p w14:paraId="2B0130D6" w14:textId="51DAE99C" w:rsidR="009D129D" w:rsidRPr="009D129D" w:rsidRDefault="009D129D" w:rsidP="009D129D">
      <w:pPr>
        <w:pStyle w:val="Paragrafi"/>
        <w:rPr>
          <w:i/>
          <w:lang w:val="sq-AL"/>
        </w:rPr>
      </w:pPr>
      <w:r w:rsidRPr="009D129D">
        <w:rPr>
          <w:i/>
          <w:lang w:val="sq-AL"/>
        </w:rPr>
        <w:t>5. Në rast se vërtetohet nga punonjësi i gjykatës se pala, përfaqësuesi i saj, nëse ka një të tillë apo personi i tretë ka ndryshuar të dhënat elektronike të kontaktit dhe gjykata nuk është njoftuar për të dhënat e reja, në përputhje me detyrimin ligjor të parashikuar në nenin 129 të Kodit të Procedurës Civile, pretendimet e tyre për pavlefshmërinë e njoftimit janë të papranueshme. Në këtë rast, njoftimi bëhet me shpallje publike, në përputhje me rregullat e përcaktuara në Kodin e Procedurës Civile.</w:t>
      </w:r>
    </w:p>
    <w:p w14:paraId="2B0130D7" w14:textId="77777777" w:rsidR="00493B21" w:rsidRPr="00A5389E" w:rsidRDefault="00493B21" w:rsidP="009D129D">
      <w:pPr>
        <w:pStyle w:val="Paragrafi"/>
        <w:rPr>
          <w:lang w:val="sq-AL"/>
        </w:rPr>
      </w:pPr>
      <w:r w:rsidRPr="00A5389E">
        <w:rPr>
          <w:lang w:val="sq-AL"/>
        </w:rPr>
        <w:t>6. Për njoftimin e vendimit të gjykatës ndiqen të njëjtat rregulla</w:t>
      </w:r>
      <w:r>
        <w:rPr>
          <w:lang w:val="sq-AL"/>
        </w:rPr>
        <w:t>,</w:t>
      </w:r>
      <w:r w:rsidRPr="00A5389E">
        <w:rPr>
          <w:lang w:val="sq-AL"/>
        </w:rPr>
        <w:t xml:space="preserve"> të parashikuara në pikat 1, 2, 3, 4 dhe 5 të këtij urdhri. </w:t>
      </w:r>
    </w:p>
    <w:p w14:paraId="2B0130D9" w14:textId="77777777"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>7. Në çdo rast</w:t>
      </w:r>
      <w:r>
        <w:rPr>
          <w:lang w:val="sq-AL"/>
        </w:rPr>
        <w:t>,</w:t>
      </w:r>
      <w:r w:rsidRPr="00A5389E">
        <w:rPr>
          <w:lang w:val="sq-AL"/>
        </w:rPr>
        <w:t xml:space="preserve"> njoftimi bëhet duke respektuar legjislacionin për komunikimet elektronike dhe mbrojtjen e të dhënave personale. </w:t>
      </w:r>
    </w:p>
    <w:p w14:paraId="2B0130DA" w14:textId="77777777"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 xml:space="preserve">8. Njoftimi pasqyrohet në një procesverbal të posaçëm, i cili hartohet dhe përmban elementet e parashikuara në nenin 141 të Kodit të Procedurës Civile, si dhe bëhet pjesë e dosjes gjyqësore. </w:t>
      </w:r>
    </w:p>
    <w:p w14:paraId="2B0130DB" w14:textId="77777777"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 xml:space="preserve">9. Për arkivimin dhe ruajtjen e procesverbalit të njoftimit ndiqen të njëjtat rregulla si për ruajtjen dhe arkivimin e procesverbalit të seancës gjyqësore të mbajtur në formën e një përmbledhjeje me shtypshkrim apo dorëshkrim. </w:t>
      </w:r>
    </w:p>
    <w:p w14:paraId="2B0130DC" w14:textId="147B9353" w:rsidR="009D129D" w:rsidRPr="009D129D" w:rsidRDefault="009D129D" w:rsidP="00493B21">
      <w:pPr>
        <w:pStyle w:val="Paragrafi"/>
        <w:rPr>
          <w:i/>
          <w:lang w:val="sq-AL"/>
        </w:rPr>
      </w:pPr>
      <w:r w:rsidRPr="009D129D">
        <w:rPr>
          <w:i/>
          <w:lang w:val="sq-AL"/>
        </w:rPr>
        <w:t>10. Ngarkohen gjykatat e shkallës së parë, gjykatat e apelit dhe Gjykata e Lartë për zbatimin e këtij urdhri</w:t>
      </w:r>
      <w:r>
        <w:rPr>
          <w:i/>
          <w:lang w:val="sq-AL"/>
        </w:rPr>
        <w:t>.</w:t>
      </w:r>
      <w:r w:rsidRPr="009D129D">
        <w:rPr>
          <w:i/>
          <w:lang w:val="sq-AL"/>
        </w:rPr>
        <w:t xml:space="preserve"> </w:t>
      </w:r>
    </w:p>
    <w:p w14:paraId="2B0130DD" w14:textId="77777777"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 xml:space="preserve">11. Ngarkohet Drejtoria e Përgjithshme e Çështjeve të Drejtësisë në Ministrinë e Drejtësisë për ndjekjen e zbatimit të këtij urdhri. </w:t>
      </w:r>
    </w:p>
    <w:p w14:paraId="2B0130DE" w14:textId="77777777"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>12. Ngarkohet Sekretari i Përgjithshëm për njoftimin e këtij urdhri.</w:t>
      </w:r>
    </w:p>
    <w:p w14:paraId="2B0130DF" w14:textId="77777777" w:rsidR="00493B21" w:rsidRPr="00A5389E" w:rsidRDefault="00493B21" w:rsidP="00493B21">
      <w:pPr>
        <w:pStyle w:val="Paragrafi"/>
        <w:rPr>
          <w:lang w:val="sq-AL"/>
        </w:rPr>
      </w:pPr>
      <w:r w:rsidRPr="00A5389E">
        <w:rPr>
          <w:lang w:val="sq-AL"/>
        </w:rPr>
        <w:t>Ky urdhër hyn në fuqi menjëherë dhe botohet në Fletoren Zyrtare.</w:t>
      </w:r>
    </w:p>
    <w:p w14:paraId="2B0130E0" w14:textId="77777777" w:rsidR="00493B21" w:rsidRDefault="00493B21" w:rsidP="00493B21">
      <w:pPr>
        <w:pStyle w:val="Autoriteti"/>
        <w:rPr>
          <w:lang w:val="sq-AL"/>
        </w:rPr>
      </w:pPr>
    </w:p>
    <w:p w14:paraId="2B0130E1" w14:textId="77777777" w:rsidR="00493B21" w:rsidRPr="00A5389E" w:rsidRDefault="00493B21" w:rsidP="00493B21">
      <w:pPr>
        <w:pStyle w:val="Autoriteti"/>
        <w:rPr>
          <w:lang w:val="sq-AL"/>
        </w:rPr>
      </w:pPr>
      <w:r w:rsidRPr="00A5389E">
        <w:rPr>
          <w:lang w:val="sq-AL"/>
        </w:rPr>
        <w:t>MINISTRI I DREJTËSISË</w:t>
      </w:r>
    </w:p>
    <w:p w14:paraId="2B0130E2" w14:textId="77777777" w:rsidR="00493B21" w:rsidRPr="00A5389E" w:rsidRDefault="00493B21" w:rsidP="00493B21">
      <w:pPr>
        <w:pStyle w:val="AutoritetiEmer"/>
        <w:rPr>
          <w:lang w:val="sq-AL"/>
        </w:rPr>
      </w:pPr>
      <w:r w:rsidRPr="00A5389E">
        <w:rPr>
          <w:lang w:val="sq-AL"/>
        </w:rPr>
        <w:t>Eduard Halimi</w:t>
      </w:r>
    </w:p>
    <w:sectPr w:rsidR="00493B21" w:rsidRPr="00A5389E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3B21"/>
    <w:rsid w:val="00493B21"/>
    <w:rsid w:val="005B7C42"/>
    <w:rsid w:val="009D129D"/>
    <w:rsid w:val="00CE303F"/>
    <w:rsid w:val="00D4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130C9"/>
  <w15:chartTrackingRefBased/>
  <w15:docId w15:val="{7EE0782F-A329-431D-B783-CAEE527CA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93B2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93B2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3B2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93B2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93B2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93B2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93B2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93B2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93B2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93B2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93B2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93B2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93B2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6851BBF9AEC4BF9A52C5151435369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2023-06-19T08:12:57Z</Data_x0020_e_x0020_Krijimit>
    <Modifikuesi xmlns="0e656187-b300-4fb0-8bf4-3a50f872073c">Eliona.Lloja</Modifikuesi>
    <Data_x0020_e_x0020_Modifikimit xmlns="0e656187-b300-4fb0-8bf4-3a50f872073c">2023-06-19T08:12:59Z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6851BBF9AEC4BF9A52C5151435369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F759299-6A23-4378-A166-683BE32A50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8B2669-7F96-4958-8EEF-9D4DD90D6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8357F02-40A1-45DE-A4BC-2BC8B29A0A5E}">
  <ds:schemaRefs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AE4541B-40FE-4197-95C4-A918E9625A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EEFB1F-97EE-49F8-85A1-05B94685E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nisida.fagu</dc:creator>
  <cp:lastModifiedBy>Elona Baci</cp:lastModifiedBy>
  <cp:revision>3</cp:revision>
  <dcterms:created xsi:type="dcterms:W3CDTF">2019-03-18T14:06:00Z</dcterms:created>
  <dcterms:modified xsi:type="dcterms:W3CDTF">2023-06-20T08:23:00Z</dcterms:modified>
</cp:coreProperties>
</file>