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18D" w:rsidRDefault="0029618D" w:rsidP="0029618D">
      <w:pPr>
        <w:pStyle w:val="Akti"/>
        <w:rPr>
          <w:spacing w:val="-4"/>
          <w:lang w:val="sq-AL"/>
        </w:rPr>
      </w:pPr>
      <w:r>
        <w:rPr>
          <w:spacing w:val="-4"/>
          <w:lang w:val="sq-AL"/>
        </w:rPr>
        <w:t>URDHËR</w:t>
      </w:r>
    </w:p>
    <w:p w:rsidR="0029618D" w:rsidRDefault="0029618D" w:rsidP="0029618D">
      <w:pPr>
        <w:pStyle w:val="NumriData"/>
        <w:rPr>
          <w:spacing w:val="-4"/>
          <w:lang w:val="sq-AL"/>
        </w:rPr>
      </w:pPr>
      <w:r>
        <w:rPr>
          <w:spacing w:val="-4"/>
          <w:lang w:val="sq-AL"/>
        </w:rPr>
        <w:t>Nr. 1587/1, datë 25.2.2016</w:t>
      </w:r>
    </w:p>
    <w:p w:rsidR="0029618D" w:rsidRDefault="0029618D" w:rsidP="0029618D">
      <w:pPr>
        <w:pStyle w:val="Paragrafi"/>
        <w:rPr>
          <w:spacing w:val="-4"/>
          <w:sz w:val="6"/>
          <w:lang w:val="sq-AL"/>
        </w:rPr>
      </w:pPr>
    </w:p>
    <w:p w:rsidR="0029618D" w:rsidRDefault="0029618D" w:rsidP="0029618D">
      <w:pPr>
        <w:pStyle w:val="Titulli"/>
        <w:rPr>
          <w:spacing w:val="-4"/>
          <w:lang w:val="sq-AL"/>
        </w:rPr>
      </w:pPr>
      <w:r>
        <w:rPr>
          <w:spacing w:val="-4"/>
          <w:lang w:val="sq-AL"/>
        </w:rPr>
        <w:t>PËR CAKTIMIN E NUMRIT TË PËRGJITHSHËM TË NOTERËVE DHE NUMRIT TË TYRE PËR ÇDO RRETH GJYQËSOR, SI DHE MBULIMIN PËRKATËS PËR ÇDO BASHKI, SË BASHKU ME NJËSITË ADMINISTRATIVE PRANË SAJ</w:t>
      </w:r>
    </w:p>
    <w:p w:rsidR="0029618D" w:rsidRDefault="0029618D" w:rsidP="0029618D">
      <w:pPr>
        <w:pStyle w:val="Paragrafi"/>
        <w:rPr>
          <w:spacing w:val="-4"/>
          <w:sz w:val="8"/>
          <w:lang w:val="sq-AL"/>
        </w:rPr>
      </w:pPr>
    </w:p>
    <w:p w:rsidR="0029618D" w:rsidRDefault="0029618D" w:rsidP="0029618D">
      <w:pPr>
        <w:pStyle w:val="Paragrafi"/>
        <w:rPr>
          <w:spacing w:val="-4"/>
          <w:lang w:val="sq-AL"/>
        </w:rPr>
      </w:pPr>
      <w:r>
        <w:rPr>
          <w:spacing w:val="-4"/>
          <w:lang w:val="sq-AL"/>
        </w:rPr>
        <w:t xml:space="preserve"> Në mbështetje të nenit 102 pika 4 të Kushtetutës, të nenit 7 pika 2 të ligjit nr. 8678, datë 14.5.2001 “Për organizimin dhe funksionimin e Ministrisë së Drejtësisë”, të ndryshuar, dhe të neneve 3 dhe 16 të ligjit nr. 7829, datë 1.6.1994 “Për noterinë”, të ndryshuar,</w:t>
      </w:r>
    </w:p>
    <w:p w:rsidR="0029618D" w:rsidRDefault="0029618D" w:rsidP="0029618D">
      <w:pPr>
        <w:pStyle w:val="Paragrafi"/>
        <w:rPr>
          <w:spacing w:val="-4"/>
          <w:sz w:val="6"/>
          <w:lang w:val="sq-AL"/>
        </w:rPr>
      </w:pPr>
    </w:p>
    <w:p w:rsidR="0029618D" w:rsidRDefault="0029618D" w:rsidP="0029618D">
      <w:pPr>
        <w:pStyle w:val="Paragrafi"/>
        <w:jc w:val="center"/>
        <w:rPr>
          <w:spacing w:val="-4"/>
          <w:lang w:val="sq-AL"/>
        </w:rPr>
      </w:pPr>
      <w:r>
        <w:rPr>
          <w:spacing w:val="-4"/>
          <w:lang w:val="sq-AL"/>
        </w:rPr>
        <w:t>Konstatoj se:</w:t>
      </w:r>
    </w:p>
    <w:p w:rsidR="0029618D" w:rsidRDefault="0029618D" w:rsidP="0029618D">
      <w:pPr>
        <w:pStyle w:val="Paragrafi"/>
        <w:rPr>
          <w:spacing w:val="-4"/>
          <w:sz w:val="8"/>
          <w:lang w:val="sq-AL"/>
        </w:rPr>
      </w:pPr>
    </w:p>
    <w:p w:rsidR="0029618D" w:rsidRDefault="0029618D" w:rsidP="0029618D">
      <w:pPr>
        <w:pStyle w:val="Paragrafi"/>
        <w:rPr>
          <w:spacing w:val="-4"/>
          <w:lang w:val="sq-AL"/>
        </w:rPr>
      </w:pPr>
      <w:r>
        <w:rPr>
          <w:spacing w:val="-4"/>
          <w:lang w:val="sq-AL"/>
        </w:rPr>
        <w:t xml:space="preserve">Noteria, si profesion i lirë në Republikën e Shqipërisë, zë një vend të veçantë për shkak të rëndësisë së </w:t>
      </w:r>
      <w:bookmarkStart w:id="0" w:name="_GoBack"/>
      <w:bookmarkEnd w:id="0"/>
      <w:r>
        <w:rPr>
          <w:spacing w:val="-4"/>
          <w:lang w:val="sq-AL"/>
        </w:rPr>
        <w:t>rolit të saj në stabilitetin e veprimeve juridike dhe vërtetimit të akteve. Për shkak të kësaj rëndësie, ligji nr. 7829, datë 1.6.1994 “Për noterinë”, ka parashikuar një numër të kufizuar noterësh, në mënyrë që të ruhet ekuilibri, nga njëra anë, midis aktivitetit të tyre ekonomik dhe rolit të tyre si funksionar publik, dhe nga ana tjetër, cilësisë dhe shpejtësisë në ofrimin e shërbimeve noteriale kundrejt qytetarëve në njësitë e qeverisjes vendore.</w:t>
      </w:r>
    </w:p>
    <w:p w:rsidR="0029618D" w:rsidRDefault="0029618D" w:rsidP="0029618D">
      <w:pPr>
        <w:pStyle w:val="Paragrafi"/>
        <w:rPr>
          <w:spacing w:val="-4"/>
          <w:lang w:val="sq-AL"/>
        </w:rPr>
      </w:pPr>
      <w:r>
        <w:rPr>
          <w:spacing w:val="-4"/>
          <w:lang w:val="sq-AL"/>
        </w:rPr>
        <w:t>Me urdhër të ministrit të Drejtësisë nr. 158, datë 9.4.2013 “Për caktimin e numrit të përgjithshëm të noterëve dhe numrit të tyre sipas njësive të qeverisjes vendore”, numri i përgjithshëm i noterëve është 443. Sipas nenit 16 të ligjit nr. 7829/1994, ministri i Drejtësisë, në bazë të numrit të popullsisë dhe të vëllimit të punës së veprimtarisë noteriale, pasi të ketë marrë mendimin me shkrim të Dhomës Kombëtare të Noterisë, cakton çdo dy vjet numrin e përgjithshëm të noterëve për çdo rreth gjyqësor, si dhe mbulimin përkatës për çdo bashki, së bashku me njësitë administrative pranë saj.</w:t>
      </w:r>
    </w:p>
    <w:p w:rsidR="0029618D" w:rsidRDefault="0029618D" w:rsidP="0029618D">
      <w:pPr>
        <w:pStyle w:val="Paragrafi"/>
        <w:rPr>
          <w:spacing w:val="-4"/>
          <w:lang w:val="sq-AL"/>
        </w:rPr>
      </w:pPr>
      <w:r>
        <w:rPr>
          <w:spacing w:val="-4"/>
          <w:lang w:val="sq-AL"/>
        </w:rPr>
        <w:t>Duke qenë se është plotësuar afati dyvjeçar i rishikimit të mëparshëm të numrit të përgjithshëm të noterëve, si dhe duke mbajtur në konsideratë zhvillimet në ligjin nr. 115/2014 “Për ndarjen administrativo-territoriale të njësive të qeverisjes vendore në Republikën e Shqipërisë” është i detyrueshëm rishikimi i numrit të përgjithshëm të noterëve, bazuar në kriteret ligjore të mëposhtme:</w:t>
      </w:r>
    </w:p>
    <w:p w:rsidR="0029618D" w:rsidRDefault="0029618D" w:rsidP="0029618D">
      <w:pPr>
        <w:pStyle w:val="Paragrafi"/>
        <w:rPr>
          <w:spacing w:val="-4"/>
          <w:lang w:val="sq-AL"/>
        </w:rPr>
      </w:pPr>
      <w:r>
        <w:rPr>
          <w:spacing w:val="-4"/>
          <w:lang w:val="sq-AL"/>
        </w:rPr>
        <w:t>a) Numrin e popullsisë së bashkisë, së bashku me njësitë administrative rreth saj;</w:t>
      </w:r>
    </w:p>
    <w:p w:rsidR="0029618D" w:rsidRDefault="0029618D" w:rsidP="0029618D">
      <w:pPr>
        <w:pStyle w:val="Paragrafi"/>
        <w:rPr>
          <w:spacing w:val="-4"/>
          <w:lang w:val="sq-AL"/>
        </w:rPr>
      </w:pPr>
      <w:r>
        <w:rPr>
          <w:spacing w:val="-4"/>
          <w:lang w:val="sq-AL"/>
        </w:rPr>
        <w:t>b)Vëllimin e punës së veprimtarisë noteriale.</w:t>
      </w:r>
    </w:p>
    <w:p w:rsidR="0029618D" w:rsidRDefault="0029618D" w:rsidP="0029618D">
      <w:pPr>
        <w:pStyle w:val="Paragrafi"/>
        <w:rPr>
          <w:spacing w:val="-4"/>
          <w:lang w:val="sq-AL"/>
        </w:rPr>
      </w:pPr>
      <w:r>
        <w:rPr>
          <w:spacing w:val="-4"/>
          <w:lang w:val="sq-AL"/>
        </w:rPr>
        <w:t>Në lidhje me kriterin e parë, Ministria e Drejtësisë është referuar në të dhënat zyrtare që publikon Instituti i Statistikave (INSTAT). Ndërkohë, në lidhje me kriterin e dytë, janë përdorur të dhënat për veprimtarinë noteriale të dërguara nga Dhoma Kombëtare e Noterisë, si dhe nga Regjistri Noterial Shqiptar (RNSH).</w:t>
      </w:r>
    </w:p>
    <w:p w:rsidR="0029618D" w:rsidRDefault="0029618D" w:rsidP="0029618D">
      <w:pPr>
        <w:pStyle w:val="Paragrafi"/>
        <w:rPr>
          <w:spacing w:val="-4"/>
          <w:lang w:val="sq-AL"/>
        </w:rPr>
      </w:pPr>
      <w:r>
        <w:rPr>
          <w:spacing w:val="-4"/>
          <w:lang w:val="sq-AL"/>
        </w:rPr>
        <w:t>Procesi i caktimit të numrit të përgjithshëm të noterëve, si dhe shpërndarja e tyre në njësitë e qeverisjes vendore, duhet të udhëhiqet nga kriteret e vendosura nga ligji, si dhe nga parimet e efiçencës dhe shpejtësisë së shërbimit, mbulimit me shërbim noterial të të gjitha njësive administrative të qeverisjes vendore, ngarkesës së noterëve, si dhe numrit të veprimeve noteriale për çdo banor. Përmbushja e kritereve dhe e parimeve që duhet të udhëheqin këtë proces, kërkon analizimin me kujdes të numrit të noterëve për çdo njësi të qeverisjes vendore, numrit të popullsisë, numrit të veprimeve noteriale, si dhe nevojën për vende vakante gjatë dy viteve të ardhshme.</w:t>
      </w:r>
    </w:p>
    <w:p w:rsidR="0029618D" w:rsidRDefault="0029618D" w:rsidP="0029618D">
      <w:pPr>
        <w:pStyle w:val="Paragrafi"/>
        <w:rPr>
          <w:spacing w:val="-4"/>
          <w:sz w:val="8"/>
          <w:lang w:val="sq-AL"/>
        </w:rPr>
      </w:pPr>
    </w:p>
    <w:p w:rsidR="0029618D" w:rsidRDefault="0029618D" w:rsidP="0029618D">
      <w:pPr>
        <w:pStyle w:val="Paragrafi"/>
        <w:jc w:val="center"/>
        <w:rPr>
          <w:spacing w:val="-4"/>
          <w:lang w:val="sq-AL"/>
        </w:rPr>
      </w:pPr>
      <w:r>
        <w:rPr>
          <w:spacing w:val="-4"/>
          <w:lang w:val="sq-AL"/>
        </w:rPr>
        <w:t>Për këtë arsye:</w:t>
      </w:r>
    </w:p>
    <w:p w:rsidR="0029618D" w:rsidRDefault="0029618D" w:rsidP="0029618D">
      <w:pPr>
        <w:pStyle w:val="Paragrafi"/>
        <w:rPr>
          <w:spacing w:val="-4"/>
          <w:sz w:val="8"/>
          <w:lang w:val="sq-AL"/>
        </w:rPr>
      </w:pPr>
    </w:p>
    <w:p w:rsidR="0029618D" w:rsidRDefault="0029618D" w:rsidP="0029618D">
      <w:pPr>
        <w:pStyle w:val="Paragrafi"/>
        <w:rPr>
          <w:spacing w:val="-4"/>
          <w:lang w:val="sq-AL"/>
        </w:rPr>
      </w:pPr>
      <w:r>
        <w:rPr>
          <w:spacing w:val="-4"/>
          <w:lang w:val="sq-AL"/>
        </w:rPr>
        <w:t>Në mbështetje të neneve 3 dhe 16 të ligjit nr. 7829, datë 1.6.1994 “Për noterinë”, të ndryshuar,</w:t>
      </w:r>
    </w:p>
    <w:p w:rsidR="0029618D" w:rsidRDefault="0029618D" w:rsidP="0029618D">
      <w:pPr>
        <w:pStyle w:val="Paragrafi"/>
        <w:rPr>
          <w:spacing w:val="-4"/>
          <w:sz w:val="8"/>
          <w:lang w:val="sq-AL"/>
        </w:rPr>
      </w:pPr>
    </w:p>
    <w:p w:rsidR="0029618D" w:rsidRDefault="0029618D" w:rsidP="0029618D">
      <w:pPr>
        <w:pStyle w:val="Paragrafi"/>
        <w:jc w:val="center"/>
        <w:rPr>
          <w:spacing w:val="-4"/>
          <w:lang w:val="sq-AL"/>
        </w:rPr>
      </w:pPr>
      <w:r>
        <w:rPr>
          <w:spacing w:val="-4"/>
          <w:lang w:val="sq-AL"/>
        </w:rPr>
        <w:t>Urdhëroj:</w:t>
      </w:r>
    </w:p>
    <w:p w:rsidR="0029618D" w:rsidRDefault="0029618D" w:rsidP="0029618D">
      <w:pPr>
        <w:pStyle w:val="Paragrafi"/>
        <w:rPr>
          <w:spacing w:val="-4"/>
          <w:sz w:val="8"/>
          <w:lang w:val="sq-AL"/>
        </w:rPr>
      </w:pPr>
    </w:p>
    <w:p w:rsidR="0029618D" w:rsidRDefault="0029618D" w:rsidP="0029618D">
      <w:pPr>
        <w:pStyle w:val="Paragrafi"/>
        <w:rPr>
          <w:spacing w:val="-4"/>
          <w:lang w:val="sq-AL"/>
        </w:rPr>
      </w:pPr>
      <w:r>
        <w:rPr>
          <w:spacing w:val="-4"/>
          <w:lang w:val="sq-AL"/>
        </w:rPr>
        <w:t>1. Numri i noterëve që ushtrojnë veprimtarinë e tyre në territorin e Republikës së Shqipërisë, për dy vitet e ardhshme, të jetë 460 (katërqind e gjashtëdhjetë).</w:t>
      </w:r>
    </w:p>
    <w:p w:rsidR="0029618D" w:rsidRDefault="0029618D" w:rsidP="0029618D">
      <w:pPr>
        <w:pStyle w:val="Paragrafi"/>
        <w:rPr>
          <w:spacing w:val="-4"/>
          <w:lang w:val="sq-AL"/>
        </w:rPr>
      </w:pPr>
      <w:r>
        <w:rPr>
          <w:spacing w:val="-4"/>
          <w:lang w:val="sq-AL"/>
        </w:rPr>
        <w:t>2. Numri i noterëve sipas njësive të qeverisjes vendore, për dy vitet e ardhshme, të jetë sipas aneksit nr.1, bashkëlidhur këtij urdhri dhe pjesë përbërëse e tij.</w:t>
      </w:r>
    </w:p>
    <w:p w:rsidR="0029618D" w:rsidRDefault="0029618D" w:rsidP="0029618D">
      <w:pPr>
        <w:pStyle w:val="Paragrafi"/>
        <w:rPr>
          <w:spacing w:val="-4"/>
          <w:lang w:val="sq-AL"/>
        </w:rPr>
      </w:pPr>
      <w:r>
        <w:rPr>
          <w:spacing w:val="-4"/>
          <w:lang w:val="sq-AL"/>
        </w:rPr>
        <w:t>3. Shpalljen e vendeve vakante për njësitë e qeverisjes vendore, sipas aneksit nr. 2, bashkëlidhur këtij urdhri dhe pjesë përbërëse e tij.</w:t>
      </w:r>
    </w:p>
    <w:p w:rsidR="0029618D" w:rsidRDefault="0029618D" w:rsidP="0029618D">
      <w:pPr>
        <w:pStyle w:val="Paragrafi"/>
        <w:rPr>
          <w:spacing w:val="-4"/>
          <w:lang w:val="sq-AL"/>
        </w:rPr>
      </w:pPr>
      <w:r>
        <w:rPr>
          <w:spacing w:val="-4"/>
          <w:lang w:val="sq-AL"/>
        </w:rPr>
        <w:t>4. Urdhri nr. 158, datë 9.4.2013 “Për caktimin e numrit të përgjithshëm të noterëve dhe numrit të tyre sipas njësive të qeverisjes vendore”, revokohet.</w:t>
      </w:r>
    </w:p>
    <w:p w:rsidR="0029618D" w:rsidRDefault="0029618D" w:rsidP="0029618D">
      <w:pPr>
        <w:pStyle w:val="Paragrafi"/>
        <w:rPr>
          <w:spacing w:val="-4"/>
          <w:lang w:val="sq-AL"/>
        </w:rPr>
      </w:pPr>
      <w:r>
        <w:rPr>
          <w:spacing w:val="-4"/>
          <w:lang w:val="sq-AL"/>
        </w:rPr>
        <w:t>5. Ngarkohet Drejtoria e Inspektimit të Institucioneve të Varësisë dhe Profesioneve të Lira për ndjekjen dhe zbatimin e këtij urdhri.</w:t>
      </w:r>
    </w:p>
    <w:p w:rsidR="0029618D" w:rsidRDefault="0029618D" w:rsidP="0029618D">
      <w:pPr>
        <w:pStyle w:val="Paragrafi"/>
        <w:rPr>
          <w:spacing w:val="-4"/>
          <w:lang w:val="sq-AL"/>
        </w:rPr>
      </w:pPr>
      <w:r>
        <w:rPr>
          <w:spacing w:val="-4"/>
          <w:lang w:val="sq-AL"/>
        </w:rPr>
        <w:t>6. Ky urdhër hyn në fuqi menjëherë dhe botohet në Fletoren Zyrtare.</w:t>
      </w:r>
    </w:p>
    <w:p w:rsidR="0029618D" w:rsidRDefault="0029618D" w:rsidP="0029618D">
      <w:pPr>
        <w:pStyle w:val="Paragrafi"/>
        <w:rPr>
          <w:sz w:val="4"/>
          <w:lang w:val="sq-AL"/>
        </w:rPr>
      </w:pPr>
    </w:p>
    <w:p w:rsidR="0029618D" w:rsidRDefault="0029618D" w:rsidP="0029618D">
      <w:pPr>
        <w:pStyle w:val="Paragrafi"/>
        <w:jc w:val="right"/>
        <w:rPr>
          <w:lang w:val="sq-AL"/>
        </w:rPr>
      </w:pPr>
      <w:r>
        <w:rPr>
          <w:lang w:val="sq-AL"/>
        </w:rPr>
        <w:t>MINISTRI I DREJTËSISË</w:t>
      </w:r>
    </w:p>
    <w:p w:rsidR="0029618D" w:rsidRDefault="0029618D" w:rsidP="0029618D">
      <w:pPr>
        <w:pStyle w:val="Paragrafi"/>
        <w:jc w:val="right"/>
        <w:rPr>
          <w:b/>
          <w:lang w:val="sq-AL"/>
        </w:rPr>
      </w:pPr>
      <w:r>
        <w:rPr>
          <w:b/>
          <w:lang w:val="sq-AL"/>
        </w:rPr>
        <w:t>Ylli Manjani</w:t>
      </w:r>
    </w:p>
    <w:p w:rsidR="0029618D" w:rsidRDefault="0029618D" w:rsidP="0029618D">
      <w:pPr>
        <w:spacing w:after="0" w:line="240" w:lineRule="auto"/>
        <w:ind w:firstLine="0"/>
        <w:jc w:val="left"/>
        <w:rPr>
          <w:rFonts w:ascii="Garamond" w:eastAsia="MS Mincho" w:hAnsi="Garamond" w:cs="CG Times"/>
          <w:sz w:val="24"/>
          <w:lang w:val="sq-AL"/>
        </w:rPr>
        <w:sectPr w:rsidR="0029618D" w:rsidSect="0029618D">
          <w:pgSz w:w="11907" w:h="16840"/>
          <w:pgMar w:top="720" w:right="1134" w:bottom="720" w:left="1134" w:header="851" w:footer="851" w:gutter="0"/>
          <w:pgNumType w:start="2441"/>
          <w:cols w:space="454"/>
        </w:sectPr>
      </w:pPr>
    </w:p>
    <w:p w:rsidR="0029618D" w:rsidRDefault="0029618D" w:rsidP="0029618D">
      <w:pPr>
        <w:pStyle w:val="Paragrafi"/>
        <w:rPr>
          <w:lang w:val="sq-AL"/>
        </w:rPr>
        <w:sectPr w:rsidR="0029618D">
          <w:type w:val="continuous"/>
          <w:pgSz w:w="11907" w:h="16840"/>
          <w:pgMar w:top="720" w:right="1134" w:bottom="720" w:left="1134" w:header="851" w:footer="851" w:gutter="0"/>
          <w:pgNumType w:start="2444"/>
          <w:cols w:space="720"/>
        </w:sectPr>
      </w:pPr>
    </w:p>
    <w:p w:rsidR="0029618D" w:rsidRDefault="0029618D" w:rsidP="0029618D">
      <w:pPr>
        <w:pStyle w:val="Paragrafi"/>
        <w:rPr>
          <w:lang w:val="sq-AL"/>
        </w:rPr>
      </w:pPr>
    </w:p>
    <w:p w:rsidR="0029618D" w:rsidRDefault="0029618D" w:rsidP="0029618D">
      <w:pPr>
        <w:pStyle w:val="Paragrafi"/>
        <w:rPr>
          <w:lang w:val="sq-AL"/>
        </w:rPr>
      </w:pPr>
      <w:r>
        <w:rPr>
          <w:noProof/>
        </w:rPr>
        <w:drawing>
          <wp:inline distT="0" distB="0" distL="0" distR="0" wp14:anchorId="4DB6D4DE" wp14:editId="7A112C4D">
            <wp:extent cx="4648200" cy="74485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b="3027"/>
                    <a:stretch>
                      <a:fillRect/>
                    </a:stretch>
                  </pic:blipFill>
                  <pic:spPr bwMode="auto">
                    <a:xfrm>
                      <a:off x="0" y="0"/>
                      <a:ext cx="4648200" cy="7448550"/>
                    </a:xfrm>
                    <a:prstGeom prst="rect">
                      <a:avLst/>
                    </a:prstGeom>
                    <a:noFill/>
                    <a:ln>
                      <a:noFill/>
                    </a:ln>
                  </pic:spPr>
                </pic:pic>
              </a:graphicData>
            </a:graphic>
          </wp:inline>
        </w:drawing>
      </w:r>
      <w:r>
        <w:rPr>
          <w:noProof/>
        </w:rPr>
        <w:lastRenderedPageBreak/>
        <w:drawing>
          <wp:inline distT="0" distB="0" distL="0" distR="0" wp14:anchorId="7FDD7623" wp14:editId="6E0A19C5">
            <wp:extent cx="2895600" cy="80676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b="2979"/>
                    <a:stretch>
                      <a:fillRect/>
                    </a:stretch>
                  </pic:blipFill>
                  <pic:spPr bwMode="auto">
                    <a:xfrm>
                      <a:off x="0" y="0"/>
                      <a:ext cx="2895600" cy="8067675"/>
                    </a:xfrm>
                    <a:prstGeom prst="rect">
                      <a:avLst/>
                    </a:prstGeom>
                    <a:noFill/>
                    <a:ln>
                      <a:noFill/>
                    </a:ln>
                  </pic:spPr>
                </pic:pic>
              </a:graphicData>
            </a:graphic>
          </wp:inline>
        </w:drawing>
      </w:r>
    </w:p>
    <w:p w:rsidR="0029618D" w:rsidRDefault="0029618D" w:rsidP="0029618D">
      <w:pPr>
        <w:pStyle w:val="Paragrafi"/>
        <w:rPr>
          <w:lang w:val="sq-AL"/>
        </w:rPr>
      </w:pPr>
    </w:p>
    <w:p w:rsidR="0029618D" w:rsidRDefault="0029618D" w:rsidP="0029618D">
      <w:pPr>
        <w:pStyle w:val="Paragrafi"/>
        <w:jc w:val="left"/>
        <w:rPr>
          <w:lang w:val="sq-AL"/>
        </w:rPr>
      </w:pPr>
      <w:r>
        <w:rPr>
          <w:noProof/>
        </w:rPr>
        <w:lastRenderedPageBreak/>
        <w:drawing>
          <wp:inline distT="0" distB="0" distL="0" distR="0" wp14:anchorId="148B7A8D" wp14:editId="45E940EC">
            <wp:extent cx="2381250" cy="3867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1250" cy="3867150"/>
                    </a:xfrm>
                    <a:prstGeom prst="rect">
                      <a:avLst/>
                    </a:prstGeom>
                    <a:noFill/>
                    <a:ln>
                      <a:noFill/>
                    </a:ln>
                  </pic:spPr>
                </pic:pic>
              </a:graphicData>
            </a:graphic>
          </wp:inline>
        </w:drawing>
      </w:r>
    </w:p>
    <w:p w:rsidR="0029618D" w:rsidRDefault="0029618D" w:rsidP="0029618D">
      <w:pPr>
        <w:pStyle w:val="Paragrafi"/>
        <w:rPr>
          <w:lang w:val="sq-AL"/>
        </w:rPr>
      </w:pPr>
      <w:r>
        <w:rPr>
          <w:noProof/>
        </w:rPr>
        <w:drawing>
          <wp:inline distT="0" distB="0" distL="0" distR="0" wp14:anchorId="206C8570" wp14:editId="7E47DC25">
            <wp:extent cx="4733925" cy="4400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33925" cy="4400550"/>
                    </a:xfrm>
                    <a:prstGeom prst="rect">
                      <a:avLst/>
                    </a:prstGeom>
                    <a:noFill/>
                    <a:ln>
                      <a:noFill/>
                    </a:ln>
                  </pic:spPr>
                </pic:pic>
              </a:graphicData>
            </a:graphic>
          </wp:inline>
        </w:drawing>
      </w:r>
    </w:p>
    <w:p w:rsidR="0029618D" w:rsidRDefault="0029618D" w:rsidP="0029618D">
      <w:pPr>
        <w:pStyle w:val="Paragrafi"/>
        <w:rPr>
          <w:lang w:val="sq-AL"/>
        </w:rPr>
      </w:pPr>
    </w:p>
    <w:p w:rsidR="0029618D" w:rsidRDefault="0029618D" w:rsidP="0029618D">
      <w:pPr>
        <w:spacing w:after="0" w:line="240" w:lineRule="auto"/>
        <w:ind w:firstLine="0"/>
        <w:jc w:val="left"/>
        <w:rPr>
          <w:rFonts w:ascii="Garamond" w:hAnsi="Garamond"/>
          <w:b/>
          <w:sz w:val="24"/>
          <w:szCs w:val="24"/>
          <w:lang w:val="sq-AL"/>
        </w:rPr>
        <w:sectPr w:rsidR="0029618D">
          <w:type w:val="continuous"/>
          <w:pgSz w:w="11907" w:h="16840"/>
          <w:pgMar w:top="720" w:right="1134" w:bottom="720" w:left="1134" w:header="851" w:footer="851" w:gutter="0"/>
          <w:pgNumType w:start="2444"/>
          <w:cols w:space="720"/>
        </w:sectPr>
      </w:pPr>
    </w:p>
    <w:p w:rsidR="0029618D" w:rsidRDefault="0029618D" w:rsidP="0029618D">
      <w:pPr>
        <w:widowControl w:val="0"/>
        <w:spacing w:after="0" w:line="240" w:lineRule="auto"/>
        <w:jc w:val="center"/>
        <w:rPr>
          <w:rFonts w:ascii="Garamond" w:hAnsi="Garamond"/>
          <w:b/>
          <w:sz w:val="24"/>
          <w:szCs w:val="24"/>
          <w:lang w:val="sq-AL"/>
        </w:rPr>
      </w:pPr>
    </w:p>
    <w:p w:rsidR="0029618D" w:rsidRDefault="0029618D" w:rsidP="0029618D">
      <w:pPr>
        <w:widowControl w:val="0"/>
        <w:spacing w:after="0" w:line="240" w:lineRule="auto"/>
        <w:jc w:val="center"/>
        <w:rPr>
          <w:rFonts w:ascii="Garamond" w:hAnsi="Garamond"/>
          <w:b/>
          <w:sz w:val="24"/>
          <w:szCs w:val="24"/>
          <w:lang w:val="sq-AL"/>
        </w:rPr>
      </w:pPr>
    </w:p>
    <w:p w:rsidR="00C038B6" w:rsidRPr="0029618D" w:rsidRDefault="0029618D" w:rsidP="0029618D"/>
    <w:sectPr w:rsidR="00C038B6" w:rsidRPr="0029618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31B" w:rsidRDefault="00AF6E1E">
      <w:pPr>
        <w:spacing w:after="0" w:line="240" w:lineRule="auto"/>
      </w:pPr>
      <w:r>
        <w:separator/>
      </w:r>
    </w:p>
  </w:endnote>
  <w:endnote w:type="continuationSeparator" w:id="0">
    <w:p w:rsidR="0053531B" w:rsidRDefault="00AF6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58521"/>
      <w:docPartObj>
        <w:docPartGallery w:val="Page Numbers (Bottom of Page)"/>
        <w:docPartUnique/>
      </w:docPartObj>
    </w:sdtPr>
    <w:sdtEndPr>
      <w:rPr>
        <w:rFonts w:ascii="Garamond" w:hAnsi="Garamond"/>
        <w:noProof/>
        <w:sz w:val="24"/>
        <w:szCs w:val="24"/>
      </w:rPr>
    </w:sdtEndPr>
    <w:sdtContent>
      <w:p w:rsidR="00D76741" w:rsidRPr="00B4283E" w:rsidRDefault="00936C1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2446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741" w:rsidRPr="005B4361" w:rsidRDefault="0029618D"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9558524"/>
      <w:docPartObj>
        <w:docPartGallery w:val="Page Numbers (Bottom of Page)"/>
        <w:docPartUnique/>
      </w:docPartObj>
    </w:sdtPr>
    <w:sdtEndPr>
      <w:rPr>
        <w:noProof/>
        <w:sz w:val="24"/>
        <w:szCs w:val="24"/>
      </w:rPr>
    </w:sdtEndPr>
    <w:sdtContent>
      <w:p w:rsidR="00D76741" w:rsidRPr="00833610" w:rsidRDefault="00936C1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D76741" w:rsidRDefault="002961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31B" w:rsidRDefault="00AF6E1E">
      <w:pPr>
        <w:spacing w:after="0" w:line="240" w:lineRule="auto"/>
      </w:pPr>
      <w:r>
        <w:separator/>
      </w:r>
    </w:p>
  </w:footnote>
  <w:footnote w:type="continuationSeparator" w:id="0">
    <w:p w:rsidR="0053531B" w:rsidRDefault="00AF6E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D76741" w:rsidRPr="00EB260B" w:rsidTr="00F36D8E">
      <w:trPr>
        <w:trHeight w:val="936"/>
        <w:jc w:val="center"/>
      </w:trPr>
      <w:tc>
        <w:tcPr>
          <w:tcW w:w="2811" w:type="dxa"/>
          <w:shd w:val="pct5" w:color="auto" w:fill="F2F2F2"/>
          <w:vAlign w:val="center"/>
        </w:tcPr>
        <w:p w:rsidR="00D76741" w:rsidRPr="00EB260B" w:rsidRDefault="00936C1B"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D76741" w:rsidRPr="00EB260B" w:rsidRDefault="00936C1B"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754AD4B0" wp14:editId="52CE68B6">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D76741" w:rsidRPr="00EB260B" w:rsidRDefault="00936C1B" w:rsidP="00F36D8E">
          <w:pPr>
            <w:pStyle w:val="NoSpacing"/>
            <w:spacing w:before="100" w:after="100"/>
            <w:jc w:val="center"/>
            <w:rPr>
              <w:rFonts w:ascii="Garamond" w:hAnsi="Garamond"/>
              <w:b/>
              <w:sz w:val="28"/>
              <w:szCs w:val="28"/>
            </w:rPr>
          </w:pPr>
          <w:r>
            <w:rPr>
              <w:rFonts w:ascii="Garamond" w:hAnsi="Garamond"/>
              <w:b/>
              <w:sz w:val="28"/>
              <w:szCs w:val="28"/>
            </w:rPr>
            <w:t xml:space="preserve"> Viti 2016 – Numri 30</w:t>
          </w:r>
        </w:p>
      </w:tc>
    </w:tr>
  </w:tbl>
  <w:p w:rsidR="00D76741" w:rsidRPr="00385E2C" w:rsidRDefault="0029618D"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741" w:rsidRDefault="002961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741" w:rsidRDefault="0029618D"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C1B"/>
    <w:rsid w:val="0029618D"/>
    <w:rsid w:val="002D1BDF"/>
    <w:rsid w:val="00462D66"/>
    <w:rsid w:val="0053531B"/>
    <w:rsid w:val="00936C1B"/>
    <w:rsid w:val="00AF6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C1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36C1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36C1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36C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C1B"/>
    <w:rPr>
      <w:rFonts w:ascii="Calibri" w:eastAsia="Calibri" w:hAnsi="Calibri" w:cs="Times New Roman"/>
    </w:rPr>
  </w:style>
  <w:style w:type="paragraph" w:styleId="Footer">
    <w:name w:val="footer"/>
    <w:basedOn w:val="Normal"/>
    <w:link w:val="FooterChar"/>
    <w:uiPriority w:val="99"/>
    <w:unhideWhenUsed/>
    <w:rsid w:val="00936C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C1B"/>
    <w:rPr>
      <w:rFonts w:ascii="Calibri" w:eastAsia="Calibri" w:hAnsi="Calibri" w:cs="Times New Roman"/>
    </w:rPr>
  </w:style>
  <w:style w:type="paragraph" w:customStyle="1" w:styleId="Akti">
    <w:name w:val="Akti"/>
    <w:link w:val="AktiChar"/>
    <w:rsid w:val="00936C1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36C1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36C1B"/>
    <w:rPr>
      <w:rFonts w:ascii="Garamond" w:eastAsia="MS Mincho" w:hAnsi="Garamond" w:cs="CG Times"/>
      <w:b/>
      <w:bCs/>
      <w:sz w:val="24"/>
      <w:lang w:val="en-GB"/>
    </w:rPr>
  </w:style>
  <w:style w:type="paragraph" w:customStyle="1" w:styleId="Paragrafi">
    <w:name w:val="Paragrafi"/>
    <w:link w:val="ParagrafiChar"/>
    <w:rsid w:val="00936C1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36C1B"/>
    <w:rPr>
      <w:rFonts w:ascii="Garamond" w:eastAsia="MS Mincho" w:hAnsi="Garamond" w:cs="CG Times"/>
      <w:sz w:val="24"/>
    </w:rPr>
  </w:style>
  <w:style w:type="paragraph" w:customStyle="1" w:styleId="Titulli">
    <w:name w:val="Titulli"/>
    <w:next w:val="Normal"/>
    <w:link w:val="TitulliChar"/>
    <w:rsid w:val="00936C1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36C1B"/>
    <w:rPr>
      <w:rFonts w:ascii="Garamond" w:eastAsia="MS Mincho" w:hAnsi="Garamond" w:cs="CG Times"/>
      <w:b/>
      <w:bCs/>
      <w:caps/>
      <w:sz w:val="24"/>
      <w:lang w:val="en-GB"/>
    </w:rPr>
  </w:style>
  <w:style w:type="character" w:customStyle="1" w:styleId="AktiChar">
    <w:name w:val="Akti Char"/>
    <w:basedOn w:val="DefaultParagraphFont"/>
    <w:link w:val="Akti"/>
    <w:rsid w:val="00936C1B"/>
    <w:rPr>
      <w:rFonts w:ascii="Garamond" w:eastAsia="MS Mincho" w:hAnsi="Garamond" w:cs="CG Times"/>
      <w:b/>
      <w:bCs/>
      <w:caps/>
      <w:color w:val="000000"/>
      <w:sz w:val="24"/>
      <w:lang w:val="en-GB"/>
    </w:rPr>
  </w:style>
  <w:style w:type="paragraph" w:styleId="BalloonText">
    <w:name w:val="Balloon Text"/>
    <w:basedOn w:val="Normal"/>
    <w:link w:val="BalloonTextChar"/>
    <w:uiPriority w:val="99"/>
    <w:semiHidden/>
    <w:unhideWhenUsed/>
    <w:rsid w:val="00936C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6C1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C1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36C1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36C1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36C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C1B"/>
    <w:rPr>
      <w:rFonts w:ascii="Calibri" w:eastAsia="Calibri" w:hAnsi="Calibri" w:cs="Times New Roman"/>
    </w:rPr>
  </w:style>
  <w:style w:type="paragraph" w:styleId="Footer">
    <w:name w:val="footer"/>
    <w:basedOn w:val="Normal"/>
    <w:link w:val="FooterChar"/>
    <w:uiPriority w:val="99"/>
    <w:unhideWhenUsed/>
    <w:rsid w:val="00936C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C1B"/>
    <w:rPr>
      <w:rFonts w:ascii="Calibri" w:eastAsia="Calibri" w:hAnsi="Calibri" w:cs="Times New Roman"/>
    </w:rPr>
  </w:style>
  <w:style w:type="paragraph" w:customStyle="1" w:styleId="Akti">
    <w:name w:val="Akti"/>
    <w:link w:val="AktiChar"/>
    <w:rsid w:val="00936C1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36C1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36C1B"/>
    <w:rPr>
      <w:rFonts w:ascii="Garamond" w:eastAsia="MS Mincho" w:hAnsi="Garamond" w:cs="CG Times"/>
      <w:b/>
      <w:bCs/>
      <w:sz w:val="24"/>
      <w:lang w:val="en-GB"/>
    </w:rPr>
  </w:style>
  <w:style w:type="paragraph" w:customStyle="1" w:styleId="Paragrafi">
    <w:name w:val="Paragrafi"/>
    <w:link w:val="ParagrafiChar"/>
    <w:rsid w:val="00936C1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36C1B"/>
    <w:rPr>
      <w:rFonts w:ascii="Garamond" w:eastAsia="MS Mincho" w:hAnsi="Garamond" w:cs="CG Times"/>
      <w:sz w:val="24"/>
    </w:rPr>
  </w:style>
  <w:style w:type="paragraph" w:customStyle="1" w:styleId="Titulli">
    <w:name w:val="Titulli"/>
    <w:next w:val="Normal"/>
    <w:link w:val="TitulliChar"/>
    <w:rsid w:val="00936C1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36C1B"/>
    <w:rPr>
      <w:rFonts w:ascii="Garamond" w:eastAsia="MS Mincho" w:hAnsi="Garamond" w:cs="CG Times"/>
      <w:b/>
      <w:bCs/>
      <w:caps/>
      <w:sz w:val="24"/>
      <w:lang w:val="en-GB"/>
    </w:rPr>
  </w:style>
  <w:style w:type="character" w:customStyle="1" w:styleId="AktiChar">
    <w:name w:val="Akti Char"/>
    <w:basedOn w:val="DefaultParagraphFont"/>
    <w:link w:val="Akti"/>
    <w:rsid w:val="00936C1B"/>
    <w:rPr>
      <w:rFonts w:ascii="Garamond" w:eastAsia="MS Mincho" w:hAnsi="Garamond" w:cs="CG Times"/>
      <w:b/>
      <w:bCs/>
      <w:caps/>
      <w:color w:val="000000"/>
      <w:sz w:val="24"/>
      <w:lang w:val="en-GB"/>
    </w:rPr>
  </w:style>
  <w:style w:type="paragraph" w:styleId="BalloonText">
    <w:name w:val="Balloon Text"/>
    <w:basedOn w:val="Normal"/>
    <w:link w:val="BalloonTextChar"/>
    <w:uiPriority w:val="99"/>
    <w:semiHidden/>
    <w:unhideWhenUsed/>
    <w:rsid w:val="00936C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6C1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254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3</cp:revision>
  <dcterms:created xsi:type="dcterms:W3CDTF">2016-03-03T09:39:00Z</dcterms:created>
  <dcterms:modified xsi:type="dcterms:W3CDTF">2018-01-16T10:01:00Z</dcterms:modified>
</cp:coreProperties>
</file>