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62D738" w14:textId="77777777" w:rsidR="000115E0" w:rsidRPr="004F1D50" w:rsidRDefault="000115E0" w:rsidP="000115E0">
      <w:pPr>
        <w:autoSpaceDE w:val="0"/>
        <w:autoSpaceDN w:val="0"/>
        <w:adjustRightInd w:val="0"/>
        <w:spacing w:after="0" w:line="240" w:lineRule="auto"/>
        <w:ind w:firstLine="284"/>
        <w:jc w:val="center"/>
        <w:rPr>
          <w:rFonts w:ascii="Garamond" w:hAnsi="Garamond" w:cs="Times New Roman"/>
          <w:b/>
          <w:bCs/>
          <w:color w:val="000000"/>
          <w:sz w:val="24"/>
          <w:szCs w:val="24"/>
        </w:rPr>
      </w:pPr>
      <w:r w:rsidRPr="004F1D50">
        <w:rPr>
          <w:rFonts w:ascii="Garamond" w:hAnsi="Garamond" w:cs="Times New Roman"/>
          <w:b/>
          <w:bCs/>
          <w:color w:val="000000"/>
          <w:sz w:val="24"/>
          <w:szCs w:val="24"/>
        </w:rPr>
        <w:t>URDHËR</w:t>
      </w:r>
    </w:p>
    <w:p w14:paraId="7EE73FB4" w14:textId="6E042444" w:rsidR="000115E0" w:rsidRPr="004F1D50" w:rsidRDefault="000115E0" w:rsidP="000115E0">
      <w:pPr>
        <w:autoSpaceDE w:val="0"/>
        <w:autoSpaceDN w:val="0"/>
        <w:adjustRightInd w:val="0"/>
        <w:spacing w:after="0" w:line="240" w:lineRule="auto"/>
        <w:ind w:firstLine="284"/>
        <w:jc w:val="center"/>
        <w:rPr>
          <w:rFonts w:ascii="Garamond" w:hAnsi="Garamond" w:cs="Times New Roman"/>
          <w:b/>
          <w:bCs/>
          <w:color w:val="000000"/>
          <w:sz w:val="24"/>
          <w:szCs w:val="24"/>
        </w:rPr>
      </w:pPr>
      <w:r w:rsidRPr="004F1D50">
        <w:rPr>
          <w:rFonts w:ascii="Garamond" w:hAnsi="Garamond" w:cs="Times New Roman"/>
          <w:b/>
          <w:bCs/>
          <w:color w:val="000000"/>
          <w:sz w:val="24"/>
          <w:szCs w:val="24"/>
        </w:rPr>
        <w:t>Nr.</w:t>
      </w:r>
      <w:r w:rsidR="004F1D50" w:rsidRPr="004F1D50">
        <w:rPr>
          <w:rFonts w:ascii="Garamond" w:hAnsi="Garamond" w:cs="Times New Roman"/>
          <w:b/>
          <w:bCs/>
          <w:color w:val="000000"/>
          <w:sz w:val="24"/>
          <w:szCs w:val="24"/>
        </w:rPr>
        <w:t xml:space="preserve"> </w:t>
      </w:r>
      <w:r w:rsidR="00C57D91" w:rsidRPr="004F1D50">
        <w:rPr>
          <w:rFonts w:ascii="Garamond" w:hAnsi="Garamond" w:cs="Times New Roman"/>
          <w:b/>
          <w:bCs/>
          <w:color w:val="000000"/>
          <w:sz w:val="24"/>
          <w:szCs w:val="24"/>
        </w:rPr>
        <w:t>181</w:t>
      </w:r>
      <w:r w:rsidRPr="004F1D50">
        <w:rPr>
          <w:rFonts w:ascii="Garamond" w:hAnsi="Garamond" w:cs="Times New Roman"/>
          <w:b/>
          <w:bCs/>
          <w:color w:val="000000"/>
          <w:sz w:val="24"/>
          <w:szCs w:val="24"/>
        </w:rPr>
        <w:t>, datë</w:t>
      </w:r>
      <w:r w:rsidR="00951EF4" w:rsidRPr="004F1D50">
        <w:rPr>
          <w:rFonts w:ascii="Garamond" w:hAnsi="Garamond" w:cs="Times New Roman"/>
          <w:b/>
          <w:bCs/>
          <w:color w:val="000000"/>
          <w:sz w:val="24"/>
          <w:szCs w:val="24"/>
        </w:rPr>
        <w:t xml:space="preserve"> </w:t>
      </w:r>
      <w:r w:rsidR="00C57D91" w:rsidRPr="004F1D50">
        <w:rPr>
          <w:rFonts w:ascii="Garamond" w:hAnsi="Garamond" w:cs="Times New Roman"/>
          <w:b/>
          <w:bCs/>
          <w:color w:val="000000"/>
          <w:sz w:val="24"/>
          <w:szCs w:val="24"/>
        </w:rPr>
        <w:t>4.5.</w:t>
      </w:r>
      <w:r w:rsidRPr="004F1D50">
        <w:rPr>
          <w:rFonts w:ascii="Garamond" w:hAnsi="Garamond" w:cs="Times New Roman"/>
          <w:b/>
          <w:bCs/>
          <w:color w:val="000000"/>
          <w:sz w:val="24"/>
          <w:szCs w:val="24"/>
        </w:rPr>
        <w:t>2022</w:t>
      </w:r>
    </w:p>
    <w:p w14:paraId="0883DDB8" w14:textId="77777777" w:rsidR="000115E0" w:rsidRPr="004F1D50" w:rsidRDefault="000115E0" w:rsidP="000115E0">
      <w:pPr>
        <w:autoSpaceDE w:val="0"/>
        <w:autoSpaceDN w:val="0"/>
        <w:adjustRightInd w:val="0"/>
        <w:spacing w:after="0" w:line="240" w:lineRule="auto"/>
        <w:ind w:firstLine="284"/>
        <w:jc w:val="center"/>
        <w:rPr>
          <w:rFonts w:ascii="Garamond" w:hAnsi="Garamond" w:cs="Times New Roman"/>
          <w:b/>
          <w:bCs/>
          <w:color w:val="000000"/>
          <w:sz w:val="24"/>
          <w:szCs w:val="24"/>
        </w:rPr>
      </w:pPr>
    </w:p>
    <w:p w14:paraId="45DDA31A" w14:textId="77777777" w:rsidR="000115E0" w:rsidRPr="004F1D50" w:rsidRDefault="000115E0" w:rsidP="000115E0">
      <w:pPr>
        <w:autoSpaceDE w:val="0"/>
        <w:autoSpaceDN w:val="0"/>
        <w:adjustRightInd w:val="0"/>
        <w:spacing w:after="0" w:line="240" w:lineRule="auto"/>
        <w:ind w:firstLine="284"/>
        <w:jc w:val="center"/>
        <w:rPr>
          <w:rFonts w:ascii="Garamond" w:hAnsi="Garamond" w:cs="Times New Roman"/>
          <w:b/>
          <w:bCs/>
          <w:color w:val="000000"/>
          <w:sz w:val="24"/>
          <w:szCs w:val="24"/>
        </w:rPr>
      </w:pPr>
      <w:r w:rsidRPr="004F1D50">
        <w:rPr>
          <w:rFonts w:ascii="Garamond" w:hAnsi="Garamond" w:cs="Times New Roman"/>
          <w:b/>
          <w:bCs/>
          <w:color w:val="000000"/>
          <w:sz w:val="24"/>
          <w:szCs w:val="24"/>
        </w:rPr>
        <w:t>PËR MIRATIMIN E RREGULLAVE TË HOLLËSISHME PËR PROCEDURËN E HETIMIT DISIPLINOR TË NDËRMJETËSIT TË PASURIVE TË PALUAJTSHME DHE FORMULARIT TË ANKESAVE</w:t>
      </w:r>
    </w:p>
    <w:p w14:paraId="62C6EC51" w14:textId="77777777" w:rsidR="000115E0" w:rsidRPr="004F1D50" w:rsidRDefault="000115E0" w:rsidP="000115E0">
      <w:pPr>
        <w:autoSpaceDE w:val="0"/>
        <w:autoSpaceDN w:val="0"/>
        <w:adjustRightInd w:val="0"/>
        <w:spacing w:after="0" w:line="240" w:lineRule="auto"/>
        <w:ind w:firstLine="284"/>
        <w:jc w:val="both"/>
        <w:rPr>
          <w:rFonts w:ascii="Garamond" w:hAnsi="Garamond" w:cs="Times New Roman"/>
          <w:color w:val="000000"/>
          <w:sz w:val="24"/>
          <w:szCs w:val="24"/>
        </w:rPr>
      </w:pPr>
    </w:p>
    <w:p w14:paraId="0464D165" w14:textId="1F104FF7" w:rsidR="000115E0" w:rsidRPr="004F1D50" w:rsidRDefault="000115E0" w:rsidP="000115E0">
      <w:pPr>
        <w:autoSpaceDE w:val="0"/>
        <w:autoSpaceDN w:val="0"/>
        <w:adjustRightInd w:val="0"/>
        <w:spacing w:after="0" w:line="240" w:lineRule="auto"/>
        <w:ind w:firstLine="284"/>
        <w:jc w:val="both"/>
        <w:rPr>
          <w:rFonts w:ascii="Garamond" w:hAnsi="Garamond" w:cs="Times New Roman"/>
          <w:color w:val="000000"/>
          <w:sz w:val="24"/>
          <w:szCs w:val="24"/>
        </w:rPr>
      </w:pPr>
      <w:r w:rsidRPr="004F1D50">
        <w:rPr>
          <w:rFonts w:ascii="Garamond" w:hAnsi="Garamond" w:cs="Times New Roman"/>
          <w:color w:val="000000"/>
          <w:sz w:val="24"/>
          <w:szCs w:val="24"/>
        </w:rPr>
        <w:t>Në mbështetje të nenit 102, pika 4, të Kushtetutës</w:t>
      </w:r>
      <w:r w:rsidR="004F1D50">
        <w:rPr>
          <w:rFonts w:ascii="Garamond" w:hAnsi="Garamond" w:cs="Times New Roman"/>
          <w:color w:val="000000"/>
          <w:sz w:val="24"/>
          <w:szCs w:val="24"/>
        </w:rPr>
        <w:t>;</w:t>
      </w:r>
      <w:r w:rsidRPr="004F1D50">
        <w:rPr>
          <w:rFonts w:ascii="Garamond" w:hAnsi="Garamond" w:cs="Times New Roman"/>
          <w:color w:val="000000"/>
          <w:sz w:val="24"/>
          <w:szCs w:val="24"/>
        </w:rPr>
        <w:t xml:space="preserve"> të</w:t>
      </w:r>
      <w:r w:rsidR="004F1D50">
        <w:rPr>
          <w:rFonts w:ascii="Garamond" w:hAnsi="Garamond" w:cs="Times New Roman"/>
          <w:color w:val="000000"/>
          <w:sz w:val="24"/>
          <w:szCs w:val="24"/>
        </w:rPr>
        <w:t xml:space="preserve"> nenit 7, pika 2, të ligjit </w:t>
      </w:r>
      <w:r w:rsidRPr="004F1D50">
        <w:rPr>
          <w:rFonts w:ascii="Garamond" w:hAnsi="Garamond" w:cs="Times New Roman"/>
          <w:color w:val="000000"/>
          <w:sz w:val="24"/>
          <w:szCs w:val="24"/>
        </w:rPr>
        <w:t>nr.</w:t>
      </w:r>
      <w:r w:rsidR="004F1D50">
        <w:rPr>
          <w:rFonts w:ascii="Garamond" w:hAnsi="Garamond" w:cs="Times New Roman"/>
          <w:color w:val="000000"/>
          <w:sz w:val="24"/>
          <w:szCs w:val="24"/>
        </w:rPr>
        <w:t xml:space="preserve"> 8678, datë 14.</w:t>
      </w:r>
      <w:r w:rsidRPr="004F1D50">
        <w:rPr>
          <w:rFonts w:ascii="Garamond" w:hAnsi="Garamond" w:cs="Times New Roman"/>
          <w:color w:val="000000"/>
          <w:sz w:val="24"/>
          <w:szCs w:val="24"/>
        </w:rPr>
        <w:t>5.2001</w:t>
      </w:r>
      <w:r w:rsidR="004F1D50">
        <w:rPr>
          <w:rFonts w:ascii="Garamond" w:hAnsi="Garamond" w:cs="Times New Roman"/>
          <w:color w:val="000000"/>
          <w:sz w:val="24"/>
          <w:szCs w:val="24"/>
        </w:rPr>
        <w:t>,</w:t>
      </w:r>
      <w:r w:rsidRPr="004F1D50">
        <w:rPr>
          <w:rFonts w:ascii="Garamond" w:hAnsi="Garamond" w:cs="Times New Roman"/>
          <w:color w:val="000000"/>
          <w:sz w:val="24"/>
          <w:szCs w:val="24"/>
        </w:rPr>
        <w:t xml:space="preserve"> “Për organizimin dhe funksionimin e Ministrisë së Drejtësisë”, </w:t>
      </w:r>
      <w:r w:rsidR="004F1D50">
        <w:rPr>
          <w:rFonts w:ascii="Garamond" w:hAnsi="Garamond" w:cs="Times New Roman"/>
          <w:color w:val="000000"/>
          <w:sz w:val="24"/>
          <w:szCs w:val="24"/>
        </w:rPr>
        <w:t>të</w:t>
      </w:r>
      <w:r w:rsidRPr="004F1D50">
        <w:rPr>
          <w:rFonts w:ascii="Garamond" w:hAnsi="Garamond" w:cs="Times New Roman"/>
          <w:color w:val="000000"/>
          <w:sz w:val="24"/>
          <w:szCs w:val="24"/>
        </w:rPr>
        <w:t xml:space="preserve"> ndryshuar</w:t>
      </w:r>
      <w:r w:rsidR="004F1D50">
        <w:rPr>
          <w:rFonts w:ascii="Garamond" w:hAnsi="Garamond" w:cs="Times New Roman"/>
          <w:color w:val="000000"/>
          <w:sz w:val="24"/>
          <w:szCs w:val="24"/>
        </w:rPr>
        <w:t>,</w:t>
      </w:r>
      <w:r w:rsidRPr="004F1D50">
        <w:rPr>
          <w:rFonts w:ascii="Garamond" w:hAnsi="Garamond" w:cs="Times New Roman"/>
          <w:color w:val="000000"/>
          <w:sz w:val="24"/>
          <w:szCs w:val="24"/>
        </w:rPr>
        <w:t xml:space="preserve"> dhe të nenit 23, pika 4, të ligjit nr. 9/2022</w:t>
      </w:r>
      <w:r w:rsidR="004F1D50">
        <w:rPr>
          <w:rFonts w:ascii="Garamond" w:hAnsi="Garamond" w:cs="Times New Roman"/>
          <w:color w:val="000000"/>
          <w:sz w:val="24"/>
          <w:szCs w:val="24"/>
        </w:rPr>
        <w:t>,</w:t>
      </w:r>
      <w:r w:rsidRPr="004F1D50">
        <w:rPr>
          <w:rFonts w:ascii="Garamond" w:hAnsi="Garamond" w:cs="Times New Roman"/>
          <w:color w:val="000000"/>
          <w:sz w:val="24"/>
          <w:szCs w:val="24"/>
        </w:rPr>
        <w:t xml:space="preserve"> “Për profesionin e ndërmjetës</w:t>
      </w:r>
      <w:r w:rsidR="004F1D50">
        <w:rPr>
          <w:rFonts w:ascii="Garamond" w:hAnsi="Garamond" w:cs="Times New Roman"/>
          <w:color w:val="000000"/>
          <w:sz w:val="24"/>
          <w:szCs w:val="24"/>
        </w:rPr>
        <w:t>it të pasurive të paluajtshme”,</w:t>
      </w:r>
    </w:p>
    <w:p w14:paraId="2AC1CDBC" w14:textId="77777777" w:rsidR="000115E0" w:rsidRPr="004F1D50" w:rsidRDefault="000115E0" w:rsidP="000115E0">
      <w:pPr>
        <w:autoSpaceDE w:val="0"/>
        <w:autoSpaceDN w:val="0"/>
        <w:adjustRightInd w:val="0"/>
        <w:spacing w:after="0" w:line="240" w:lineRule="auto"/>
        <w:ind w:firstLine="284"/>
        <w:jc w:val="both"/>
        <w:rPr>
          <w:rFonts w:ascii="Garamond" w:hAnsi="Garamond" w:cs="Times New Roman"/>
          <w:color w:val="000000"/>
          <w:sz w:val="24"/>
          <w:szCs w:val="24"/>
        </w:rPr>
      </w:pPr>
    </w:p>
    <w:p w14:paraId="67FE680E" w14:textId="77777777" w:rsidR="000115E0" w:rsidRPr="004F1D50" w:rsidRDefault="000115E0" w:rsidP="000115E0">
      <w:pPr>
        <w:autoSpaceDE w:val="0"/>
        <w:autoSpaceDN w:val="0"/>
        <w:adjustRightInd w:val="0"/>
        <w:spacing w:after="0" w:line="240" w:lineRule="auto"/>
        <w:ind w:firstLine="284"/>
        <w:jc w:val="center"/>
        <w:rPr>
          <w:rFonts w:ascii="Garamond" w:hAnsi="Garamond" w:cs="Times New Roman"/>
          <w:bCs/>
          <w:color w:val="000000"/>
          <w:sz w:val="24"/>
          <w:szCs w:val="24"/>
        </w:rPr>
      </w:pPr>
      <w:r w:rsidRPr="004F1D50">
        <w:rPr>
          <w:rFonts w:ascii="Garamond" w:hAnsi="Garamond" w:cs="Times New Roman"/>
          <w:bCs/>
          <w:color w:val="000000"/>
          <w:sz w:val="24"/>
          <w:szCs w:val="24"/>
        </w:rPr>
        <w:t>URDHËROJ:</w:t>
      </w:r>
    </w:p>
    <w:p w14:paraId="25EADB39" w14:textId="77777777" w:rsidR="000115E0" w:rsidRPr="004F1D50" w:rsidRDefault="000115E0" w:rsidP="000115E0">
      <w:pPr>
        <w:autoSpaceDE w:val="0"/>
        <w:autoSpaceDN w:val="0"/>
        <w:adjustRightInd w:val="0"/>
        <w:spacing w:after="0" w:line="240" w:lineRule="auto"/>
        <w:ind w:firstLine="284"/>
        <w:jc w:val="center"/>
        <w:rPr>
          <w:rFonts w:ascii="Garamond" w:hAnsi="Garamond" w:cs="Times New Roman"/>
          <w:b/>
          <w:bCs/>
          <w:color w:val="000000"/>
          <w:sz w:val="24"/>
          <w:szCs w:val="24"/>
        </w:rPr>
      </w:pPr>
    </w:p>
    <w:p w14:paraId="3DE8D008" w14:textId="0BE12F5C" w:rsidR="000115E0" w:rsidRPr="004F1D50" w:rsidRDefault="000115E0" w:rsidP="000115E0">
      <w:pPr>
        <w:autoSpaceDE w:val="0"/>
        <w:autoSpaceDN w:val="0"/>
        <w:adjustRightInd w:val="0"/>
        <w:spacing w:after="0" w:line="240" w:lineRule="auto"/>
        <w:ind w:firstLine="284"/>
        <w:jc w:val="both"/>
        <w:rPr>
          <w:rFonts w:ascii="Garamond" w:hAnsi="Garamond" w:cs="Times New Roman"/>
          <w:color w:val="000000"/>
          <w:sz w:val="24"/>
          <w:szCs w:val="24"/>
        </w:rPr>
      </w:pPr>
      <w:r w:rsidRPr="004F1D50">
        <w:rPr>
          <w:rFonts w:ascii="Garamond" w:hAnsi="Garamond" w:cs="Times New Roman"/>
          <w:color w:val="000000"/>
          <w:sz w:val="24"/>
          <w:szCs w:val="24"/>
        </w:rPr>
        <w:t xml:space="preserve">1. Miratimin e rregullave të hollësishme për procedurën e hetimit disiplinor të ndërmjetësit të pasurive të paluajtshme dhe formularit të ankesave, sipas </w:t>
      </w:r>
      <w:r w:rsidR="004F1D50" w:rsidRPr="004F1D50">
        <w:rPr>
          <w:rFonts w:ascii="Garamond" w:hAnsi="Garamond" w:cs="Times New Roman"/>
          <w:color w:val="000000"/>
          <w:sz w:val="24"/>
          <w:szCs w:val="24"/>
        </w:rPr>
        <w:t xml:space="preserve">shtojcës </w:t>
      </w:r>
      <w:r w:rsidRPr="004F1D50">
        <w:rPr>
          <w:rFonts w:ascii="Garamond" w:hAnsi="Garamond" w:cs="Times New Roman"/>
          <w:color w:val="000000"/>
          <w:sz w:val="24"/>
          <w:szCs w:val="24"/>
        </w:rPr>
        <w:t>1, bashkëlidhur dhe pjesë përbërëse e këtij</w:t>
      </w:r>
      <w:r w:rsidR="004F1D50">
        <w:rPr>
          <w:rFonts w:ascii="Garamond" w:hAnsi="Garamond" w:cs="Times New Roman"/>
          <w:color w:val="000000"/>
          <w:sz w:val="24"/>
          <w:szCs w:val="24"/>
        </w:rPr>
        <w:t xml:space="preserve"> urdhri.</w:t>
      </w:r>
    </w:p>
    <w:p w14:paraId="278190D5" w14:textId="77777777" w:rsidR="000115E0" w:rsidRPr="004F1D50" w:rsidRDefault="000115E0" w:rsidP="000115E0">
      <w:pPr>
        <w:autoSpaceDE w:val="0"/>
        <w:autoSpaceDN w:val="0"/>
        <w:adjustRightInd w:val="0"/>
        <w:spacing w:after="0" w:line="240" w:lineRule="auto"/>
        <w:ind w:firstLine="284"/>
        <w:jc w:val="both"/>
        <w:rPr>
          <w:rFonts w:ascii="Garamond" w:hAnsi="Garamond" w:cs="Times New Roman"/>
          <w:color w:val="000000"/>
          <w:sz w:val="24"/>
          <w:szCs w:val="24"/>
        </w:rPr>
      </w:pPr>
      <w:r w:rsidRPr="004F1D50">
        <w:rPr>
          <w:rFonts w:ascii="Garamond" w:hAnsi="Garamond" w:cs="Times New Roman"/>
          <w:color w:val="000000"/>
          <w:sz w:val="24"/>
          <w:szCs w:val="24"/>
        </w:rPr>
        <w:t>2. Hetimi disiplinor ndaj ndërmjetësit fillon kryesisht ose me ankesë, bazuar në informacione prej të cilave lindin dyshime të arsyeshme mbi kryerjen e një shkelje disiplinore gjatë ushtrimit të veprimtarisë së ndërmjetësimit.</w:t>
      </w:r>
    </w:p>
    <w:p w14:paraId="309E119F" w14:textId="77777777" w:rsidR="000115E0" w:rsidRPr="004F1D50" w:rsidRDefault="000115E0" w:rsidP="000115E0">
      <w:pPr>
        <w:autoSpaceDE w:val="0"/>
        <w:autoSpaceDN w:val="0"/>
        <w:adjustRightInd w:val="0"/>
        <w:spacing w:after="0" w:line="240" w:lineRule="auto"/>
        <w:ind w:firstLine="284"/>
        <w:jc w:val="both"/>
        <w:rPr>
          <w:rFonts w:ascii="Garamond" w:hAnsi="Garamond" w:cs="Times New Roman"/>
          <w:color w:val="000000"/>
          <w:sz w:val="24"/>
          <w:szCs w:val="24"/>
        </w:rPr>
      </w:pPr>
      <w:r w:rsidRPr="004F1D50">
        <w:rPr>
          <w:rFonts w:ascii="Garamond" w:hAnsi="Garamond" w:cs="Times New Roman"/>
          <w:color w:val="000000"/>
          <w:sz w:val="24"/>
          <w:szCs w:val="24"/>
        </w:rPr>
        <w:t xml:space="preserve">3. </w:t>
      </w:r>
      <w:r w:rsidRPr="004F1D50">
        <w:rPr>
          <w:rFonts w:ascii="Garamond" w:hAnsi="Garamond" w:cs="Times New Roman"/>
          <w:color w:val="000000"/>
          <w:sz w:val="24"/>
          <w:szCs w:val="24"/>
        </w:rPr>
        <w:tab/>
        <w:t>Hetimi kryhet për veprime ose mosveprime të ndërmjetësit të pasurive të paluajtshme për të cilat ka dyshime të arsyeshme se janë në kundërshtim me ligjin apo që përbëjnë shërbime të papërshtatshme profesionale, në kundërshtim me legjislacionin në fuqi ose Kodin e Etikës Profesionale.</w:t>
      </w:r>
    </w:p>
    <w:p w14:paraId="3B16DD39" w14:textId="04E8710D" w:rsidR="000115E0" w:rsidRPr="004F1D50" w:rsidRDefault="000115E0" w:rsidP="000115E0">
      <w:pPr>
        <w:autoSpaceDE w:val="0"/>
        <w:autoSpaceDN w:val="0"/>
        <w:adjustRightInd w:val="0"/>
        <w:spacing w:after="0" w:line="240" w:lineRule="auto"/>
        <w:ind w:firstLine="284"/>
        <w:jc w:val="both"/>
        <w:rPr>
          <w:rFonts w:ascii="Garamond" w:hAnsi="Garamond" w:cs="Times New Roman"/>
          <w:color w:val="000000"/>
          <w:sz w:val="24"/>
          <w:szCs w:val="24"/>
        </w:rPr>
      </w:pPr>
      <w:r w:rsidRPr="004F1D50">
        <w:rPr>
          <w:rFonts w:ascii="Garamond" w:hAnsi="Garamond" w:cs="Times New Roman"/>
          <w:color w:val="000000"/>
          <w:sz w:val="24"/>
          <w:szCs w:val="24"/>
        </w:rPr>
        <w:t xml:space="preserve">4. Ministri fillon hetimin me iniciativën e tij, bazuar në të dhëna thelbësore mbi fakte që rezultojnë nga burime të besueshme, mbi bazën e të cilave lind dyshimi i arsyeshëm se shkelja mund të jetë kryer nga ndërmjetësi. Informacionet që përftohen </w:t>
      </w:r>
      <w:r w:rsidR="004F1D50">
        <w:rPr>
          <w:rFonts w:ascii="Garamond" w:hAnsi="Garamond" w:cs="Times New Roman"/>
          <w:color w:val="000000"/>
          <w:sz w:val="24"/>
          <w:szCs w:val="24"/>
        </w:rPr>
        <w:t>nga media ose nga ankues anonim</w:t>
      </w:r>
      <w:r w:rsidRPr="004F1D50">
        <w:rPr>
          <w:rFonts w:ascii="Garamond" w:hAnsi="Garamond" w:cs="Times New Roman"/>
          <w:color w:val="000000"/>
          <w:sz w:val="24"/>
          <w:szCs w:val="24"/>
        </w:rPr>
        <w:t xml:space="preserve"> mund të shërbejnë si indicie për të filluar një hetim kryesisht nëse përmbushen kriteret e parashikuara në pikën 7, shkronjat “c”, “ç”, dhe “d”.</w:t>
      </w:r>
    </w:p>
    <w:p w14:paraId="7731B316" w14:textId="62994A72" w:rsidR="000115E0" w:rsidRPr="004F1D50" w:rsidRDefault="000115E0" w:rsidP="000115E0">
      <w:pPr>
        <w:autoSpaceDE w:val="0"/>
        <w:autoSpaceDN w:val="0"/>
        <w:adjustRightInd w:val="0"/>
        <w:spacing w:after="0" w:line="240" w:lineRule="auto"/>
        <w:ind w:firstLine="284"/>
        <w:jc w:val="both"/>
        <w:rPr>
          <w:rFonts w:ascii="Garamond" w:hAnsi="Garamond" w:cs="Times New Roman"/>
          <w:color w:val="000000"/>
          <w:sz w:val="24"/>
          <w:szCs w:val="24"/>
        </w:rPr>
      </w:pPr>
      <w:r w:rsidRPr="004F1D50">
        <w:rPr>
          <w:rFonts w:ascii="Garamond" w:hAnsi="Garamond" w:cs="Times New Roman"/>
          <w:color w:val="000000"/>
          <w:sz w:val="24"/>
          <w:szCs w:val="24"/>
        </w:rPr>
        <w:t>5. Ministri shqyrton ankesat e paraqitura nga çdo person fizik ose juridik, përveç atyre që vijnë në mënyrë anonime. Ankuesi mund të kërkojë ruajtjen e konfidencialitetit, por kërkesa për ruajtje konfidencialiteti duhet të përcaktohet shprehimisht prej tij me shkrim. Ankesa paraqitet personalisht, me postë ose në rrugë elektr</w:t>
      </w:r>
      <w:r w:rsidR="004F1D50">
        <w:rPr>
          <w:rFonts w:ascii="Garamond" w:hAnsi="Garamond" w:cs="Times New Roman"/>
          <w:color w:val="000000"/>
          <w:sz w:val="24"/>
          <w:szCs w:val="24"/>
        </w:rPr>
        <w:t>onike.</w:t>
      </w:r>
    </w:p>
    <w:p w14:paraId="48B05BF6" w14:textId="77777777" w:rsidR="000115E0" w:rsidRPr="004F1D50" w:rsidRDefault="000115E0" w:rsidP="000115E0">
      <w:pPr>
        <w:autoSpaceDE w:val="0"/>
        <w:autoSpaceDN w:val="0"/>
        <w:adjustRightInd w:val="0"/>
        <w:spacing w:after="0" w:line="240" w:lineRule="auto"/>
        <w:ind w:firstLine="284"/>
        <w:jc w:val="both"/>
        <w:rPr>
          <w:rFonts w:ascii="Garamond" w:hAnsi="Garamond" w:cs="Times New Roman"/>
          <w:color w:val="000000"/>
          <w:sz w:val="24"/>
          <w:szCs w:val="24"/>
        </w:rPr>
      </w:pPr>
      <w:r w:rsidRPr="004F1D50">
        <w:rPr>
          <w:rFonts w:ascii="Garamond" w:hAnsi="Garamond" w:cs="Times New Roman"/>
          <w:color w:val="000000"/>
          <w:sz w:val="24"/>
          <w:szCs w:val="24"/>
        </w:rPr>
        <w:t>6. Tërheqja e ankesës nuk sjell arkivimin e ankesës, nëse ministri vlerëson që pretendimi ka shkaqe të mjaftueshme për kryerjen e hetimit me iniciativën e tij, si dhe nuk sjell mbylljen e një hetimi të filluar.</w:t>
      </w:r>
    </w:p>
    <w:p w14:paraId="30C4C7B5" w14:textId="77777777" w:rsidR="000115E0" w:rsidRPr="004F1D50" w:rsidRDefault="000115E0" w:rsidP="000115E0">
      <w:pPr>
        <w:autoSpaceDE w:val="0"/>
        <w:autoSpaceDN w:val="0"/>
        <w:adjustRightInd w:val="0"/>
        <w:spacing w:after="0" w:line="240" w:lineRule="auto"/>
        <w:ind w:firstLine="284"/>
        <w:jc w:val="both"/>
        <w:rPr>
          <w:rFonts w:ascii="Garamond" w:hAnsi="Garamond" w:cs="Times New Roman"/>
          <w:color w:val="000000"/>
          <w:sz w:val="24"/>
          <w:szCs w:val="24"/>
        </w:rPr>
      </w:pPr>
      <w:r w:rsidRPr="004F1D50">
        <w:rPr>
          <w:rFonts w:ascii="Garamond" w:hAnsi="Garamond" w:cs="Times New Roman"/>
          <w:color w:val="000000"/>
          <w:sz w:val="24"/>
          <w:szCs w:val="24"/>
        </w:rPr>
        <w:t>7. Ankesa pranohet nëse përmbush kërkesat e mëposhtme:</w:t>
      </w:r>
    </w:p>
    <w:p w14:paraId="082E2E58" w14:textId="3326FBDB" w:rsidR="000115E0" w:rsidRPr="004F1D50" w:rsidRDefault="000115E0" w:rsidP="000115E0">
      <w:pPr>
        <w:autoSpaceDE w:val="0"/>
        <w:autoSpaceDN w:val="0"/>
        <w:adjustRightInd w:val="0"/>
        <w:spacing w:after="0" w:line="240" w:lineRule="auto"/>
        <w:ind w:firstLine="284"/>
        <w:jc w:val="both"/>
        <w:rPr>
          <w:rFonts w:ascii="Garamond" w:hAnsi="Garamond" w:cs="Times New Roman"/>
          <w:color w:val="000000"/>
          <w:sz w:val="24"/>
          <w:szCs w:val="24"/>
        </w:rPr>
      </w:pPr>
      <w:r w:rsidRPr="004F1D50">
        <w:rPr>
          <w:rFonts w:ascii="Garamond" w:hAnsi="Garamond" w:cs="Times New Roman"/>
          <w:color w:val="000000"/>
          <w:sz w:val="24"/>
          <w:szCs w:val="24"/>
        </w:rPr>
        <w:t>a) paraqitet në formë të shkruar dhe përmban të paktën të dhënat e kërkuara të formularit të ankesës;</w:t>
      </w:r>
    </w:p>
    <w:p w14:paraId="6EB4934C" w14:textId="7998CEDB" w:rsidR="000115E0" w:rsidRPr="004F1D50" w:rsidRDefault="000115E0" w:rsidP="000115E0">
      <w:pPr>
        <w:autoSpaceDE w:val="0"/>
        <w:autoSpaceDN w:val="0"/>
        <w:adjustRightInd w:val="0"/>
        <w:spacing w:after="0" w:line="240" w:lineRule="auto"/>
        <w:ind w:firstLine="284"/>
        <w:jc w:val="both"/>
        <w:rPr>
          <w:rFonts w:ascii="Garamond" w:hAnsi="Garamond" w:cs="Times New Roman"/>
          <w:color w:val="000000"/>
          <w:sz w:val="24"/>
          <w:szCs w:val="24"/>
        </w:rPr>
      </w:pPr>
      <w:r w:rsidRPr="004F1D50">
        <w:rPr>
          <w:rFonts w:ascii="Garamond" w:hAnsi="Garamond" w:cs="Times New Roman"/>
          <w:color w:val="000000"/>
          <w:sz w:val="24"/>
          <w:szCs w:val="24"/>
        </w:rPr>
        <w:t>b) nuk përmban elemente abuzive, nuk është ankesë e përsëritur dhe nuk duket e pabazuar;</w:t>
      </w:r>
    </w:p>
    <w:p w14:paraId="2083C6B1" w14:textId="7644A0A4" w:rsidR="000115E0" w:rsidRPr="004F1D50" w:rsidRDefault="000115E0" w:rsidP="000115E0">
      <w:pPr>
        <w:autoSpaceDE w:val="0"/>
        <w:autoSpaceDN w:val="0"/>
        <w:adjustRightInd w:val="0"/>
        <w:spacing w:after="0" w:line="240" w:lineRule="auto"/>
        <w:ind w:firstLine="284"/>
        <w:jc w:val="both"/>
        <w:rPr>
          <w:rFonts w:ascii="Garamond" w:hAnsi="Garamond" w:cs="Times New Roman"/>
          <w:color w:val="000000"/>
          <w:sz w:val="24"/>
          <w:szCs w:val="24"/>
        </w:rPr>
      </w:pPr>
      <w:r w:rsidRPr="004F1D50">
        <w:rPr>
          <w:rFonts w:ascii="Garamond" w:hAnsi="Garamond" w:cs="Times New Roman"/>
          <w:color w:val="000000"/>
          <w:sz w:val="24"/>
          <w:szCs w:val="24"/>
        </w:rPr>
        <w:t>c) drejtohet ndaj sjelljes së ndërmjetësit, i cili ka qenë i certifikuar në kohën e shkeljes së pretenduar;</w:t>
      </w:r>
    </w:p>
    <w:p w14:paraId="7A6A4658" w14:textId="41D3A1CC" w:rsidR="000115E0" w:rsidRPr="004F1D50" w:rsidRDefault="000115E0" w:rsidP="000115E0">
      <w:pPr>
        <w:autoSpaceDE w:val="0"/>
        <w:autoSpaceDN w:val="0"/>
        <w:adjustRightInd w:val="0"/>
        <w:spacing w:after="0" w:line="240" w:lineRule="auto"/>
        <w:ind w:firstLine="284"/>
        <w:jc w:val="both"/>
        <w:rPr>
          <w:rFonts w:ascii="Garamond" w:hAnsi="Garamond" w:cs="Times New Roman"/>
          <w:color w:val="000000"/>
          <w:sz w:val="24"/>
          <w:szCs w:val="24"/>
        </w:rPr>
      </w:pPr>
      <w:r w:rsidRPr="004F1D50">
        <w:rPr>
          <w:rFonts w:ascii="Garamond" w:hAnsi="Garamond" w:cs="Times New Roman"/>
          <w:color w:val="000000"/>
          <w:sz w:val="24"/>
          <w:szCs w:val="24"/>
        </w:rPr>
        <w:t>ç) drejtohet ndaj sjelljes së ndërmjetësit që, nëse provohet se është kryer, përbën shkelje disiplinore të parashikuar nga ligji;</w:t>
      </w:r>
    </w:p>
    <w:p w14:paraId="5A199A33" w14:textId="6EF2F070" w:rsidR="000115E0" w:rsidRPr="004F1D50" w:rsidRDefault="000115E0" w:rsidP="000115E0">
      <w:pPr>
        <w:autoSpaceDE w:val="0"/>
        <w:autoSpaceDN w:val="0"/>
        <w:adjustRightInd w:val="0"/>
        <w:spacing w:after="0" w:line="240" w:lineRule="auto"/>
        <w:ind w:firstLine="284"/>
        <w:jc w:val="both"/>
        <w:rPr>
          <w:rFonts w:ascii="Garamond" w:hAnsi="Garamond" w:cs="Times New Roman"/>
          <w:color w:val="000000"/>
          <w:sz w:val="24"/>
          <w:szCs w:val="24"/>
        </w:rPr>
      </w:pPr>
      <w:r w:rsidRPr="004F1D50">
        <w:rPr>
          <w:rFonts w:ascii="Garamond" w:hAnsi="Garamond" w:cs="Times New Roman"/>
          <w:color w:val="000000"/>
          <w:sz w:val="24"/>
          <w:szCs w:val="24"/>
        </w:rPr>
        <w:t>d) i referohet fakteve që kanë ndodhur brenda afatit të parashkrimit për hetimin disiplinor.</w:t>
      </w:r>
    </w:p>
    <w:p w14:paraId="233D76AA" w14:textId="77777777" w:rsidR="000115E0" w:rsidRPr="004F1D50" w:rsidRDefault="000115E0" w:rsidP="000115E0">
      <w:pPr>
        <w:autoSpaceDE w:val="0"/>
        <w:autoSpaceDN w:val="0"/>
        <w:adjustRightInd w:val="0"/>
        <w:spacing w:after="0" w:line="240" w:lineRule="auto"/>
        <w:ind w:firstLine="284"/>
        <w:jc w:val="both"/>
        <w:rPr>
          <w:rFonts w:ascii="Garamond" w:hAnsi="Garamond" w:cs="Times New Roman"/>
          <w:color w:val="000000"/>
          <w:sz w:val="24"/>
          <w:szCs w:val="24"/>
        </w:rPr>
      </w:pPr>
      <w:r w:rsidRPr="004F1D50">
        <w:rPr>
          <w:rFonts w:ascii="Garamond" w:hAnsi="Garamond" w:cs="Times New Roman"/>
          <w:color w:val="000000"/>
          <w:sz w:val="24"/>
          <w:szCs w:val="24"/>
        </w:rPr>
        <w:t>8. Pas shqyrtimit fillestar të ankesës, ministri, në lidhje me shkeljen e pretenduar, brenda 3 muajve nga marrja e ankesës, vendos:</w:t>
      </w:r>
    </w:p>
    <w:p w14:paraId="07FE0CF6" w14:textId="77777777" w:rsidR="000115E0" w:rsidRPr="004F1D50" w:rsidRDefault="000115E0" w:rsidP="000115E0">
      <w:pPr>
        <w:autoSpaceDE w:val="0"/>
        <w:autoSpaceDN w:val="0"/>
        <w:adjustRightInd w:val="0"/>
        <w:spacing w:after="0" w:line="240" w:lineRule="auto"/>
        <w:ind w:firstLine="284"/>
        <w:jc w:val="both"/>
        <w:rPr>
          <w:rFonts w:ascii="Garamond" w:hAnsi="Garamond" w:cs="Times New Roman"/>
          <w:color w:val="000000"/>
          <w:sz w:val="24"/>
          <w:szCs w:val="24"/>
        </w:rPr>
      </w:pPr>
      <w:r w:rsidRPr="004F1D50">
        <w:rPr>
          <w:rFonts w:ascii="Garamond" w:hAnsi="Garamond" w:cs="Times New Roman"/>
          <w:color w:val="000000"/>
          <w:sz w:val="24"/>
          <w:szCs w:val="24"/>
        </w:rPr>
        <w:t>a) verifikimin e ankesës;</w:t>
      </w:r>
    </w:p>
    <w:p w14:paraId="3843EB7F" w14:textId="77777777" w:rsidR="000115E0" w:rsidRPr="004F1D50" w:rsidRDefault="000115E0" w:rsidP="000115E0">
      <w:pPr>
        <w:autoSpaceDE w:val="0"/>
        <w:autoSpaceDN w:val="0"/>
        <w:adjustRightInd w:val="0"/>
        <w:spacing w:after="0" w:line="240" w:lineRule="auto"/>
        <w:ind w:firstLine="284"/>
        <w:jc w:val="both"/>
        <w:rPr>
          <w:rFonts w:ascii="Garamond" w:hAnsi="Garamond" w:cs="Times New Roman"/>
          <w:color w:val="000000"/>
          <w:sz w:val="24"/>
          <w:szCs w:val="24"/>
        </w:rPr>
      </w:pPr>
      <w:r w:rsidRPr="004F1D50">
        <w:rPr>
          <w:rFonts w:ascii="Garamond" w:hAnsi="Garamond" w:cs="Times New Roman"/>
          <w:color w:val="000000"/>
          <w:sz w:val="24"/>
          <w:szCs w:val="24"/>
        </w:rPr>
        <w:t>b) fillimin e hetimit, kur ankesa është në përputhje me pikën 7 të këtij urdhri;</w:t>
      </w:r>
    </w:p>
    <w:p w14:paraId="20AE2E78" w14:textId="77777777" w:rsidR="000115E0" w:rsidRPr="004F1D50" w:rsidRDefault="000115E0" w:rsidP="000115E0">
      <w:pPr>
        <w:autoSpaceDE w:val="0"/>
        <w:autoSpaceDN w:val="0"/>
        <w:adjustRightInd w:val="0"/>
        <w:spacing w:after="0" w:line="240" w:lineRule="auto"/>
        <w:ind w:firstLine="284"/>
        <w:jc w:val="both"/>
        <w:rPr>
          <w:rFonts w:ascii="Garamond" w:hAnsi="Garamond" w:cs="Times New Roman"/>
          <w:color w:val="000000"/>
          <w:sz w:val="24"/>
          <w:szCs w:val="24"/>
        </w:rPr>
      </w:pPr>
      <w:r w:rsidRPr="004F1D50">
        <w:rPr>
          <w:rFonts w:ascii="Garamond" w:hAnsi="Garamond" w:cs="Times New Roman"/>
          <w:color w:val="000000"/>
          <w:sz w:val="24"/>
          <w:szCs w:val="24"/>
        </w:rPr>
        <w:t>c) arkivimin e ankesës, në kushtet kur nuk përmbushen kërkesat e pikës 7 të këtij urdhri.</w:t>
      </w:r>
    </w:p>
    <w:p w14:paraId="5539886F" w14:textId="77777777" w:rsidR="000115E0" w:rsidRPr="004F1D50" w:rsidRDefault="000115E0" w:rsidP="000115E0">
      <w:pPr>
        <w:autoSpaceDE w:val="0"/>
        <w:autoSpaceDN w:val="0"/>
        <w:adjustRightInd w:val="0"/>
        <w:spacing w:after="0" w:line="240" w:lineRule="auto"/>
        <w:ind w:firstLine="284"/>
        <w:jc w:val="both"/>
        <w:rPr>
          <w:rFonts w:ascii="Garamond" w:hAnsi="Garamond" w:cs="Times New Roman"/>
          <w:color w:val="000000"/>
          <w:sz w:val="24"/>
          <w:szCs w:val="24"/>
        </w:rPr>
      </w:pPr>
      <w:r w:rsidRPr="004F1D50">
        <w:rPr>
          <w:rFonts w:ascii="Garamond" w:hAnsi="Garamond" w:cs="Times New Roman"/>
          <w:color w:val="000000"/>
          <w:sz w:val="24"/>
          <w:szCs w:val="24"/>
        </w:rPr>
        <w:t>9. Në rastin kur ankesa është e paqartë, ministri kryen verifikime nëse ekzistojnë fakte të mjaftueshme që justifikojnë fillimin e hetimit. Ministri i kërkon ankuesit dorëzimin e dokumenteve shtesë ose dhënien e shpjegimeve për rrethanat në të cilat ka ndodhur shkelja e pretenduar prej tij. Në rastin e kundërt, kur nuk ka fakte të mjaftueshme që justifikojnë fillimin e hetimit, ankesa arkivohet.</w:t>
      </w:r>
    </w:p>
    <w:p w14:paraId="1B33F82C" w14:textId="34CC0100" w:rsidR="000115E0" w:rsidRPr="004F1D50" w:rsidRDefault="000115E0" w:rsidP="000115E0">
      <w:pPr>
        <w:autoSpaceDE w:val="0"/>
        <w:autoSpaceDN w:val="0"/>
        <w:adjustRightInd w:val="0"/>
        <w:spacing w:after="0" w:line="240" w:lineRule="auto"/>
        <w:ind w:firstLine="284"/>
        <w:jc w:val="both"/>
        <w:rPr>
          <w:rFonts w:ascii="Garamond" w:hAnsi="Garamond" w:cs="Times New Roman"/>
          <w:color w:val="000000"/>
          <w:sz w:val="24"/>
          <w:szCs w:val="24"/>
        </w:rPr>
      </w:pPr>
      <w:r w:rsidRPr="004F1D50">
        <w:rPr>
          <w:rFonts w:ascii="Garamond" w:hAnsi="Garamond" w:cs="Times New Roman"/>
          <w:color w:val="000000"/>
          <w:sz w:val="24"/>
          <w:szCs w:val="24"/>
        </w:rPr>
        <w:lastRenderedPageBreak/>
        <w:t>10. Urdhri për fillimin e hetimit disiplinor ose arkivimin e ankesës i njoftohet ankuesit dhe ndërmjetësit të pasurive të paluajtshme ndaj të cilit kryhet hetimi, brenda 3 ditëve pune nga hyrja në f</w:t>
      </w:r>
      <w:r w:rsidR="004F1D50">
        <w:rPr>
          <w:rFonts w:ascii="Garamond" w:hAnsi="Garamond" w:cs="Times New Roman"/>
          <w:color w:val="000000"/>
          <w:sz w:val="24"/>
          <w:szCs w:val="24"/>
        </w:rPr>
        <w:t>uqi e urdhrit sipas kësaj pike.</w:t>
      </w:r>
    </w:p>
    <w:p w14:paraId="33C46E67" w14:textId="77777777" w:rsidR="000115E0" w:rsidRPr="004F1D50" w:rsidRDefault="000115E0" w:rsidP="000115E0">
      <w:pPr>
        <w:autoSpaceDE w:val="0"/>
        <w:autoSpaceDN w:val="0"/>
        <w:adjustRightInd w:val="0"/>
        <w:spacing w:after="0" w:line="240" w:lineRule="auto"/>
        <w:ind w:firstLine="284"/>
        <w:jc w:val="both"/>
        <w:rPr>
          <w:rFonts w:ascii="Garamond" w:hAnsi="Garamond" w:cs="Times New Roman"/>
          <w:color w:val="000000"/>
          <w:sz w:val="24"/>
          <w:szCs w:val="24"/>
        </w:rPr>
      </w:pPr>
      <w:r w:rsidRPr="004F1D50">
        <w:rPr>
          <w:rFonts w:ascii="Garamond" w:hAnsi="Garamond" w:cs="Times New Roman"/>
          <w:color w:val="000000"/>
          <w:sz w:val="24"/>
          <w:szCs w:val="24"/>
        </w:rPr>
        <w:t>11. Ndërmjetësi i pasurive të paluajtshme ka të drejtë të njihet me dosjen e hetimit në atë masë që nuk cenon sekretin e hetimit pas paraqitjes së kërkesës së tij.</w:t>
      </w:r>
    </w:p>
    <w:p w14:paraId="11CC24A9" w14:textId="77777777" w:rsidR="000115E0" w:rsidRPr="004F1D50" w:rsidRDefault="000115E0" w:rsidP="000115E0">
      <w:pPr>
        <w:autoSpaceDE w:val="0"/>
        <w:autoSpaceDN w:val="0"/>
        <w:adjustRightInd w:val="0"/>
        <w:spacing w:after="0" w:line="240" w:lineRule="auto"/>
        <w:ind w:firstLine="284"/>
        <w:jc w:val="both"/>
        <w:rPr>
          <w:rFonts w:ascii="Garamond" w:hAnsi="Garamond" w:cs="Times New Roman"/>
          <w:color w:val="000000"/>
          <w:sz w:val="24"/>
          <w:szCs w:val="24"/>
        </w:rPr>
      </w:pPr>
      <w:r w:rsidRPr="004F1D50">
        <w:rPr>
          <w:rFonts w:ascii="Garamond" w:hAnsi="Garamond" w:cs="Times New Roman"/>
          <w:color w:val="000000"/>
          <w:sz w:val="24"/>
          <w:szCs w:val="24"/>
        </w:rPr>
        <w:t>12. Ministri, përmes strukturës përgjegjëse, mund të kërkojë nga ndërmjetësi i pasurive të paluajtshme informacione, dokumente ose çdo provë që është e nevojshme për hetimin.</w:t>
      </w:r>
    </w:p>
    <w:p w14:paraId="5FA7268F" w14:textId="77777777" w:rsidR="000115E0" w:rsidRPr="004F1D50" w:rsidRDefault="000115E0" w:rsidP="000115E0">
      <w:pPr>
        <w:autoSpaceDE w:val="0"/>
        <w:autoSpaceDN w:val="0"/>
        <w:adjustRightInd w:val="0"/>
        <w:spacing w:after="0" w:line="240" w:lineRule="auto"/>
        <w:ind w:firstLine="284"/>
        <w:jc w:val="both"/>
        <w:rPr>
          <w:rFonts w:ascii="Garamond" w:hAnsi="Garamond" w:cs="Times New Roman"/>
          <w:color w:val="000000"/>
          <w:sz w:val="24"/>
          <w:szCs w:val="24"/>
        </w:rPr>
      </w:pPr>
      <w:r w:rsidRPr="004F1D50">
        <w:rPr>
          <w:rFonts w:ascii="Garamond" w:hAnsi="Garamond" w:cs="Times New Roman"/>
          <w:color w:val="000000"/>
          <w:sz w:val="24"/>
          <w:szCs w:val="24"/>
        </w:rPr>
        <w:t>13. Në rast se gjatë hetimit ngrihen dyshime të arsyeshme se një shkelje tjetër mund të ketë ndodhur, ministri urdhëron shtimin ose ndryshimin e objektit të hetimit dhe njofton ndërmjetësin e pasurive të paluajtshme në lidhje me këtë ndryshim të procesit të hetimit ndaj tij.</w:t>
      </w:r>
    </w:p>
    <w:p w14:paraId="2A7F1A83" w14:textId="77777777" w:rsidR="000115E0" w:rsidRPr="004F1D50" w:rsidRDefault="000115E0" w:rsidP="000115E0">
      <w:pPr>
        <w:autoSpaceDE w:val="0"/>
        <w:autoSpaceDN w:val="0"/>
        <w:adjustRightInd w:val="0"/>
        <w:spacing w:after="0" w:line="240" w:lineRule="auto"/>
        <w:ind w:firstLine="284"/>
        <w:jc w:val="both"/>
        <w:rPr>
          <w:rFonts w:ascii="Garamond" w:hAnsi="Garamond" w:cs="Times New Roman"/>
          <w:color w:val="000000"/>
          <w:sz w:val="24"/>
          <w:szCs w:val="24"/>
        </w:rPr>
      </w:pPr>
      <w:r w:rsidRPr="004F1D50">
        <w:rPr>
          <w:rFonts w:ascii="Garamond" w:hAnsi="Garamond" w:cs="Times New Roman"/>
          <w:color w:val="000000"/>
          <w:sz w:val="24"/>
          <w:szCs w:val="24"/>
        </w:rPr>
        <w:t>14. Ministri urdhëron bashkimin e hetimeve, në rastet kur konstaton se ankesat ose hetimet e filluara u referohen të njëjtave fakte ose të njëjtit ndërmjetës.</w:t>
      </w:r>
    </w:p>
    <w:p w14:paraId="6928CFE8" w14:textId="114F1CD8" w:rsidR="000115E0" w:rsidRPr="004F1D50" w:rsidRDefault="000115E0" w:rsidP="000115E0">
      <w:pPr>
        <w:autoSpaceDE w:val="0"/>
        <w:autoSpaceDN w:val="0"/>
        <w:adjustRightInd w:val="0"/>
        <w:spacing w:after="0" w:line="240" w:lineRule="auto"/>
        <w:ind w:firstLine="284"/>
        <w:jc w:val="both"/>
        <w:rPr>
          <w:rFonts w:ascii="Garamond" w:hAnsi="Garamond" w:cs="Times New Roman"/>
          <w:color w:val="000000"/>
          <w:sz w:val="24"/>
          <w:szCs w:val="24"/>
        </w:rPr>
      </w:pPr>
      <w:r w:rsidRPr="004F1D50">
        <w:rPr>
          <w:rFonts w:ascii="Garamond" w:hAnsi="Garamond" w:cs="Times New Roman"/>
          <w:color w:val="000000"/>
          <w:sz w:val="24"/>
          <w:szCs w:val="24"/>
        </w:rPr>
        <w:t>15. Ministri vendos për pezullimin e hetimit disiplinor kur është duke u zhvilluar një hetim penal ose një proces gjyqësor, në të cilën njëra nga palët është ndërmjetësi dhe shkelja e dyshuar lidhet me të njëjtat fakte, për të cilat do të merret vendimi. Hetimi disiplinor pezullohet deri në marrjen e një vendimi të formës së prerë. Pezullimi i hetimit ndërpret afatet e parashkrimit. Edhe në rast se vendimi gjyqësor është në favor të ndërmjetësit, nuk e pengon kryerjen e hetimit nga ministri në përcaktimin e përgjegjësisë disiplinore.</w:t>
      </w:r>
    </w:p>
    <w:p w14:paraId="5DBCD996" w14:textId="77777777" w:rsidR="000115E0" w:rsidRPr="004F1D50" w:rsidRDefault="000115E0" w:rsidP="000115E0">
      <w:pPr>
        <w:autoSpaceDE w:val="0"/>
        <w:autoSpaceDN w:val="0"/>
        <w:adjustRightInd w:val="0"/>
        <w:spacing w:after="0" w:line="240" w:lineRule="auto"/>
        <w:ind w:firstLine="284"/>
        <w:jc w:val="both"/>
        <w:rPr>
          <w:rFonts w:ascii="Garamond" w:hAnsi="Garamond" w:cs="Times New Roman"/>
          <w:color w:val="000000"/>
          <w:sz w:val="24"/>
          <w:szCs w:val="24"/>
        </w:rPr>
      </w:pPr>
      <w:r w:rsidRPr="004F1D50">
        <w:rPr>
          <w:rFonts w:ascii="Garamond" w:hAnsi="Garamond" w:cs="Times New Roman"/>
          <w:color w:val="000000"/>
          <w:sz w:val="24"/>
          <w:szCs w:val="24"/>
        </w:rPr>
        <w:t>16. Për shkak të kompleksitetit të çështjes, ministri mund ta zgjasë afatin e hetimit, të parashikuar në pikën 19 të këtij urdhri, në përputhje me dispozitat e Kodit të Procedurave Administrative. Ky vendim i njoftohet ankuesit dhe/ose ndërmjetësit.</w:t>
      </w:r>
    </w:p>
    <w:p w14:paraId="30F43552" w14:textId="77777777" w:rsidR="000115E0" w:rsidRPr="004F1D50" w:rsidRDefault="000115E0" w:rsidP="000115E0">
      <w:pPr>
        <w:autoSpaceDE w:val="0"/>
        <w:autoSpaceDN w:val="0"/>
        <w:adjustRightInd w:val="0"/>
        <w:spacing w:after="0" w:line="240" w:lineRule="auto"/>
        <w:ind w:firstLine="284"/>
        <w:jc w:val="both"/>
        <w:rPr>
          <w:rFonts w:ascii="Garamond" w:hAnsi="Garamond" w:cs="Times New Roman"/>
          <w:color w:val="000000"/>
          <w:sz w:val="24"/>
          <w:szCs w:val="24"/>
        </w:rPr>
      </w:pPr>
      <w:r w:rsidRPr="004F1D50">
        <w:rPr>
          <w:rFonts w:ascii="Garamond" w:hAnsi="Garamond" w:cs="Times New Roman"/>
          <w:color w:val="000000"/>
          <w:sz w:val="24"/>
          <w:szCs w:val="24"/>
        </w:rPr>
        <w:t>17. Ministri mund ta riçelë hetimin, në rast të daljes së provave rishtazi, pas kalimit të afateve të parashikuara në pikat 8 ose 19 të këtij urdhri, mbi bazën e shkaqeve të arsyeshme. Ky vendim i njoftohet ankuesit dhe ndërmjetësit të pasurive të paluajtshme.</w:t>
      </w:r>
    </w:p>
    <w:p w14:paraId="23AE5EDC" w14:textId="0B50BD1F" w:rsidR="000115E0" w:rsidRPr="004F1D50" w:rsidRDefault="000115E0" w:rsidP="000115E0">
      <w:pPr>
        <w:autoSpaceDE w:val="0"/>
        <w:autoSpaceDN w:val="0"/>
        <w:adjustRightInd w:val="0"/>
        <w:spacing w:after="0" w:line="240" w:lineRule="auto"/>
        <w:ind w:firstLine="284"/>
        <w:jc w:val="both"/>
        <w:rPr>
          <w:rFonts w:ascii="Garamond" w:hAnsi="Garamond" w:cs="Times New Roman"/>
          <w:color w:val="000000"/>
          <w:sz w:val="24"/>
          <w:szCs w:val="24"/>
        </w:rPr>
      </w:pPr>
      <w:r w:rsidRPr="004F1D50">
        <w:rPr>
          <w:rFonts w:ascii="Garamond" w:hAnsi="Garamond" w:cs="Times New Roman"/>
          <w:color w:val="000000"/>
          <w:sz w:val="24"/>
          <w:szCs w:val="24"/>
        </w:rPr>
        <w:t>18. Ministri vendos mbylljen e hetimit nëse provohet që pretendimet janë të pabazuara ose provat e administruara dhe rezultatet e hetimit arrijnë në përfundimin:</w:t>
      </w:r>
    </w:p>
    <w:p w14:paraId="7379F01E" w14:textId="0DDE5BEE" w:rsidR="000115E0" w:rsidRPr="004F1D50" w:rsidRDefault="000115E0" w:rsidP="000115E0">
      <w:pPr>
        <w:autoSpaceDE w:val="0"/>
        <w:autoSpaceDN w:val="0"/>
        <w:adjustRightInd w:val="0"/>
        <w:spacing w:after="0" w:line="240" w:lineRule="auto"/>
        <w:ind w:firstLine="284"/>
        <w:jc w:val="both"/>
        <w:rPr>
          <w:rFonts w:ascii="Garamond" w:hAnsi="Garamond" w:cs="Times New Roman"/>
          <w:color w:val="000000"/>
          <w:sz w:val="24"/>
          <w:szCs w:val="24"/>
        </w:rPr>
      </w:pPr>
      <w:r w:rsidRPr="004F1D50">
        <w:rPr>
          <w:rFonts w:ascii="Garamond" w:hAnsi="Garamond" w:cs="Times New Roman"/>
          <w:color w:val="000000"/>
          <w:sz w:val="24"/>
          <w:szCs w:val="24"/>
        </w:rPr>
        <w:t>a) provat janë të pamjaftueshme për të provuar kryerjen e shkeljes disiplinore;</w:t>
      </w:r>
    </w:p>
    <w:p w14:paraId="27FD92B4" w14:textId="77777777" w:rsidR="000115E0" w:rsidRPr="004F1D50" w:rsidRDefault="000115E0" w:rsidP="000115E0">
      <w:pPr>
        <w:autoSpaceDE w:val="0"/>
        <w:autoSpaceDN w:val="0"/>
        <w:adjustRightInd w:val="0"/>
        <w:spacing w:after="0" w:line="240" w:lineRule="auto"/>
        <w:ind w:firstLine="284"/>
        <w:jc w:val="both"/>
        <w:rPr>
          <w:rFonts w:ascii="Garamond" w:hAnsi="Garamond" w:cs="Times New Roman"/>
          <w:color w:val="000000"/>
          <w:sz w:val="24"/>
          <w:szCs w:val="24"/>
        </w:rPr>
      </w:pPr>
      <w:r w:rsidRPr="004F1D50">
        <w:rPr>
          <w:rFonts w:ascii="Garamond" w:hAnsi="Garamond" w:cs="Times New Roman"/>
          <w:color w:val="000000"/>
          <w:sz w:val="24"/>
          <w:szCs w:val="24"/>
        </w:rPr>
        <w:t>b) çështja ka qenë objekt i një hetimi të mëparshëm që është mbyllur ose për të cilën është dhënë vendim i formës së prerë, në kuadër të një procedimi disiplinor, përveç rasteve kur paraqiten fakte ose prova të reja;</w:t>
      </w:r>
    </w:p>
    <w:p w14:paraId="45F1DB22" w14:textId="77777777" w:rsidR="000115E0" w:rsidRPr="004F1D50" w:rsidRDefault="000115E0" w:rsidP="000115E0">
      <w:pPr>
        <w:autoSpaceDE w:val="0"/>
        <w:autoSpaceDN w:val="0"/>
        <w:adjustRightInd w:val="0"/>
        <w:spacing w:after="0" w:line="240" w:lineRule="auto"/>
        <w:ind w:firstLine="284"/>
        <w:jc w:val="both"/>
        <w:rPr>
          <w:rFonts w:ascii="Garamond" w:hAnsi="Garamond" w:cs="Times New Roman"/>
          <w:color w:val="000000"/>
          <w:sz w:val="24"/>
          <w:szCs w:val="24"/>
        </w:rPr>
      </w:pPr>
      <w:r w:rsidRPr="004F1D50">
        <w:rPr>
          <w:rFonts w:ascii="Garamond" w:hAnsi="Garamond" w:cs="Times New Roman"/>
          <w:color w:val="000000"/>
          <w:sz w:val="24"/>
          <w:szCs w:val="24"/>
        </w:rPr>
        <w:t>c) çështja është parashkruar në kohën kur është filluar hetimi;</w:t>
      </w:r>
    </w:p>
    <w:p w14:paraId="6A7075B9" w14:textId="77777777" w:rsidR="000115E0" w:rsidRPr="004F1D50" w:rsidRDefault="000115E0" w:rsidP="000115E0">
      <w:pPr>
        <w:autoSpaceDE w:val="0"/>
        <w:autoSpaceDN w:val="0"/>
        <w:adjustRightInd w:val="0"/>
        <w:spacing w:after="0" w:line="240" w:lineRule="auto"/>
        <w:ind w:firstLine="284"/>
        <w:jc w:val="both"/>
        <w:rPr>
          <w:rFonts w:ascii="Garamond" w:hAnsi="Garamond" w:cs="Times New Roman"/>
          <w:color w:val="000000"/>
          <w:sz w:val="24"/>
          <w:szCs w:val="24"/>
        </w:rPr>
      </w:pPr>
      <w:r w:rsidRPr="004F1D50">
        <w:rPr>
          <w:rFonts w:ascii="Garamond" w:hAnsi="Garamond" w:cs="Times New Roman"/>
          <w:color w:val="000000"/>
          <w:sz w:val="24"/>
          <w:szCs w:val="24"/>
        </w:rPr>
        <w:t>ç) ndërmjetësi i pasurive të paluajtshme ka ndërruar jetë.</w:t>
      </w:r>
    </w:p>
    <w:p w14:paraId="77613A42" w14:textId="5E558F70" w:rsidR="000115E0" w:rsidRPr="004F1D50" w:rsidRDefault="000115E0" w:rsidP="000115E0">
      <w:pPr>
        <w:autoSpaceDE w:val="0"/>
        <w:autoSpaceDN w:val="0"/>
        <w:adjustRightInd w:val="0"/>
        <w:spacing w:after="0" w:line="240" w:lineRule="auto"/>
        <w:ind w:firstLine="284"/>
        <w:jc w:val="both"/>
        <w:rPr>
          <w:rFonts w:ascii="Garamond" w:hAnsi="Garamond" w:cs="Times New Roman"/>
          <w:color w:val="000000"/>
          <w:sz w:val="24"/>
          <w:szCs w:val="24"/>
        </w:rPr>
      </w:pPr>
      <w:r w:rsidRPr="004F1D50">
        <w:rPr>
          <w:rFonts w:ascii="Garamond" w:hAnsi="Garamond" w:cs="Times New Roman"/>
          <w:color w:val="000000"/>
          <w:sz w:val="24"/>
          <w:szCs w:val="24"/>
        </w:rPr>
        <w:t>19. Ministri, brenda 60 ditëve nga data e marrjes së vendimit për fillimin e hetimit disiplinor, i paraqet Komisionit Disiplinor raportin e hetimit së bashku me dosjen hetimore për fillimin e proce</w:t>
      </w:r>
      <w:r w:rsidR="004F1D50">
        <w:rPr>
          <w:rFonts w:ascii="Garamond" w:hAnsi="Garamond" w:cs="Times New Roman"/>
          <w:color w:val="000000"/>
          <w:sz w:val="24"/>
          <w:szCs w:val="24"/>
        </w:rPr>
        <w:t>dimit disiplinor, në të kundërt</w:t>
      </w:r>
      <w:r w:rsidRPr="004F1D50">
        <w:rPr>
          <w:rFonts w:ascii="Garamond" w:hAnsi="Garamond" w:cs="Times New Roman"/>
          <w:color w:val="000000"/>
          <w:sz w:val="24"/>
          <w:szCs w:val="24"/>
        </w:rPr>
        <w:t xml:space="preserve"> merr vendim për mbylljen e hetimit. Ky vendim i njoftohet ndërmjetësit të pasurive të paluajtshme dhe ankuesit në të njëjtën kohë.</w:t>
      </w:r>
    </w:p>
    <w:p w14:paraId="6804E013" w14:textId="77777777" w:rsidR="000115E0" w:rsidRPr="004F1D50" w:rsidRDefault="000115E0" w:rsidP="000115E0">
      <w:pPr>
        <w:autoSpaceDE w:val="0"/>
        <w:autoSpaceDN w:val="0"/>
        <w:adjustRightInd w:val="0"/>
        <w:spacing w:after="0" w:line="240" w:lineRule="auto"/>
        <w:ind w:firstLine="284"/>
        <w:jc w:val="both"/>
        <w:rPr>
          <w:rFonts w:ascii="Garamond" w:hAnsi="Garamond" w:cs="Times New Roman"/>
          <w:color w:val="000000"/>
          <w:sz w:val="24"/>
          <w:szCs w:val="24"/>
        </w:rPr>
      </w:pPr>
      <w:r w:rsidRPr="004F1D50">
        <w:rPr>
          <w:rFonts w:ascii="Garamond" w:hAnsi="Garamond" w:cs="Times New Roman"/>
          <w:color w:val="000000"/>
          <w:sz w:val="24"/>
          <w:szCs w:val="24"/>
        </w:rPr>
        <w:t>20.</w:t>
      </w:r>
      <w:r w:rsidRPr="004F1D50">
        <w:rPr>
          <w:rFonts w:ascii="Garamond" w:hAnsi="Garamond" w:cs="Times New Roman"/>
          <w:color w:val="000000"/>
          <w:sz w:val="24"/>
          <w:szCs w:val="24"/>
        </w:rPr>
        <w:tab/>
        <w:t>Për zbatimin e këtij urdhri ngarkohet struktura përgjegjëse në Ministrinë e Drejtësisë dhe ndërmjetësit e pasurive të paluajtshme.</w:t>
      </w:r>
    </w:p>
    <w:p w14:paraId="1E151A89" w14:textId="77777777" w:rsidR="000115E0" w:rsidRPr="004F1D50" w:rsidRDefault="000115E0" w:rsidP="000115E0">
      <w:pPr>
        <w:autoSpaceDE w:val="0"/>
        <w:autoSpaceDN w:val="0"/>
        <w:adjustRightInd w:val="0"/>
        <w:spacing w:after="0" w:line="240" w:lineRule="auto"/>
        <w:ind w:firstLine="284"/>
        <w:jc w:val="both"/>
        <w:rPr>
          <w:rFonts w:ascii="Garamond" w:hAnsi="Garamond" w:cs="Times New Roman"/>
          <w:color w:val="000000"/>
          <w:sz w:val="24"/>
          <w:szCs w:val="24"/>
        </w:rPr>
      </w:pPr>
      <w:r w:rsidRPr="004F1D50">
        <w:rPr>
          <w:rFonts w:ascii="Garamond" w:hAnsi="Garamond" w:cs="Times New Roman"/>
          <w:color w:val="000000"/>
          <w:sz w:val="24"/>
          <w:szCs w:val="24"/>
        </w:rPr>
        <w:t>21. Ngarkohet Sektori i Arkiv-Protokollit për marrjen e masave për njoftimin e këtij urdhri.</w:t>
      </w:r>
    </w:p>
    <w:p w14:paraId="01938EB0" w14:textId="2DBF061B" w:rsidR="000115E0" w:rsidRPr="004F1D50" w:rsidRDefault="000115E0" w:rsidP="000115E0">
      <w:pPr>
        <w:autoSpaceDE w:val="0"/>
        <w:autoSpaceDN w:val="0"/>
        <w:adjustRightInd w:val="0"/>
        <w:spacing w:after="0" w:line="240" w:lineRule="auto"/>
        <w:ind w:firstLine="284"/>
        <w:jc w:val="both"/>
        <w:rPr>
          <w:rFonts w:ascii="Garamond" w:hAnsi="Garamond" w:cs="Times New Roman"/>
          <w:color w:val="000000"/>
          <w:sz w:val="24"/>
          <w:szCs w:val="24"/>
        </w:rPr>
      </w:pPr>
      <w:r w:rsidRPr="004F1D50">
        <w:rPr>
          <w:rFonts w:ascii="Garamond" w:hAnsi="Garamond" w:cs="Times New Roman"/>
          <w:color w:val="000000"/>
          <w:sz w:val="24"/>
          <w:szCs w:val="24"/>
        </w:rPr>
        <w:t>Ky urdhër hyn në fuqi menjëherë dhe botohet në Fletoren Zyrtare.</w:t>
      </w:r>
    </w:p>
    <w:p w14:paraId="622A8C31" w14:textId="77777777" w:rsidR="000115E0" w:rsidRPr="004F1D50" w:rsidRDefault="000115E0" w:rsidP="000115E0">
      <w:pPr>
        <w:autoSpaceDE w:val="0"/>
        <w:autoSpaceDN w:val="0"/>
        <w:adjustRightInd w:val="0"/>
        <w:spacing w:after="0" w:line="240" w:lineRule="auto"/>
        <w:ind w:firstLine="284"/>
        <w:jc w:val="both"/>
        <w:rPr>
          <w:rFonts w:ascii="Garamond" w:hAnsi="Garamond" w:cs="Times New Roman"/>
          <w:color w:val="000000"/>
          <w:sz w:val="24"/>
          <w:szCs w:val="24"/>
        </w:rPr>
      </w:pPr>
    </w:p>
    <w:p w14:paraId="155110AD" w14:textId="77777777" w:rsidR="000115E0" w:rsidRPr="004F1D50" w:rsidRDefault="000115E0" w:rsidP="000115E0">
      <w:pPr>
        <w:autoSpaceDE w:val="0"/>
        <w:autoSpaceDN w:val="0"/>
        <w:adjustRightInd w:val="0"/>
        <w:spacing w:after="0" w:line="240" w:lineRule="auto"/>
        <w:ind w:firstLine="284"/>
        <w:jc w:val="right"/>
        <w:rPr>
          <w:rFonts w:ascii="Garamond" w:hAnsi="Garamond" w:cs="Times New Roman"/>
          <w:bCs/>
          <w:color w:val="000000"/>
          <w:sz w:val="24"/>
          <w:szCs w:val="24"/>
        </w:rPr>
      </w:pPr>
      <w:r w:rsidRPr="004F1D50">
        <w:rPr>
          <w:rFonts w:ascii="Garamond" w:hAnsi="Garamond" w:cs="Times New Roman"/>
          <w:bCs/>
          <w:color w:val="000000"/>
          <w:sz w:val="24"/>
          <w:szCs w:val="24"/>
        </w:rPr>
        <w:t>MINISTËR I DREJTËSISË</w:t>
      </w:r>
    </w:p>
    <w:p w14:paraId="3D08A747" w14:textId="77777777" w:rsidR="000115E0" w:rsidRPr="004F1D50" w:rsidRDefault="000115E0" w:rsidP="000115E0">
      <w:pPr>
        <w:autoSpaceDE w:val="0"/>
        <w:autoSpaceDN w:val="0"/>
        <w:adjustRightInd w:val="0"/>
        <w:spacing w:after="0" w:line="240" w:lineRule="auto"/>
        <w:ind w:firstLine="284"/>
        <w:jc w:val="right"/>
        <w:rPr>
          <w:rFonts w:ascii="Garamond" w:hAnsi="Garamond" w:cs="Times New Roman"/>
          <w:b/>
          <w:bCs/>
          <w:color w:val="000000"/>
          <w:sz w:val="24"/>
          <w:szCs w:val="24"/>
        </w:rPr>
      </w:pPr>
      <w:r w:rsidRPr="004F1D50">
        <w:rPr>
          <w:rFonts w:ascii="Garamond" w:hAnsi="Garamond" w:cs="Times New Roman"/>
          <w:b/>
          <w:bCs/>
          <w:color w:val="000000"/>
          <w:sz w:val="24"/>
          <w:szCs w:val="24"/>
        </w:rPr>
        <w:t>Ulsi Manja</w:t>
      </w:r>
    </w:p>
    <w:p w14:paraId="05C34894" w14:textId="77777777" w:rsidR="00C734D5" w:rsidRPr="004F1D50" w:rsidRDefault="00C734D5" w:rsidP="000115E0">
      <w:pPr>
        <w:spacing w:after="0" w:line="240" w:lineRule="auto"/>
        <w:ind w:firstLine="284"/>
        <w:rPr>
          <w:rFonts w:ascii="Garamond" w:hAnsi="Garamond" w:cs="Times New Roman"/>
          <w:b/>
          <w:bCs/>
          <w:sz w:val="24"/>
          <w:szCs w:val="24"/>
          <w:lang w:eastAsia="sq-AL"/>
        </w:rPr>
      </w:pPr>
    </w:p>
    <w:p w14:paraId="48CB4DA0" w14:textId="3AF52DCB" w:rsidR="00C734D5" w:rsidRPr="004F1D50" w:rsidRDefault="004F1D50" w:rsidP="004F1D50">
      <w:pPr>
        <w:spacing w:after="0" w:line="240" w:lineRule="auto"/>
        <w:ind w:firstLine="284"/>
        <w:jc w:val="center"/>
        <w:rPr>
          <w:rFonts w:ascii="Garamond" w:hAnsi="Garamond" w:cs="Times New Roman"/>
          <w:sz w:val="24"/>
          <w:szCs w:val="24"/>
          <w:lang w:eastAsia="sq-AL"/>
        </w:rPr>
      </w:pPr>
      <w:r w:rsidRPr="004F1D50">
        <w:rPr>
          <w:rFonts w:ascii="Garamond" w:hAnsi="Garamond" w:cs="Times New Roman"/>
          <w:sz w:val="24"/>
          <w:szCs w:val="24"/>
          <w:lang w:eastAsia="sq-AL"/>
        </w:rPr>
        <w:t>SHTOJCË NR. 1</w:t>
      </w:r>
    </w:p>
    <w:p w14:paraId="3A6DBF07" w14:textId="77777777" w:rsidR="00C734D5" w:rsidRPr="004F1D50" w:rsidRDefault="00C734D5" w:rsidP="000115E0">
      <w:pPr>
        <w:spacing w:after="0" w:line="240" w:lineRule="auto"/>
        <w:ind w:firstLine="284"/>
        <w:jc w:val="center"/>
        <w:rPr>
          <w:rFonts w:ascii="Garamond" w:hAnsi="Garamond" w:cs="Times New Roman"/>
          <w:sz w:val="24"/>
          <w:szCs w:val="24"/>
          <w:lang w:eastAsia="sq-AL"/>
        </w:rPr>
      </w:pPr>
      <w:r w:rsidRPr="004F1D50">
        <w:rPr>
          <w:rFonts w:ascii="Garamond" w:hAnsi="Garamond" w:cs="Times New Roman"/>
          <w:sz w:val="24"/>
          <w:szCs w:val="24"/>
          <w:lang w:eastAsia="sq-AL"/>
        </w:rPr>
        <w:t>FORMULAR ANKESE PËR NDËRMJETËSIT E PASURIVE TË PALUAJTSHME</w:t>
      </w:r>
    </w:p>
    <w:p w14:paraId="1F464976" w14:textId="77777777" w:rsidR="00C734D5" w:rsidRPr="004F1D50" w:rsidRDefault="00C734D5" w:rsidP="000115E0">
      <w:pPr>
        <w:spacing w:after="0" w:line="240" w:lineRule="auto"/>
        <w:ind w:firstLine="284"/>
        <w:jc w:val="center"/>
        <w:rPr>
          <w:rFonts w:ascii="Garamond" w:hAnsi="Garamond" w:cs="Times New Roman"/>
          <w:sz w:val="24"/>
          <w:szCs w:val="24"/>
          <w:lang w:eastAsia="sq-AL"/>
        </w:rPr>
      </w:pPr>
    </w:p>
    <w:p w14:paraId="667CE624" w14:textId="77777777" w:rsidR="00C734D5" w:rsidRPr="004F1D50" w:rsidRDefault="00C734D5" w:rsidP="000115E0">
      <w:pPr>
        <w:spacing w:after="0" w:line="240" w:lineRule="auto"/>
        <w:jc w:val="both"/>
        <w:rPr>
          <w:rFonts w:ascii="Garamond" w:hAnsi="Garamond" w:cs="Times New Roman"/>
          <w:i/>
          <w:sz w:val="24"/>
          <w:szCs w:val="24"/>
          <w:lang w:eastAsia="sq-AL"/>
        </w:rPr>
      </w:pPr>
      <w:r w:rsidRPr="004F1D50">
        <w:rPr>
          <w:rFonts w:ascii="Garamond" w:hAnsi="Garamond" w:cs="Times New Roman"/>
          <w:i/>
          <w:sz w:val="24"/>
          <w:szCs w:val="24"/>
          <w:lang w:eastAsia="sq-AL"/>
        </w:rPr>
        <w:t xml:space="preserve">*Dërgimi i ankesës elektronikisht, me postë ose dorazi kërkon bashkëlidhur një kopje të mjetit të identifikimit. </w:t>
      </w:r>
    </w:p>
    <w:p w14:paraId="041D7D14" w14:textId="77777777" w:rsidR="00C734D5" w:rsidRPr="004F1D50" w:rsidRDefault="00C734D5" w:rsidP="000115E0">
      <w:pPr>
        <w:spacing w:after="0" w:line="240" w:lineRule="auto"/>
        <w:rPr>
          <w:rFonts w:ascii="Garamond" w:hAnsi="Garamond" w:cs="Times New Roman"/>
          <w:i/>
          <w:sz w:val="24"/>
          <w:szCs w:val="24"/>
          <w:lang w:eastAsia="sq-AL"/>
        </w:rPr>
      </w:pPr>
    </w:p>
    <w:tbl>
      <w:tblPr>
        <w:tblStyle w:val="TableGrid"/>
        <w:tblW w:w="0" w:type="auto"/>
        <w:tblLook w:val="04A0" w:firstRow="1" w:lastRow="0" w:firstColumn="1" w:lastColumn="0" w:noHBand="0" w:noVBand="1"/>
      </w:tblPr>
      <w:tblGrid>
        <w:gridCol w:w="9242"/>
      </w:tblGrid>
      <w:tr w:rsidR="00C734D5" w:rsidRPr="004F1D50" w14:paraId="084E92F9" w14:textId="77777777" w:rsidTr="004F1D50">
        <w:trPr>
          <w:trHeight w:val="458"/>
        </w:trPr>
        <w:tc>
          <w:tcPr>
            <w:tcW w:w="9855" w:type="dxa"/>
            <w:vAlign w:val="center"/>
          </w:tcPr>
          <w:p w14:paraId="7A541FA2" w14:textId="195CA1B0" w:rsidR="00C734D5" w:rsidRPr="004F1D50" w:rsidRDefault="004F1D50" w:rsidP="00392326">
            <w:pPr>
              <w:rPr>
                <w:rFonts w:ascii="Garamond" w:hAnsi="Garamond"/>
                <w:b/>
                <w:sz w:val="24"/>
                <w:szCs w:val="24"/>
                <w:lang w:val="sq-AL" w:eastAsia="sq-AL"/>
              </w:rPr>
            </w:pPr>
            <w:r>
              <w:rPr>
                <w:rFonts w:ascii="Garamond" w:hAnsi="Garamond"/>
                <w:b/>
                <w:sz w:val="24"/>
                <w:szCs w:val="24"/>
                <w:lang w:val="sq-AL" w:eastAsia="sq-AL"/>
              </w:rPr>
              <w:t>Identifikimi i a</w:t>
            </w:r>
            <w:r w:rsidR="00C734D5" w:rsidRPr="004F1D50">
              <w:rPr>
                <w:rFonts w:ascii="Garamond" w:hAnsi="Garamond"/>
                <w:b/>
                <w:sz w:val="24"/>
                <w:szCs w:val="24"/>
                <w:lang w:val="sq-AL" w:eastAsia="sq-AL"/>
              </w:rPr>
              <w:t>nkuesit</w:t>
            </w:r>
            <w:bookmarkStart w:id="0" w:name="_GoBack"/>
            <w:bookmarkEnd w:id="0"/>
          </w:p>
        </w:tc>
      </w:tr>
      <w:tr w:rsidR="00C734D5" w:rsidRPr="004F1D50" w14:paraId="609E4098" w14:textId="77777777" w:rsidTr="00F4762C">
        <w:tc>
          <w:tcPr>
            <w:tcW w:w="9855" w:type="dxa"/>
          </w:tcPr>
          <w:p w14:paraId="49691D85" w14:textId="77777777" w:rsidR="00C734D5" w:rsidRPr="004F1D50" w:rsidRDefault="00C734D5" w:rsidP="000115E0">
            <w:pPr>
              <w:rPr>
                <w:rFonts w:ascii="Garamond" w:hAnsi="Garamond"/>
                <w:sz w:val="24"/>
                <w:szCs w:val="24"/>
                <w:lang w:val="sq-AL" w:eastAsia="sq-AL"/>
              </w:rPr>
            </w:pPr>
            <w:r w:rsidRPr="004F1D50">
              <w:rPr>
                <w:rFonts w:ascii="Garamond" w:hAnsi="Garamond"/>
                <w:sz w:val="24"/>
                <w:szCs w:val="24"/>
                <w:lang w:val="sq-AL" w:eastAsia="sq-AL"/>
              </w:rPr>
              <w:t>Emri:</w:t>
            </w:r>
          </w:p>
        </w:tc>
      </w:tr>
      <w:tr w:rsidR="00C734D5" w:rsidRPr="004F1D50" w14:paraId="361B6372" w14:textId="77777777" w:rsidTr="00F4762C">
        <w:tc>
          <w:tcPr>
            <w:tcW w:w="9855" w:type="dxa"/>
          </w:tcPr>
          <w:p w14:paraId="3220F9C9" w14:textId="453D38E4" w:rsidR="00C734D5" w:rsidRPr="004F1D50" w:rsidRDefault="004F1D50" w:rsidP="000115E0">
            <w:pPr>
              <w:rPr>
                <w:rFonts w:ascii="Garamond" w:hAnsi="Garamond"/>
                <w:sz w:val="24"/>
                <w:szCs w:val="24"/>
                <w:lang w:val="sq-AL" w:eastAsia="sq-AL"/>
              </w:rPr>
            </w:pPr>
            <w:r w:rsidRPr="004F1D50">
              <w:rPr>
                <w:rFonts w:ascii="Garamond" w:hAnsi="Garamond"/>
                <w:sz w:val="24"/>
                <w:szCs w:val="24"/>
                <w:lang w:val="sq-AL" w:eastAsia="sq-AL"/>
              </w:rPr>
              <w:t>Mbiemri</w:t>
            </w:r>
            <w:r w:rsidR="00C734D5" w:rsidRPr="004F1D50">
              <w:rPr>
                <w:rFonts w:ascii="Garamond" w:hAnsi="Garamond"/>
                <w:sz w:val="24"/>
                <w:szCs w:val="24"/>
                <w:lang w:val="sq-AL" w:eastAsia="sq-AL"/>
              </w:rPr>
              <w:t xml:space="preserve">: </w:t>
            </w:r>
          </w:p>
        </w:tc>
      </w:tr>
      <w:tr w:rsidR="00C734D5" w:rsidRPr="004F1D50" w14:paraId="7461BBCE" w14:textId="77777777" w:rsidTr="00F4762C">
        <w:tc>
          <w:tcPr>
            <w:tcW w:w="9855" w:type="dxa"/>
          </w:tcPr>
          <w:p w14:paraId="53C2D492" w14:textId="77777777" w:rsidR="00C734D5" w:rsidRPr="004F1D50" w:rsidRDefault="00C734D5" w:rsidP="000115E0">
            <w:pPr>
              <w:rPr>
                <w:rFonts w:ascii="Garamond" w:hAnsi="Garamond"/>
                <w:sz w:val="24"/>
                <w:szCs w:val="24"/>
                <w:lang w:val="sq-AL" w:eastAsia="sq-AL"/>
              </w:rPr>
            </w:pPr>
            <w:r w:rsidRPr="004F1D50">
              <w:rPr>
                <w:rFonts w:ascii="Garamond" w:hAnsi="Garamond"/>
                <w:sz w:val="24"/>
                <w:szCs w:val="24"/>
                <w:lang w:val="sq-AL" w:eastAsia="sq-AL"/>
              </w:rPr>
              <w:t xml:space="preserve">Adresa: </w:t>
            </w:r>
          </w:p>
        </w:tc>
      </w:tr>
      <w:tr w:rsidR="00C734D5" w:rsidRPr="004F1D50" w14:paraId="06179318" w14:textId="77777777" w:rsidTr="00F4762C">
        <w:tc>
          <w:tcPr>
            <w:tcW w:w="9855" w:type="dxa"/>
          </w:tcPr>
          <w:p w14:paraId="646EB4B6" w14:textId="4ACEF9BA" w:rsidR="00C734D5" w:rsidRPr="004F1D50" w:rsidRDefault="004F1D50" w:rsidP="000115E0">
            <w:pPr>
              <w:rPr>
                <w:rFonts w:ascii="Garamond" w:hAnsi="Garamond"/>
                <w:sz w:val="24"/>
                <w:szCs w:val="24"/>
                <w:lang w:val="sq-AL" w:eastAsia="sq-AL"/>
              </w:rPr>
            </w:pPr>
            <w:r w:rsidRPr="004F1D50">
              <w:rPr>
                <w:rFonts w:ascii="Garamond" w:hAnsi="Garamond"/>
                <w:sz w:val="24"/>
                <w:szCs w:val="24"/>
                <w:lang w:val="sq-AL" w:eastAsia="sq-AL"/>
              </w:rPr>
              <w:t>Qyteti</w:t>
            </w:r>
            <w:r w:rsidR="00C734D5" w:rsidRPr="004F1D50">
              <w:rPr>
                <w:rFonts w:ascii="Garamond" w:hAnsi="Garamond"/>
                <w:sz w:val="24"/>
                <w:szCs w:val="24"/>
                <w:lang w:val="sq-AL" w:eastAsia="sq-AL"/>
              </w:rPr>
              <w:t xml:space="preserve">: </w:t>
            </w:r>
          </w:p>
        </w:tc>
      </w:tr>
      <w:tr w:rsidR="00C734D5" w:rsidRPr="004F1D50" w14:paraId="3B119727" w14:textId="77777777" w:rsidTr="00F4762C">
        <w:tc>
          <w:tcPr>
            <w:tcW w:w="9855" w:type="dxa"/>
          </w:tcPr>
          <w:p w14:paraId="5172C58D" w14:textId="77777777" w:rsidR="00C734D5" w:rsidRPr="004F1D50" w:rsidRDefault="00C734D5" w:rsidP="000115E0">
            <w:pPr>
              <w:rPr>
                <w:rFonts w:ascii="Garamond" w:hAnsi="Garamond"/>
                <w:sz w:val="24"/>
                <w:szCs w:val="24"/>
                <w:lang w:val="sq-AL" w:eastAsia="sq-AL"/>
              </w:rPr>
            </w:pPr>
            <w:r w:rsidRPr="004F1D50">
              <w:rPr>
                <w:rFonts w:ascii="Garamond" w:hAnsi="Garamond"/>
                <w:sz w:val="24"/>
                <w:szCs w:val="24"/>
                <w:lang w:val="sq-AL" w:eastAsia="sq-AL"/>
              </w:rPr>
              <w:t xml:space="preserve">Telefon: </w:t>
            </w:r>
          </w:p>
        </w:tc>
      </w:tr>
      <w:tr w:rsidR="00C734D5" w:rsidRPr="004F1D50" w14:paraId="3BA88D41" w14:textId="77777777" w:rsidTr="00F4762C">
        <w:tc>
          <w:tcPr>
            <w:tcW w:w="9855" w:type="dxa"/>
          </w:tcPr>
          <w:p w14:paraId="2CE08058" w14:textId="368F0B9A" w:rsidR="00C734D5" w:rsidRPr="004F1D50" w:rsidRDefault="004F1D50" w:rsidP="000115E0">
            <w:pPr>
              <w:rPr>
                <w:rFonts w:ascii="Garamond" w:hAnsi="Garamond"/>
                <w:sz w:val="24"/>
                <w:szCs w:val="24"/>
                <w:lang w:val="sq-AL" w:eastAsia="sq-AL"/>
              </w:rPr>
            </w:pPr>
            <w:r w:rsidRPr="004F1D50">
              <w:rPr>
                <w:rFonts w:ascii="Garamond" w:hAnsi="Garamond"/>
                <w:i/>
                <w:sz w:val="24"/>
                <w:szCs w:val="24"/>
                <w:lang w:val="sq-AL" w:eastAsia="sq-AL"/>
              </w:rPr>
              <w:lastRenderedPageBreak/>
              <w:t>E</w:t>
            </w:r>
            <w:r w:rsidR="00C734D5" w:rsidRPr="004F1D50">
              <w:rPr>
                <w:rFonts w:ascii="Garamond" w:hAnsi="Garamond"/>
                <w:i/>
                <w:sz w:val="24"/>
                <w:szCs w:val="24"/>
                <w:lang w:val="sq-AL" w:eastAsia="sq-AL"/>
              </w:rPr>
              <w:t>mail</w:t>
            </w:r>
            <w:r w:rsidRPr="004F1D50">
              <w:rPr>
                <w:rFonts w:ascii="Garamond" w:hAnsi="Garamond"/>
                <w:sz w:val="24"/>
                <w:szCs w:val="24"/>
                <w:lang w:val="sq-AL" w:eastAsia="sq-AL"/>
              </w:rPr>
              <w:t>-i</w:t>
            </w:r>
            <w:r w:rsidR="00C734D5" w:rsidRPr="004F1D50">
              <w:rPr>
                <w:rFonts w:ascii="Garamond" w:hAnsi="Garamond"/>
                <w:sz w:val="24"/>
                <w:szCs w:val="24"/>
                <w:lang w:val="sq-AL" w:eastAsia="sq-AL"/>
              </w:rPr>
              <w:t xml:space="preserve">: </w:t>
            </w:r>
          </w:p>
        </w:tc>
      </w:tr>
    </w:tbl>
    <w:p w14:paraId="4C3FD5EC" w14:textId="77777777" w:rsidR="00C734D5" w:rsidRPr="004F1D50" w:rsidRDefault="00C734D5" w:rsidP="000115E0">
      <w:pPr>
        <w:spacing w:after="0" w:line="240" w:lineRule="auto"/>
        <w:rPr>
          <w:rFonts w:ascii="Garamond" w:hAnsi="Garamond" w:cs="Times New Roman"/>
          <w:sz w:val="24"/>
          <w:szCs w:val="24"/>
          <w:lang w:eastAsia="sq-AL"/>
        </w:rPr>
      </w:pPr>
    </w:p>
    <w:p w14:paraId="47FE9A5F" w14:textId="77777777" w:rsidR="00C734D5" w:rsidRPr="004F1D50" w:rsidRDefault="00C734D5" w:rsidP="000115E0">
      <w:pPr>
        <w:spacing w:after="0" w:line="240" w:lineRule="auto"/>
        <w:rPr>
          <w:rFonts w:ascii="Garamond" w:hAnsi="Garamond" w:cs="Times New Roman"/>
          <w:sz w:val="24"/>
          <w:szCs w:val="24"/>
          <w:lang w:eastAsia="sq-AL"/>
        </w:rPr>
      </w:pPr>
    </w:p>
    <w:tbl>
      <w:tblPr>
        <w:tblStyle w:val="TableGrid"/>
        <w:tblW w:w="0" w:type="auto"/>
        <w:tblLook w:val="04A0" w:firstRow="1" w:lastRow="0" w:firstColumn="1" w:lastColumn="0" w:noHBand="0" w:noVBand="1"/>
      </w:tblPr>
      <w:tblGrid>
        <w:gridCol w:w="8321"/>
      </w:tblGrid>
      <w:tr w:rsidR="00C734D5" w:rsidRPr="004F1D50" w14:paraId="5EA5CCAB" w14:textId="77777777" w:rsidTr="004F1D50">
        <w:trPr>
          <w:trHeight w:val="527"/>
        </w:trPr>
        <w:tc>
          <w:tcPr>
            <w:tcW w:w="0" w:type="auto"/>
          </w:tcPr>
          <w:p w14:paraId="0D750DF9" w14:textId="77777777" w:rsidR="00C734D5" w:rsidRPr="004F1D50" w:rsidRDefault="00C734D5" w:rsidP="000115E0">
            <w:pPr>
              <w:rPr>
                <w:rFonts w:ascii="Garamond" w:hAnsi="Garamond"/>
                <w:sz w:val="24"/>
                <w:szCs w:val="24"/>
                <w:lang w:val="sq-AL" w:eastAsia="sq-AL"/>
              </w:rPr>
            </w:pPr>
            <w:r w:rsidRPr="004F1D50">
              <w:rPr>
                <w:rFonts w:ascii="Garamond" w:hAnsi="Garamond"/>
                <w:sz w:val="24"/>
                <w:szCs w:val="24"/>
                <w:lang w:val="sq-AL" w:eastAsia="sq-AL"/>
              </w:rPr>
              <w:t>Identifikimi i subjektit ndaj të cilit drejtohet ankesa:</w:t>
            </w:r>
          </w:p>
        </w:tc>
      </w:tr>
      <w:tr w:rsidR="00C734D5" w:rsidRPr="004F1D50" w14:paraId="19863491" w14:textId="77777777" w:rsidTr="004F1D50">
        <w:trPr>
          <w:trHeight w:val="692"/>
        </w:trPr>
        <w:tc>
          <w:tcPr>
            <w:tcW w:w="0" w:type="auto"/>
          </w:tcPr>
          <w:p w14:paraId="19A99357" w14:textId="728FAFCB" w:rsidR="00C734D5" w:rsidRPr="004F1D50" w:rsidRDefault="00C734D5" w:rsidP="000115E0">
            <w:pPr>
              <w:rPr>
                <w:rFonts w:ascii="Garamond" w:hAnsi="Garamond"/>
                <w:sz w:val="24"/>
                <w:szCs w:val="24"/>
                <w:lang w:val="sq-AL" w:eastAsia="sq-AL"/>
              </w:rPr>
            </w:pPr>
            <w:r w:rsidRPr="004F1D50">
              <w:rPr>
                <w:rFonts w:ascii="Garamond" w:hAnsi="Garamond"/>
                <w:sz w:val="24"/>
                <w:szCs w:val="24"/>
                <w:lang w:val="sq-AL" w:eastAsia="sq-AL"/>
              </w:rPr>
              <w:t>Ndërmjetësi i pasurive të paluajtshme/</w:t>
            </w:r>
            <w:r w:rsidR="004F1D50" w:rsidRPr="004F1D50">
              <w:rPr>
                <w:rFonts w:ascii="Garamond" w:hAnsi="Garamond"/>
                <w:sz w:val="24"/>
                <w:szCs w:val="24"/>
                <w:lang w:val="sq-AL" w:eastAsia="sq-AL"/>
              </w:rPr>
              <w:t>zyra e ndërmjetësimit të pasurive të paluajtshme:</w:t>
            </w:r>
          </w:p>
        </w:tc>
      </w:tr>
    </w:tbl>
    <w:p w14:paraId="4C9B6ED9" w14:textId="77777777" w:rsidR="00C734D5" w:rsidRPr="004F1D50" w:rsidRDefault="00C734D5" w:rsidP="000115E0">
      <w:pPr>
        <w:spacing w:after="0" w:line="240" w:lineRule="auto"/>
        <w:rPr>
          <w:rFonts w:ascii="Garamond" w:hAnsi="Garamond" w:cs="Times New Roman"/>
          <w:sz w:val="24"/>
          <w:szCs w:val="24"/>
          <w:lang w:eastAsia="sq-AL"/>
        </w:rPr>
      </w:pPr>
    </w:p>
    <w:p w14:paraId="01F86250" w14:textId="77777777" w:rsidR="00C734D5" w:rsidRPr="004F1D50" w:rsidRDefault="00C734D5" w:rsidP="000115E0">
      <w:pPr>
        <w:spacing w:after="0" w:line="240" w:lineRule="auto"/>
        <w:rPr>
          <w:rFonts w:ascii="Garamond" w:hAnsi="Garamond" w:cs="Times New Roman"/>
          <w:b/>
          <w:sz w:val="24"/>
          <w:szCs w:val="24"/>
          <w:lang w:eastAsia="sq-AL"/>
        </w:rPr>
      </w:pPr>
    </w:p>
    <w:p w14:paraId="30E0449F" w14:textId="77777777" w:rsidR="00C734D5" w:rsidRPr="004F1D50" w:rsidRDefault="00C734D5" w:rsidP="000115E0">
      <w:pPr>
        <w:spacing w:after="0" w:line="240" w:lineRule="auto"/>
        <w:rPr>
          <w:rFonts w:ascii="Garamond" w:hAnsi="Garamond" w:cs="Times New Roman"/>
          <w:b/>
          <w:sz w:val="24"/>
          <w:szCs w:val="24"/>
          <w:lang w:eastAsia="sq-AL"/>
        </w:rPr>
      </w:pPr>
      <w:r w:rsidRPr="004F1D50">
        <w:rPr>
          <w:rFonts w:ascii="Garamond" w:hAnsi="Garamond" w:cs="Times New Roman"/>
          <w:b/>
          <w:sz w:val="24"/>
          <w:szCs w:val="24"/>
        </w:rPr>
        <w:t>Jepni informacion mbi shkeljet e pretenduara duke përfshirë datat dhe një përshkrim të veprimeve ose mosveprimeve:</w:t>
      </w:r>
    </w:p>
    <w:p w14:paraId="26B54C07" w14:textId="77777777" w:rsidR="00C734D5" w:rsidRPr="004F1D50" w:rsidRDefault="00C734D5" w:rsidP="000115E0">
      <w:pPr>
        <w:spacing w:after="0" w:line="240" w:lineRule="auto"/>
        <w:rPr>
          <w:rFonts w:ascii="Garamond" w:hAnsi="Garamond" w:cs="Times New Roman"/>
          <w:b/>
          <w:sz w:val="24"/>
          <w:szCs w:val="24"/>
          <w:lang w:eastAsia="sq-AL"/>
        </w:rPr>
      </w:pPr>
      <w:r w:rsidRPr="004F1D50">
        <w:rPr>
          <w:rFonts w:ascii="Garamond" w:hAnsi="Garamond" w:cs="Times New Roman"/>
          <w:sz w:val="24"/>
          <w:szCs w:val="24"/>
          <w:lang w:eastAsia="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4325EDE" w14:textId="77777777" w:rsidR="00C734D5" w:rsidRPr="004F1D50" w:rsidRDefault="00C734D5" w:rsidP="000115E0">
      <w:pPr>
        <w:spacing w:after="0" w:line="240" w:lineRule="auto"/>
        <w:rPr>
          <w:rFonts w:ascii="Garamond" w:hAnsi="Garamond" w:cs="Times New Roman"/>
          <w:sz w:val="24"/>
          <w:szCs w:val="24"/>
          <w:lang w:eastAsia="sq-AL"/>
        </w:rPr>
      </w:pPr>
      <w:r w:rsidRPr="004F1D50">
        <w:rPr>
          <w:rFonts w:ascii="Garamond" w:hAnsi="Garamond" w:cs="Times New Roman"/>
          <w:sz w:val="24"/>
          <w:szCs w:val="24"/>
          <w:lang w:eastAsia="sq-AL"/>
        </w:rPr>
        <w:t>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B6E3892" w14:textId="77777777" w:rsidR="00C734D5" w:rsidRPr="004F1D50" w:rsidRDefault="00C734D5" w:rsidP="000115E0">
      <w:pPr>
        <w:spacing w:after="0" w:line="240" w:lineRule="auto"/>
        <w:rPr>
          <w:rFonts w:ascii="Garamond" w:hAnsi="Garamond" w:cs="Times New Roman"/>
          <w:sz w:val="24"/>
          <w:szCs w:val="24"/>
          <w:lang w:eastAsia="sq-AL"/>
        </w:rPr>
      </w:pPr>
      <w:r w:rsidRPr="004F1D50">
        <w:rPr>
          <w:rFonts w:ascii="Garamond" w:hAnsi="Garamond" w:cs="Times New Roman"/>
          <w:sz w:val="24"/>
          <w:szCs w:val="24"/>
          <w:lang w:eastAsia="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E7D35A4" w14:textId="77777777" w:rsidR="00C734D5" w:rsidRPr="004F1D50" w:rsidRDefault="00C734D5" w:rsidP="000115E0">
      <w:pPr>
        <w:spacing w:after="0" w:line="240" w:lineRule="auto"/>
        <w:rPr>
          <w:rFonts w:ascii="Garamond" w:hAnsi="Garamond" w:cs="Times New Roman"/>
          <w:sz w:val="24"/>
          <w:szCs w:val="24"/>
          <w:lang w:eastAsia="sq-AL"/>
        </w:rPr>
      </w:pPr>
      <w:r w:rsidRPr="004F1D50">
        <w:rPr>
          <w:rFonts w:ascii="Garamond" w:hAnsi="Garamond" w:cs="Times New Roman"/>
          <w:sz w:val="24"/>
          <w:szCs w:val="24"/>
          <w:lang w:eastAsia="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47FD77B" w14:textId="77777777" w:rsidR="00C734D5" w:rsidRPr="004F1D50" w:rsidRDefault="00C734D5" w:rsidP="000115E0">
      <w:pPr>
        <w:spacing w:after="0" w:line="240" w:lineRule="auto"/>
        <w:rPr>
          <w:rFonts w:ascii="Garamond" w:hAnsi="Garamond" w:cs="Times New Roman"/>
          <w:sz w:val="24"/>
          <w:szCs w:val="24"/>
          <w:lang w:eastAsia="sq-AL"/>
        </w:rPr>
      </w:pPr>
      <w:r w:rsidRPr="004F1D50">
        <w:rPr>
          <w:rFonts w:ascii="Garamond" w:hAnsi="Garamond" w:cs="Times New Roman"/>
          <w:sz w:val="24"/>
          <w:szCs w:val="24"/>
          <w:lang w:eastAsia="sq-AL"/>
        </w:rPr>
        <w:t>_________________________________________________________________________________________________________________________________________________________________________________________________________________________________</w:t>
      </w:r>
    </w:p>
    <w:p w14:paraId="1C6A983F" w14:textId="77777777" w:rsidR="00C734D5" w:rsidRPr="004F1D50" w:rsidRDefault="00C734D5" w:rsidP="000115E0">
      <w:pPr>
        <w:spacing w:after="0" w:line="240" w:lineRule="auto"/>
        <w:rPr>
          <w:rFonts w:ascii="Garamond" w:hAnsi="Garamond" w:cs="Times New Roman"/>
          <w:b/>
          <w:sz w:val="24"/>
          <w:szCs w:val="24"/>
          <w:lang w:eastAsia="sq-AL"/>
        </w:rPr>
      </w:pPr>
      <w:r w:rsidRPr="004F1D50">
        <w:rPr>
          <w:rFonts w:ascii="Garamond" w:hAnsi="Garamond" w:cs="Times New Roman"/>
          <w:b/>
          <w:sz w:val="24"/>
          <w:szCs w:val="24"/>
          <w:lang w:eastAsia="sq-AL"/>
        </w:rPr>
        <w:t xml:space="preserve">Dokumente që i bashkëngjiten ankesës: </w:t>
      </w:r>
    </w:p>
    <w:p w14:paraId="45287D34" w14:textId="77777777" w:rsidR="000115E0" w:rsidRPr="004F1D50" w:rsidRDefault="000115E0" w:rsidP="000115E0">
      <w:pPr>
        <w:autoSpaceDE w:val="0"/>
        <w:autoSpaceDN w:val="0"/>
        <w:adjustRightInd w:val="0"/>
        <w:spacing w:after="0" w:line="240" w:lineRule="auto"/>
        <w:rPr>
          <w:rFonts w:ascii="Garamond" w:hAnsi="Garamond" w:cs="Garamond"/>
          <w:b/>
          <w:bCs/>
          <w:color w:val="000000"/>
          <w:sz w:val="24"/>
          <w:szCs w:val="24"/>
        </w:rPr>
      </w:pPr>
    </w:p>
    <w:p w14:paraId="3D580470" w14:textId="53372BA2" w:rsidR="000115E0" w:rsidRPr="004F1D50" w:rsidRDefault="000115E0" w:rsidP="000115E0">
      <w:pPr>
        <w:autoSpaceDE w:val="0"/>
        <w:autoSpaceDN w:val="0"/>
        <w:adjustRightInd w:val="0"/>
        <w:spacing w:after="0" w:line="240" w:lineRule="auto"/>
        <w:rPr>
          <w:rFonts w:ascii="Garamond" w:hAnsi="Garamond" w:cs="Garamond"/>
          <w:color w:val="000000"/>
          <w:sz w:val="24"/>
          <w:szCs w:val="24"/>
        </w:rPr>
      </w:pPr>
      <w:r w:rsidRPr="004F1D50">
        <w:rPr>
          <w:rFonts w:ascii="Garamond" w:hAnsi="Garamond" w:cs="Garamond"/>
          <w:color w:val="000000"/>
          <w:sz w:val="24"/>
          <w:szCs w:val="24"/>
        </w:rPr>
        <w:t>1. _____________________________________</w:t>
      </w:r>
      <w:r w:rsidR="004F1D50">
        <w:rPr>
          <w:rFonts w:ascii="Garamond" w:hAnsi="Garamond" w:cs="Garamond"/>
          <w:color w:val="000000"/>
          <w:sz w:val="24"/>
          <w:szCs w:val="24"/>
        </w:rPr>
        <w:t>______________________________</w:t>
      </w:r>
    </w:p>
    <w:p w14:paraId="74AF20A4" w14:textId="12E37E4C" w:rsidR="000115E0" w:rsidRPr="004F1D50" w:rsidRDefault="000115E0" w:rsidP="000115E0">
      <w:pPr>
        <w:autoSpaceDE w:val="0"/>
        <w:autoSpaceDN w:val="0"/>
        <w:adjustRightInd w:val="0"/>
        <w:spacing w:after="0" w:line="240" w:lineRule="auto"/>
        <w:rPr>
          <w:rFonts w:ascii="Garamond" w:hAnsi="Garamond" w:cs="Garamond"/>
          <w:color w:val="000000"/>
          <w:sz w:val="24"/>
          <w:szCs w:val="24"/>
        </w:rPr>
      </w:pPr>
      <w:r w:rsidRPr="004F1D50">
        <w:rPr>
          <w:rFonts w:ascii="Garamond" w:hAnsi="Garamond" w:cs="Garamond"/>
          <w:color w:val="000000"/>
          <w:sz w:val="24"/>
          <w:szCs w:val="24"/>
        </w:rPr>
        <w:t>2. _____________________________________</w:t>
      </w:r>
      <w:r w:rsidR="004F1D50">
        <w:rPr>
          <w:rFonts w:ascii="Garamond" w:hAnsi="Garamond" w:cs="Garamond"/>
          <w:color w:val="000000"/>
          <w:sz w:val="24"/>
          <w:szCs w:val="24"/>
        </w:rPr>
        <w:t>______________________________</w:t>
      </w:r>
    </w:p>
    <w:p w14:paraId="7D841941" w14:textId="7074EB39" w:rsidR="000115E0" w:rsidRPr="004F1D50" w:rsidRDefault="000115E0" w:rsidP="000115E0">
      <w:pPr>
        <w:autoSpaceDE w:val="0"/>
        <w:autoSpaceDN w:val="0"/>
        <w:adjustRightInd w:val="0"/>
        <w:spacing w:after="0" w:line="240" w:lineRule="auto"/>
        <w:rPr>
          <w:rFonts w:ascii="Garamond" w:hAnsi="Garamond" w:cs="Garamond"/>
          <w:color w:val="000000"/>
          <w:sz w:val="24"/>
          <w:szCs w:val="24"/>
        </w:rPr>
      </w:pPr>
      <w:r w:rsidRPr="004F1D50">
        <w:rPr>
          <w:rFonts w:ascii="Garamond" w:hAnsi="Garamond" w:cs="Garamond"/>
          <w:color w:val="000000"/>
          <w:sz w:val="24"/>
          <w:szCs w:val="24"/>
        </w:rPr>
        <w:t>3. _____________________________________</w:t>
      </w:r>
      <w:r w:rsidR="004F1D50">
        <w:rPr>
          <w:rFonts w:ascii="Garamond" w:hAnsi="Garamond" w:cs="Garamond"/>
          <w:color w:val="000000"/>
          <w:sz w:val="24"/>
          <w:szCs w:val="24"/>
        </w:rPr>
        <w:t>______________________________</w:t>
      </w:r>
    </w:p>
    <w:p w14:paraId="4FC9BF2F" w14:textId="7324FEA8" w:rsidR="000115E0" w:rsidRPr="004F1D50" w:rsidRDefault="000115E0" w:rsidP="000115E0">
      <w:pPr>
        <w:autoSpaceDE w:val="0"/>
        <w:autoSpaceDN w:val="0"/>
        <w:adjustRightInd w:val="0"/>
        <w:spacing w:after="0" w:line="240" w:lineRule="auto"/>
        <w:rPr>
          <w:rFonts w:ascii="Garamond" w:hAnsi="Garamond" w:cs="Garamond"/>
          <w:color w:val="000000"/>
          <w:sz w:val="24"/>
          <w:szCs w:val="24"/>
        </w:rPr>
      </w:pPr>
      <w:r w:rsidRPr="004F1D50">
        <w:rPr>
          <w:rFonts w:ascii="Garamond" w:hAnsi="Garamond" w:cs="Garamond"/>
          <w:color w:val="000000"/>
          <w:sz w:val="24"/>
          <w:szCs w:val="24"/>
        </w:rPr>
        <w:t>4. ___________________________________________________________________</w:t>
      </w:r>
    </w:p>
    <w:p w14:paraId="09B84F8F" w14:textId="015E5EBD" w:rsidR="000115E0" w:rsidRPr="004F1D50" w:rsidRDefault="000115E0" w:rsidP="000115E0">
      <w:pPr>
        <w:autoSpaceDE w:val="0"/>
        <w:autoSpaceDN w:val="0"/>
        <w:adjustRightInd w:val="0"/>
        <w:spacing w:after="0" w:line="240" w:lineRule="auto"/>
        <w:rPr>
          <w:rFonts w:ascii="Garamond" w:hAnsi="Garamond" w:cs="Garamond"/>
          <w:color w:val="000000"/>
          <w:sz w:val="24"/>
          <w:szCs w:val="24"/>
        </w:rPr>
      </w:pPr>
      <w:r w:rsidRPr="004F1D50">
        <w:rPr>
          <w:rFonts w:ascii="Garamond" w:hAnsi="Garamond" w:cs="Garamond"/>
          <w:color w:val="000000"/>
          <w:sz w:val="24"/>
          <w:szCs w:val="24"/>
        </w:rPr>
        <w:t>5. _______________________________________</w:t>
      </w:r>
      <w:r w:rsidR="004F1D50">
        <w:rPr>
          <w:rFonts w:ascii="Garamond" w:hAnsi="Garamond" w:cs="Garamond"/>
          <w:color w:val="000000"/>
          <w:sz w:val="24"/>
          <w:szCs w:val="24"/>
        </w:rPr>
        <w:t>____________________________</w:t>
      </w:r>
    </w:p>
    <w:p w14:paraId="3A8C3BE9" w14:textId="3099EFDA" w:rsidR="00C734D5" w:rsidRPr="004F1D50" w:rsidRDefault="00C734D5" w:rsidP="000115E0">
      <w:pPr>
        <w:spacing w:after="0" w:line="240" w:lineRule="auto"/>
        <w:rPr>
          <w:rFonts w:ascii="Garamond" w:hAnsi="Garamond" w:cs="Times New Roman"/>
          <w:sz w:val="24"/>
          <w:szCs w:val="24"/>
          <w:lang w:eastAsia="sq-AL"/>
        </w:rPr>
      </w:pPr>
    </w:p>
    <w:p w14:paraId="1C934CA6" w14:textId="26D95FAD" w:rsidR="00DB5184" w:rsidRPr="004F1D50" w:rsidRDefault="00DB5184" w:rsidP="004F1D50">
      <w:pPr>
        <w:spacing w:after="0" w:line="240" w:lineRule="auto"/>
        <w:jc w:val="both"/>
        <w:rPr>
          <w:rFonts w:ascii="Garamond" w:hAnsi="Garamond" w:cs="Times New Roman"/>
          <w:b/>
          <w:sz w:val="24"/>
          <w:szCs w:val="24"/>
          <w:lang w:eastAsia="sq-AL"/>
        </w:rPr>
      </w:pPr>
      <w:r w:rsidRPr="004F1D50">
        <w:rPr>
          <w:rFonts w:ascii="Garamond" w:hAnsi="Garamond" w:cs="Times New Roman"/>
          <w:b/>
          <w:sz w:val="24"/>
          <w:szCs w:val="24"/>
          <w:lang w:eastAsia="sq-AL"/>
        </w:rPr>
        <w:t>Kërkesa për ruajtjen e konfidencialitetit</w:t>
      </w:r>
      <w:r w:rsidR="00CB0862" w:rsidRPr="004F1D50">
        <w:rPr>
          <w:rFonts w:ascii="Garamond" w:hAnsi="Garamond" w:cs="Times New Roman"/>
          <w:b/>
          <w:sz w:val="24"/>
          <w:szCs w:val="24"/>
          <w:lang w:eastAsia="sq-AL"/>
        </w:rPr>
        <w:t>, sipas pikës 3, të nenit 24, të ligjit nr.</w:t>
      </w:r>
      <w:r w:rsidR="004F1D50">
        <w:rPr>
          <w:rFonts w:ascii="Garamond" w:hAnsi="Garamond" w:cs="Times New Roman"/>
          <w:b/>
          <w:sz w:val="24"/>
          <w:szCs w:val="24"/>
          <w:lang w:eastAsia="sq-AL"/>
        </w:rPr>
        <w:t xml:space="preserve"> </w:t>
      </w:r>
      <w:r w:rsidR="00CB0862" w:rsidRPr="004F1D50">
        <w:rPr>
          <w:rFonts w:ascii="Garamond" w:hAnsi="Garamond" w:cs="Times New Roman"/>
          <w:b/>
          <w:sz w:val="24"/>
          <w:szCs w:val="24"/>
          <w:lang w:eastAsia="sq-AL"/>
        </w:rPr>
        <w:t>9/2022</w:t>
      </w:r>
      <w:r w:rsidR="004F1D50">
        <w:rPr>
          <w:rFonts w:ascii="Garamond" w:hAnsi="Garamond" w:cs="Times New Roman"/>
          <w:b/>
          <w:sz w:val="24"/>
          <w:szCs w:val="24"/>
          <w:lang w:eastAsia="sq-AL"/>
        </w:rPr>
        <w:t>,</w:t>
      </w:r>
      <w:r w:rsidR="00CB0862" w:rsidRPr="004F1D50">
        <w:rPr>
          <w:rFonts w:ascii="Garamond" w:hAnsi="Garamond" w:cs="Times New Roman"/>
          <w:b/>
          <w:sz w:val="24"/>
          <w:szCs w:val="24"/>
          <w:lang w:eastAsia="sq-AL"/>
        </w:rPr>
        <w:t xml:space="preserve"> “Për profesionin e ndërmjetësit të pasurive të paluajtshme</w:t>
      </w:r>
      <w:r w:rsidR="004F1D50">
        <w:rPr>
          <w:rFonts w:ascii="Garamond" w:hAnsi="Garamond" w:cs="Times New Roman"/>
          <w:b/>
          <w:sz w:val="24"/>
          <w:szCs w:val="24"/>
          <w:lang w:eastAsia="sq-AL"/>
        </w:rPr>
        <w:t>”</w:t>
      </w:r>
      <w:r w:rsidRPr="004F1D50">
        <w:rPr>
          <w:rFonts w:ascii="Garamond" w:hAnsi="Garamond" w:cs="Times New Roman"/>
          <w:b/>
          <w:sz w:val="24"/>
          <w:szCs w:val="24"/>
          <w:lang w:eastAsia="sq-AL"/>
        </w:rPr>
        <w:t>:</w:t>
      </w:r>
    </w:p>
    <w:p w14:paraId="2AF4935C" w14:textId="77777777" w:rsidR="00DB5184" w:rsidRPr="004F1D50" w:rsidRDefault="00DB5184" w:rsidP="000115E0">
      <w:pPr>
        <w:spacing w:after="0" w:line="240" w:lineRule="auto"/>
        <w:rPr>
          <w:rFonts w:ascii="Garamond" w:hAnsi="Garamond" w:cs="Times New Roman"/>
          <w:sz w:val="24"/>
          <w:szCs w:val="24"/>
          <w:lang w:eastAsia="sq-AL"/>
        </w:rPr>
      </w:pPr>
    </w:p>
    <w:tbl>
      <w:tblPr>
        <w:tblStyle w:val="TableGrid"/>
        <w:tblW w:w="0" w:type="auto"/>
        <w:tblLook w:val="04A0" w:firstRow="1" w:lastRow="0" w:firstColumn="1" w:lastColumn="0" w:noHBand="0" w:noVBand="1"/>
      </w:tblPr>
      <w:tblGrid>
        <w:gridCol w:w="1008"/>
        <w:gridCol w:w="8234"/>
      </w:tblGrid>
      <w:tr w:rsidR="00660E36" w:rsidRPr="004F1D50" w14:paraId="52380D31" w14:textId="77777777" w:rsidTr="00660E36">
        <w:trPr>
          <w:trHeight w:val="433"/>
        </w:trPr>
        <w:tc>
          <w:tcPr>
            <w:tcW w:w="1008" w:type="dxa"/>
          </w:tcPr>
          <w:p w14:paraId="60B6B63C" w14:textId="77777777" w:rsidR="00660E36" w:rsidRPr="004F1D50" w:rsidRDefault="00660E36" w:rsidP="000115E0">
            <w:pPr>
              <w:rPr>
                <w:rFonts w:ascii="Garamond" w:hAnsi="Garamond"/>
                <w:sz w:val="24"/>
                <w:szCs w:val="24"/>
                <w:lang w:val="sq-AL" w:eastAsia="sq-AL"/>
              </w:rPr>
            </w:pPr>
          </w:p>
        </w:tc>
        <w:tc>
          <w:tcPr>
            <w:tcW w:w="8234" w:type="dxa"/>
          </w:tcPr>
          <w:p w14:paraId="5C7A1302" w14:textId="3E755B23" w:rsidR="00660E36" w:rsidRPr="004F1D50" w:rsidRDefault="00660E36" w:rsidP="000115E0">
            <w:pPr>
              <w:jc w:val="both"/>
              <w:rPr>
                <w:rFonts w:ascii="Garamond" w:hAnsi="Garamond"/>
                <w:sz w:val="24"/>
                <w:szCs w:val="24"/>
                <w:lang w:val="sq-AL" w:eastAsia="sq-AL"/>
              </w:rPr>
            </w:pPr>
            <w:r w:rsidRPr="004F1D50">
              <w:rPr>
                <w:rFonts w:ascii="Garamond" w:hAnsi="Garamond"/>
                <w:sz w:val="24"/>
                <w:szCs w:val="24"/>
                <w:lang w:val="sq-AL" w:eastAsia="sq-AL"/>
              </w:rPr>
              <w:t>Kërkoj ruajtjen e konfidencialitetit</w:t>
            </w:r>
          </w:p>
        </w:tc>
      </w:tr>
      <w:tr w:rsidR="00660E36" w:rsidRPr="004F1D50" w14:paraId="3BEC6D20" w14:textId="77777777" w:rsidTr="00DB5184">
        <w:trPr>
          <w:trHeight w:val="442"/>
        </w:trPr>
        <w:tc>
          <w:tcPr>
            <w:tcW w:w="1008" w:type="dxa"/>
          </w:tcPr>
          <w:p w14:paraId="789232C7" w14:textId="77777777" w:rsidR="00660E36" w:rsidRPr="004F1D50" w:rsidRDefault="00660E36" w:rsidP="000115E0">
            <w:pPr>
              <w:rPr>
                <w:rFonts w:ascii="Garamond" w:hAnsi="Garamond"/>
                <w:sz w:val="24"/>
                <w:szCs w:val="24"/>
                <w:lang w:val="sq-AL" w:eastAsia="sq-AL"/>
              </w:rPr>
            </w:pPr>
          </w:p>
        </w:tc>
        <w:tc>
          <w:tcPr>
            <w:tcW w:w="8234" w:type="dxa"/>
          </w:tcPr>
          <w:p w14:paraId="1BB2F84D" w14:textId="2E0C18B4" w:rsidR="00660E36" w:rsidRPr="004F1D50" w:rsidRDefault="00660E36" w:rsidP="000115E0">
            <w:pPr>
              <w:jc w:val="both"/>
              <w:rPr>
                <w:rFonts w:ascii="Garamond" w:hAnsi="Garamond"/>
                <w:sz w:val="24"/>
                <w:szCs w:val="24"/>
                <w:lang w:val="sq-AL" w:eastAsia="sq-AL"/>
              </w:rPr>
            </w:pPr>
            <w:r w:rsidRPr="004F1D50">
              <w:rPr>
                <w:rFonts w:ascii="Garamond" w:hAnsi="Garamond"/>
                <w:sz w:val="24"/>
                <w:szCs w:val="24"/>
                <w:lang w:val="sq-AL" w:eastAsia="sq-AL"/>
              </w:rPr>
              <w:t>Nuk kërkoj ruajtjen e konfidencialitetit</w:t>
            </w:r>
          </w:p>
        </w:tc>
      </w:tr>
    </w:tbl>
    <w:p w14:paraId="6A44CC37" w14:textId="77777777" w:rsidR="00C734D5" w:rsidRPr="004F1D50" w:rsidRDefault="00C734D5" w:rsidP="000115E0">
      <w:pPr>
        <w:spacing w:after="0" w:line="240" w:lineRule="auto"/>
        <w:rPr>
          <w:rFonts w:ascii="Garamond" w:hAnsi="Garamond" w:cs="Times New Roman"/>
          <w:b/>
          <w:sz w:val="24"/>
          <w:szCs w:val="24"/>
          <w:lang w:eastAsia="sq-AL"/>
        </w:rPr>
      </w:pPr>
    </w:p>
    <w:p w14:paraId="6C5B4B32" w14:textId="5EA1718A" w:rsidR="00C734D5" w:rsidRPr="004F1D50" w:rsidRDefault="00C734D5" w:rsidP="000115E0">
      <w:pPr>
        <w:spacing w:after="0" w:line="240" w:lineRule="auto"/>
        <w:rPr>
          <w:rFonts w:ascii="Garamond" w:hAnsi="Garamond" w:cs="Times New Roman"/>
          <w:sz w:val="24"/>
          <w:szCs w:val="24"/>
          <w:lang w:eastAsia="sq-AL"/>
        </w:rPr>
      </w:pPr>
      <w:r w:rsidRPr="004F1D50">
        <w:rPr>
          <w:rFonts w:ascii="Garamond" w:hAnsi="Garamond" w:cs="Times New Roman"/>
          <w:b/>
          <w:sz w:val="24"/>
          <w:szCs w:val="24"/>
          <w:lang w:eastAsia="sq-AL"/>
        </w:rPr>
        <w:t>(Data)</w:t>
      </w:r>
      <w:r w:rsidRPr="004F1D50">
        <w:rPr>
          <w:rFonts w:ascii="Garamond" w:hAnsi="Garamond" w:cs="Times New Roman"/>
          <w:sz w:val="24"/>
          <w:szCs w:val="24"/>
          <w:lang w:eastAsia="sq-AL"/>
        </w:rPr>
        <w:t xml:space="preserve"> _________________________ </w:t>
      </w:r>
    </w:p>
    <w:p w14:paraId="728DABAC" w14:textId="77777777" w:rsidR="000368FC" w:rsidRPr="004F1D50" w:rsidRDefault="000368FC" w:rsidP="000115E0">
      <w:pPr>
        <w:spacing w:after="0" w:line="240" w:lineRule="auto"/>
        <w:rPr>
          <w:rFonts w:ascii="Garamond" w:hAnsi="Garamond" w:cs="Times New Roman"/>
          <w:sz w:val="24"/>
          <w:szCs w:val="24"/>
          <w:lang w:eastAsia="sq-AL"/>
        </w:rPr>
      </w:pPr>
    </w:p>
    <w:p w14:paraId="0560A89D" w14:textId="77777777" w:rsidR="00C734D5" w:rsidRPr="004F1D50" w:rsidRDefault="00C734D5" w:rsidP="000115E0">
      <w:pPr>
        <w:spacing w:after="0" w:line="240" w:lineRule="auto"/>
        <w:rPr>
          <w:rFonts w:ascii="Garamond" w:hAnsi="Garamond" w:cs="Times New Roman"/>
          <w:sz w:val="24"/>
          <w:szCs w:val="24"/>
          <w:lang w:eastAsia="sq-AL"/>
        </w:rPr>
      </w:pPr>
      <w:r w:rsidRPr="004F1D50">
        <w:rPr>
          <w:rFonts w:ascii="Garamond" w:hAnsi="Garamond" w:cs="Times New Roman"/>
          <w:b/>
          <w:sz w:val="24"/>
          <w:szCs w:val="24"/>
          <w:lang w:eastAsia="sq-AL"/>
        </w:rPr>
        <w:t>(Firma)</w:t>
      </w:r>
      <w:r w:rsidRPr="004F1D50">
        <w:rPr>
          <w:rFonts w:ascii="Garamond" w:hAnsi="Garamond" w:cs="Times New Roman"/>
          <w:sz w:val="24"/>
          <w:szCs w:val="24"/>
          <w:lang w:eastAsia="sq-AL"/>
        </w:rPr>
        <w:t xml:space="preserve"> _________________________ </w:t>
      </w:r>
    </w:p>
    <w:p w14:paraId="683154CB" w14:textId="77777777" w:rsidR="00C734D5" w:rsidRPr="004F1D50" w:rsidRDefault="00C734D5" w:rsidP="000115E0">
      <w:pPr>
        <w:spacing w:after="0" w:line="240" w:lineRule="auto"/>
        <w:rPr>
          <w:rFonts w:ascii="Garamond" w:hAnsi="Garamond" w:cs="Times New Roman"/>
          <w:sz w:val="24"/>
          <w:szCs w:val="24"/>
          <w:lang w:eastAsia="sq-AL"/>
        </w:rPr>
      </w:pPr>
    </w:p>
    <w:p w14:paraId="75CF51A1" w14:textId="77777777" w:rsidR="00C734D5" w:rsidRPr="004F1D50" w:rsidRDefault="00C734D5" w:rsidP="000115E0">
      <w:pPr>
        <w:spacing w:after="0" w:line="240" w:lineRule="auto"/>
        <w:rPr>
          <w:rFonts w:ascii="Garamond" w:hAnsi="Garamond" w:cs="Times New Roman"/>
          <w:sz w:val="24"/>
          <w:szCs w:val="24"/>
          <w:lang w:eastAsia="sq-AL"/>
        </w:rPr>
      </w:pPr>
    </w:p>
    <w:p w14:paraId="2D7B96AF" w14:textId="77777777" w:rsidR="00C734D5" w:rsidRPr="004F1D50" w:rsidRDefault="00C734D5" w:rsidP="000115E0">
      <w:pPr>
        <w:spacing w:after="0" w:line="240" w:lineRule="auto"/>
        <w:rPr>
          <w:rFonts w:ascii="Garamond" w:hAnsi="Garamond" w:cs="Times New Roman"/>
          <w:sz w:val="24"/>
          <w:szCs w:val="24"/>
          <w:lang w:eastAsia="sq-AL"/>
        </w:rPr>
      </w:pPr>
    </w:p>
    <w:p w14:paraId="79508186" w14:textId="77777777" w:rsidR="00C734D5" w:rsidRPr="004F1D50" w:rsidRDefault="00C734D5" w:rsidP="000115E0">
      <w:pPr>
        <w:spacing w:after="0" w:line="240" w:lineRule="auto"/>
        <w:rPr>
          <w:rFonts w:ascii="Garamond" w:hAnsi="Garamond" w:cs="Times New Roman"/>
          <w:sz w:val="24"/>
          <w:szCs w:val="24"/>
          <w:lang w:eastAsia="sq-AL"/>
        </w:rPr>
      </w:pPr>
    </w:p>
    <w:p w14:paraId="31C3575D" w14:textId="5806184D" w:rsidR="00C734D5" w:rsidRPr="004F1D50" w:rsidRDefault="00C734D5" w:rsidP="000115E0">
      <w:pPr>
        <w:spacing w:after="0" w:line="240" w:lineRule="auto"/>
        <w:rPr>
          <w:rFonts w:ascii="Garamond" w:hAnsi="Garamond" w:cs="Times New Roman"/>
          <w:sz w:val="24"/>
          <w:szCs w:val="24"/>
          <w:lang w:eastAsia="sq-AL"/>
        </w:rPr>
      </w:pPr>
    </w:p>
    <w:p w14:paraId="2DFB4D8C" w14:textId="316347C8" w:rsidR="007336DC" w:rsidRPr="004F1D50" w:rsidRDefault="00C734D5" w:rsidP="000115E0">
      <w:pPr>
        <w:spacing w:after="0" w:line="240" w:lineRule="auto"/>
        <w:jc w:val="both"/>
        <w:rPr>
          <w:rFonts w:ascii="Garamond" w:eastAsia="Calibri" w:hAnsi="Garamond" w:cs="Times New Roman"/>
          <w:sz w:val="24"/>
          <w:szCs w:val="24"/>
          <w:lang w:eastAsia="sq-AL"/>
        </w:rPr>
      </w:pPr>
      <w:r w:rsidRPr="004F1D50">
        <w:rPr>
          <w:rFonts w:ascii="Garamond" w:hAnsi="Garamond" w:cs="Times New Roman"/>
          <w:sz w:val="24"/>
          <w:szCs w:val="24"/>
          <w:lang w:eastAsia="sq-AL"/>
        </w:rPr>
        <w:t>*</w:t>
      </w:r>
      <w:r w:rsidRPr="004F1D50">
        <w:rPr>
          <w:rFonts w:ascii="Garamond" w:hAnsi="Garamond" w:cs="Times New Roman"/>
          <w:i/>
          <w:sz w:val="24"/>
          <w:szCs w:val="24"/>
          <w:lang w:eastAsia="sq-AL"/>
        </w:rPr>
        <w:t>Ankuesi duhet të nënshkruajë në fund të formularit të ankesës. Informacioni në këtë format dhe të dhënat e ID</w:t>
      </w:r>
      <w:r w:rsidR="004F1D50">
        <w:rPr>
          <w:rFonts w:ascii="Garamond" w:hAnsi="Garamond" w:cs="Times New Roman"/>
          <w:i/>
          <w:sz w:val="24"/>
          <w:szCs w:val="24"/>
          <w:lang w:eastAsia="sq-AL"/>
        </w:rPr>
        <w:t>-së</w:t>
      </w:r>
      <w:r w:rsidRPr="004F1D50">
        <w:rPr>
          <w:rFonts w:ascii="Garamond" w:hAnsi="Garamond" w:cs="Times New Roman"/>
          <w:i/>
          <w:sz w:val="24"/>
          <w:szCs w:val="24"/>
          <w:lang w:eastAsia="sq-AL"/>
        </w:rPr>
        <w:t xml:space="preserve"> do të përpunohen në përputhje me ligjin nr.</w:t>
      </w:r>
      <w:r w:rsidR="004F1D50">
        <w:rPr>
          <w:rFonts w:ascii="Garamond" w:hAnsi="Garamond" w:cs="Times New Roman"/>
          <w:i/>
          <w:sz w:val="24"/>
          <w:szCs w:val="24"/>
          <w:lang w:eastAsia="sq-AL"/>
        </w:rPr>
        <w:t xml:space="preserve"> </w:t>
      </w:r>
      <w:r w:rsidRPr="004F1D50">
        <w:rPr>
          <w:rFonts w:ascii="Garamond" w:hAnsi="Garamond" w:cs="Times New Roman"/>
          <w:i/>
          <w:sz w:val="24"/>
          <w:szCs w:val="24"/>
          <w:lang w:eastAsia="sq-AL"/>
        </w:rPr>
        <w:t>9887/2008</w:t>
      </w:r>
      <w:r w:rsidR="004F1D50">
        <w:rPr>
          <w:rFonts w:ascii="Garamond" w:hAnsi="Garamond" w:cs="Times New Roman"/>
          <w:i/>
          <w:sz w:val="24"/>
          <w:szCs w:val="24"/>
          <w:lang w:eastAsia="sq-AL"/>
        </w:rPr>
        <w:t>,</w:t>
      </w:r>
      <w:r w:rsidRPr="004F1D50">
        <w:rPr>
          <w:rFonts w:ascii="Garamond" w:hAnsi="Garamond" w:cs="Times New Roman"/>
          <w:i/>
          <w:sz w:val="24"/>
          <w:szCs w:val="24"/>
          <w:lang w:eastAsia="sq-AL"/>
        </w:rPr>
        <w:t xml:space="preserve"> “Për mbrojtjen e të dhënave personale”.</w:t>
      </w:r>
    </w:p>
    <w:sectPr w:rsidR="007336DC" w:rsidRPr="004F1D50" w:rsidSect="002C5C95">
      <w:pgSz w:w="11906" w:h="16838"/>
      <w:pgMar w:top="709" w:right="1440" w:bottom="993"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446D2B" w14:textId="77777777" w:rsidR="00392326" w:rsidRDefault="00392326" w:rsidP="00CD6FE6">
      <w:pPr>
        <w:spacing w:after="0" w:line="240" w:lineRule="auto"/>
      </w:pPr>
      <w:r>
        <w:separator/>
      </w:r>
    </w:p>
  </w:endnote>
  <w:endnote w:type="continuationSeparator" w:id="0">
    <w:p w14:paraId="07548578" w14:textId="77777777" w:rsidR="00392326" w:rsidRDefault="00392326" w:rsidP="00CD6FE6">
      <w:pPr>
        <w:spacing w:after="0" w:line="240" w:lineRule="auto"/>
      </w:pPr>
      <w:r>
        <w:continuationSeparator/>
      </w:r>
    </w:p>
  </w:endnote>
  <w:endnote w:type="continuationNotice" w:id="1">
    <w:p w14:paraId="683207E3" w14:textId="77777777" w:rsidR="00392326" w:rsidRDefault="0039232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2B7638" w14:textId="77777777" w:rsidR="00392326" w:rsidRDefault="00392326" w:rsidP="00CD6FE6">
      <w:pPr>
        <w:spacing w:after="0" w:line="240" w:lineRule="auto"/>
      </w:pPr>
      <w:r>
        <w:separator/>
      </w:r>
    </w:p>
  </w:footnote>
  <w:footnote w:type="continuationSeparator" w:id="0">
    <w:p w14:paraId="0A14738A" w14:textId="77777777" w:rsidR="00392326" w:rsidRDefault="00392326" w:rsidP="00CD6FE6">
      <w:pPr>
        <w:spacing w:after="0" w:line="240" w:lineRule="auto"/>
      </w:pPr>
      <w:r>
        <w:continuationSeparator/>
      </w:r>
    </w:p>
  </w:footnote>
  <w:footnote w:type="continuationNotice" w:id="1">
    <w:p w14:paraId="3CC1E1C6" w14:textId="77777777" w:rsidR="00392326" w:rsidRDefault="00392326">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D056A8"/>
    <w:multiLevelType w:val="hybridMultilevel"/>
    <w:tmpl w:val="4A029FA6"/>
    <w:lvl w:ilvl="0" w:tplc="041C000F">
      <w:start w:val="1"/>
      <w:numFmt w:val="decimal"/>
      <w:lvlText w:val="%1."/>
      <w:lvlJc w:val="left"/>
      <w:pPr>
        <w:ind w:left="720" w:hanging="360"/>
      </w:pPr>
      <w:rPr>
        <w:rFonts w:hint="default"/>
      </w:rPr>
    </w:lvl>
    <w:lvl w:ilvl="1" w:tplc="360CF788">
      <w:start w:val="1"/>
      <w:numFmt w:val="lowerLetter"/>
      <w:lvlText w:val="%2)"/>
      <w:lvlJc w:val="left"/>
      <w:pPr>
        <w:ind w:left="1440" w:hanging="360"/>
      </w:pPr>
      <w:rPr>
        <w:rFonts w:asciiTheme="minorHAnsi" w:hAnsiTheme="minorHAnsi" w:cstheme="minorBidi" w:hint="default"/>
        <w:sz w:val="22"/>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nsid w:val="41047E1C"/>
    <w:multiLevelType w:val="hybridMultilevel"/>
    <w:tmpl w:val="A4ACFAA8"/>
    <w:lvl w:ilvl="0" w:tplc="04090019">
      <w:start w:val="1"/>
      <w:numFmt w:val="lowerLetter"/>
      <w:lvlText w:val="%1."/>
      <w:lvlJc w:val="left"/>
      <w:pPr>
        <w:ind w:left="1440" w:hanging="360"/>
      </w:pPr>
    </w:lvl>
    <w:lvl w:ilvl="1" w:tplc="04090019">
      <w:start w:val="1"/>
      <w:numFmt w:val="lowerLetter"/>
      <w:lvlText w:val="%2."/>
      <w:lvlJc w:val="left"/>
      <w:pPr>
        <w:ind w:left="171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4CAD4B8A"/>
    <w:multiLevelType w:val="hybridMultilevel"/>
    <w:tmpl w:val="E19485DA"/>
    <w:lvl w:ilvl="0" w:tplc="88BE437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E2E568C"/>
    <w:multiLevelType w:val="hybridMultilevel"/>
    <w:tmpl w:val="DDB4F0F2"/>
    <w:lvl w:ilvl="0" w:tplc="041C001B">
      <w:start w:val="1"/>
      <w:numFmt w:val="lowerRoman"/>
      <w:lvlText w:val="%1."/>
      <w:lvlJc w:val="righ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4">
    <w:nsid w:val="61F42401"/>
    <w:multiLevelType w:val="hybridMultilevel"/>
    <w:tmpl w:val="DC3438E2"/>
    <w:lvl w:ilvl="0" w:tplc="041C001B">
      <w:start w:val="1"/>
      <w:numFmt w:val="lowerRoman"/>
      <w:lvlText w:val="%1."/>
      <w:lvlJc w:val="righ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5">
    <w:nsid w:val="7A305041"/>
    <w:multiLevelType w:val="hybridMultilevel"/>
    <w:tmpl w:val="DC3438E2"/>
    <w:lvl w:ilvl="0" w:tplc="041C001B">
      <w:start w:val="1"/>
      <w:numFmt w:val="lowerRoman"/>
      <w:lvlText w:val="%1."/>
      <w:lvlJc w:val="righ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num w:numId="1">
    <w:abstractNumId w:val="0"/>
  </w:num>
  <w:num w:numId="2">
    <w:abstractNumId w:val="3"/>
  </w:num>
  <w:num w:numId="3">
    <w:abstractNumId w:val="4"/>
  </w:num>
  <w:num w:numId="4">
    <w:abstractNumId w:val="5"/>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25A3"/>
    <w:rsid w:val="000115E0"/>
    <w:rsid w:val="00013A83"/>
    <w:rsid w:val="0001614E"/>
    <w:rsid w:val="0003621C"/>
    <w:rsid w:val="000368FC"/>
    <w:rsid w:val="0004283E"/>
    <w:rsid w:val="00043266"/>
    <w:rsid w:val="00054068"/>
    <w:rsid w:val="00065E3C"/>
    <w:rsid w:val="000743AC"/>
    <w:rsid w:val="0008027A"/>
    <w:rsid w:val="00082473"/>
    <w:rsid w:val="000906C8"/>
    <w:rsid w:val="00091C1A"/>
    <w:rsid w:val="000A4AD9"/>
    <w:rsid w:val="000C69D9"/>
    <w:rsid w:val="000D0349"/>
    <w:rsid w:val="000D7AEF"/>
    <w:rsid w:val="000E203B"/>
    <w:rsid w:val="000E537D"/>
    <w:rsid w:val="00100476"/>
    <w:rsid w:val="001021A0"/>
    <w:rsid w:val="00104E3F"/>
    <w:rsid w:val="0011595B"/>
    <w:rsid w:val="00121F7E"/>
    <w:rsid w:val="00125F9E"/>
    <w:rsid w:val="001316C2"/>
    <w:rsid w:val="00154A68"/>
    <w:rsid w:val="00155A6D"/>
    <w:rsid w:val="00160C45"/>
    <w:rsid w:val="00161D09"/>
    <w:rsid w:val="00163549"/>
    <w:rsid w:val="00187F6E"/>
    <w:rsid w:val="00192073"/>
    <w:rsid w:val="001975F6"/>
    <w:rsid w:val="00197AAD"/>
    <w:rsid w:val="00197D6D"/>
    <w:rsid w:val="001A1FE5"/>
    <w:rsid w:val="001A34BD"/>
    <w:rsid w:val="001A7D0A"/>
    <w:rsid w:val="001B4DE1"/>
    <w:rsid w:val="001B7962"/>
    <w:rsid w:val="001C46F7"/>
    <w:rsid w:val="001D3DEB"/>
    <w:rsid w:val="001D502B"/>
    <w:rsid w:val="001E251C"/>
    <w:rsid w:val="001E796F"/>
    <w:rsid w:val="002010B5"/>
    <w:rsid w:val="00202120"/>
    <w:rsid w:val="00205FC5"/>
    <w:rsid w:val="00237246"/>
    <w:rsid w:val="0026644D"/>
    <w:rsid w:val="0027013F"/>
    <w:rsid w:val="00270EF9"/>
    <w:rsid w:val="00275E6C"/>
    <w:rsid w:val="002820C7"/>
    <w:rsid w:val="00283CC8"/>
    <w:rsid w:val="00285183"/>
    <w:rsid w:val="002903F7"/>
    <w:rsid w:val="002953C6"/>
    <w:rsid w:val="00297436"/>
    <w:rsid w:val="002B5D2E"/>
    <w:rsid w:val="002C1C81"/>
    <w:rsid w:val="002C1EF8"/>
    <w:rsid w:val="002C5C95"/>
    <w:rsid w:val="002C647C"/>
    <w:rsid w:val="002C67B1"/>
    <w:rsid w:val="002D5976"/>
    <w:rsid w:val="002E2046"/>
    <w:rsid w:val="002E25A3"/>
    <w:rsid w:val="002F0018"/>
    <w:rsid w:val="002F3CD6"/>
    <w:rsid w:val="003173CF"/>
    <w:rsid w:val="00320479"/>
    <w:rsid w:val="00322450"/>
    <w:rsid w:val="00323B3F"/>
    <w:rsid w:val="003333D1"/>
    <w:rsid w:val="0035044B"/>
    <w:rsid w:val="00350492"/>
    <w:rsid w:val="00366A61"/>
    <w:rsid w:val="003727A7"/>
    <w:rsid w:val="00375193"/>
    <w:rsid w:val="00392326"/>
    <w:rsid w:val="00395F68"/>
    <w:rsid w:val="003A0428"/>
    <w:rsid w:val="003B6D67"/>
    <w:rsid w:val="003C0F05"/>
    <w:rsid w:val="003C5D80"/>
    <w:rsid w:val="003D4FA6"/>
    <w:rsid w:val="003D7266"/>
    <w:rsid w:val="003E2377"/>
    <w:rsid w:val="003F0F78"/>
    <w:rsid w:val="003F2A03"/>
    <w:rsid w:val="003F4386"/>
    <w:rsid w:val="003F7BD8"/>
    <w:rsid w:val="0040612A"/>
    <w:rsid w:val="004079A5"/>
    <w:rsid w:val="00431A3E"/>
    <w:rsid w:val="004355E9"/>
    <w:rsid w:val="00437C7C"/>
    <w:rsid w:val="00445F2C"/>
    <w:rsid w:val="004529DE"/>
    <w:rsid w:val="00456BB1"/>
    <w:rsid w:val="00456E72"/>
    <w:rsid w:val="00465942"/>
    <w:rsid w:val="00492182"/>
    <w:rsid w:val="00495493"/>
    <w:rsid w:val="004A229E"/>
    <w:rsid w:val="004A36F7"/>
    <w:rsid w:val="004A4F08"/>
    <w:rsid w:val="004B3149"/>
    <w:rsid w:val="004C4146"/>
    <w:rsid w:val="004D6D91"/>
    <w:rsid w:val="004E700B"/>
    <w:rsid w:val="004E708E"/>
    <w:rsid w:val="004F0567"/>
    <w:rsid w:val="004F1D50"/>
    <w:rsid w:val="004F7F8A"/>
    <w:rsid w:val="00513362"/>
    <w:rsid w:val="005300B6"/>
    <w:rsid w:val="00530188"/>
    <w:rsid w:val="00534BE2"/>
    <w:rsid w:val="00536D50"/>
    <w:rsid w:val="00541D2D"/>
    <w:rsid w:val="00547643"/>
    <w:rsid w:val="0055233B"/>
    <w:rsid w:val="005554ED"/>
    <w:rsid w:val="00564418"/>
    <w:rsid w:val="00565AD9"/>
    <w:rsid w:val="00576E51"/>
    <w:rsid w:val="005855A2"/>
    <w:rsid w:val="005A6816"/>
    <w:rsid w:val="005C5175"/>
    <w:rsid w:val="005C5F36"/>
    <w:rsid w:val="005D2B05"/>
    <w:rsid w:val="005D6094"/>
    <w:rsid w:val="005E1722"/>
    <w:rsid w:val="005F77F7"/>
    <w:rsid w:val="0061107F"/>
    <w:rsid w:val="00615065"/>
    <w:rsid w:val="00617865"/>
    <w:rsid w:val="00624F5B"/>
    <w:rsid w:val="00634304"/>
    <w:rsid w:val="00647D92"/>
    <w:rsid w:val="0065651A"/>
    <w:rsid w:val="00660E36"/>
    <w:rsid w:val="006622E5"/>
    <w:rsid w:val="006638C0"/>
    <w:rsid w:val="00663ECF"/>
    <w:rsid w:val="00665431"/>
    <w:rsid w:val="0066702B"/>
    <w:rsid w:val="00677202"/>
    <w:rsid w:val="006818EC"/>
    <w:rsid w:val="006832DF"/>
    <w:rsid w:val="006950E0"/>
    <w:rsid w:val="006A359C"/>
    <w:rsid w:val="006A6EF3"/>
    <w:rsid w:val="006B28CF"/>
    <w:rsid w:val="006C08FD"/>
    <w:rsid w:val="006E1338"/>
    <w:rsid w:val="006E243A"/>
    <w:rsid w:val="006E3A01"/>
    <w:rsid w:val="006E4090"/>
    <w:rsid w:val="006E46F3"/>
    <w:rsid w:val="006F1A2F"/>
    <w:rsid w:val="006F6ECF"/>
    <w:rsid w:val="007336DC"/>
    <w:rsid w:val="00754215"/>
    <w:rsid w:val="0075737D"/>
    <w:rsid w:val="00772118"/>
    <w:rsid w:val="00776BCF"/>
    <w:rsid w:val="007E43EA"/>
    <w:rsid w:val="007F0A1A"/>
    <w:rsid w:val="007F14E0"/>
    <w:rsid w:val="007F229E"/>
    <w:rsid w:val="0080112B"/>
    <w:rsid w:val="008063A1"/>
    <w:rsid w:val="00814E4C"/>
    <w:rsid w:val="00825B59"/>
    <w:rsid w:val="0085248F"/>
    <w:rsid w:val="008525B4"/>
    <w:rsid w:val="00866D99"/>
    <w:rsid w:val="00867C7F"/>
    <w:rsid w:val="00874D14"/>
    <w:rsid w:val="0087660C"/>
    <w:rsid w:val="00885198"/>
    <w:rsid w:val="008B180E"/>
    <w:rsid w:val="008B3B3D"/>
    <w:rsid w:val="008B6022"/>
    <w:rsid w:val="008B6116"/>
    <w:rsid w:val="008C4BBA"/>
    <w:rsid w:val="008D62BD"/>
    <w:rsid w:val="008F19F0"/>
    <w:rsid w:val="008F35A2"/>
    <w:rsid w:val="00916F50"/>
    <w:rsid w:val="00926F65"/>
    <w:rsid w:val="00951EF4"/>
    <w:rsid w:val="00960D17"/>
    <w:rsid w:val="00966778"/>
    <w:rsid w:val="00972DF1"/>
    <w:rsid w:val="00976B2E"/>
    <w:rsid w:val="00992A5B"/>
    <w:rsid w:val="00993B31"/>
    <w:rsid w:val="009A6D0C"/>
    <w:rsid w:val="009B7469"/>
    <w:rsid w:val="009C0E63"/>
    <w:rsid w:val="009C33C6"/>
    <w:rsid w:val="009C5A6C"/>
    <w:rsid w:val="009D12E9"/>
    <w:rsid w:val="009D64FD"/>
    <w:rsid w:val="009D6C95"/>
    <w:rsid w:val="009D7467"/>
    <w:rsid w:val="009E4D70"/>
    <w:rsid w:val="009F4168"/>
    <w:rsid w:val="00A03E96"/>
    <w:rsid w:val="00A062AA"/>
    <w:rsid w:val="00A122F2"/>
    <w:rsid w:val="00A234F4"/>
    <w:rsid w:val="00A33DAD"/>
    <w:rsid w:val="00A3453E"/>
    <w:rsid w:val="00A3673A"/>
    <w:rsid w:val="00A36E13"/>
    <w:rsid w:val="00A46344"/>
    <w:rsid w:val="00A523AA"/>
    <w:rsid w:val="00A6006F"/>
    <w:rsid w:val="00A62608"/>
    <w:rsid w:val="00A65D6B"/>
    <w:rsid w:val="00A81EE1"/>
    <w:rsid w:val="00A81FAF"/>
    <w:rsid w:val="00A83C8A"/>
    <w:rsid w:val="00AB2F07"/>
    <w:rsid w:val="00AC3B2A"/>
    <w:rsid w:val="00AD58F5"/>
    <w:rsid w:val="00AD640A"/>
    <w:rsid w:val="00AE7A63"/>
    <w:rsid w:val="00AF4428"/>
    <w:rsid w:val="00B03CDF"/>
    <w:rsid w:val="00B46C44"/>
    <w:rsid w:val="00B539EE"/>
    <w:rsid w:val="00B578E7"/>
    <w:rsid w:val="00B70961"/>
    <w:rsid w:val="00B865EC"/>
    <w:rsid w:val="00B86DEC"/>
    <w:rsid w:val="00B86FC5"/>
    <w:rsid w:val="00B9057A"/>
    <w:rsid w:val="00B90C78"/>
    <w:rsid w:val="00BB220A"/>
    <w:rsid w:val="00BB3A95"/>
    <w:rsid w:val="00BB53F8"/>
    <w:rsid w:val="00BC11BC"/>
    <w:rsid w:val="00BD0E41"/>
    <w:rsid w:val="00BD3066"/>
    <w:rsid w:val="00BF57F7"/>
    <w:rsid w:val="00C001AD"/>
    <w:rsid w:val="00C07465"/>
    <w:rsid w:val="00C11035"/>
    <w:rsid w:val="00C12B41"/>
    <w:rsid w:val="00C20E3E"/>
    <w:rsid w:val="00C24967"/>
    <w:rsid w:val="00C35270"/>
    <w:rsid w:val="00C363E6"/>
    <w:rsid w:val="00C368B0"/>
    <w:rsid w:val="00C4244A"/>
    <w:rsid w:val="00C5733F"/>
    <w:rsid w:val="00C57D91"/>
    <w:rsid w:val="00C6071C"/>
    <w:rsid w:val="00C67EB1"/>
    <w:rsid w:val="00C734D5"/>
    <w:rsid w:val="00C80EEB"/>
    <w:rsid w:val="00C87F21"/>
    <w:rsid w:val="00CB0862"/>
    <w:rsid w:val="00CB0884"/>
    <w:rsid w:val="00CB2645"/>
    <w:rsid w:val="00CB3891"/>
    <w:rsid w:val="00CC295B"/>
    <w:rsid w:val="00CC2CD2"/>
    <w:rsid w:val="00CD6FE6"/>
    <w:rsid w:val="00CF7021"/>
    <w:rsid w:val="00D038CB"/>
    <w:rsid w:val="00D03C1F"/>
    <w:rsid w:val="00D04143"/>
    <w:rsid w:val="00D10445"/>
    <w:rsid w:val="00D17D1D"/>
    <w:rsid w:val="00D22D84"/>
    <w:rsid w:val="00D2454D"/>
    <w:rsid w:val="00D373D0"/>
    <w:rsid w:val="00D41486"/>
    <w:rsid w:val="00D57553"/>
    <w:rsid w:val="00D627F3"/>
    <w:rsid w:val="00D744F6"/>
    <w:rsid w:val="00D809E3"/>
    <w:rsid w:val="00D90F0B"/>
    <w:rsid w:val="00D9293F"/>
    <w:rsid w:val="00D979CF"/>
    <w:rsid w:val="00DA2066"/>
    <w:rsid w:val="00DA6860"/>
    <w:rsid w:val="00DB0219"/>
    <w:rsid w:val="00DB5184"/>
    <w:rsid w:val="00DB7051"/>
    <w:rsid w:val="00DC6663"/>
    <w:rsid w:val="00DE4BD9"/>
    <w:rsid w:val="00DF1AB5"/>
    <w:rsid w:val="00DF5406"/>
    <w:rsid w:val="00E0024C"/>
    <w:rsid w:val="00E03416"/>
    <w:rsid w:val="00E11366"/>
    <w:rsid w:val="00E1201E"/>
    <w:rsid w:val="00E12A30"/>
    <w:rsid w:val="00E342E9"/>
    <w:rsid w:val="00E34C91"/>
    <w:rsid w:val="00E35358"/>
    <w:rsid w:val="00E35A81"/>
    <w:rsid w:val="00E53049"/>
    <w:rsid w:val="00E60E36"/>
    <w:rsid w:val="00E62E93"/>
    <w:rsid w:val="00E721E4"/>
    <w:rsid w:val="00E82CBB"/>
    <w:rsid w:val="00E903ED"/>
    <w:rsid w:val="00EB0F3A"/>
    <w:rsid w:val="00EB3BA9"/>
    <w:rsid w:val="00EB4E50"/>
    <w:rsid w:val="00EB6D82"/>
    <w:rsid w:val="00ED69A9"/>
    <w:rsid w:val="00EE7F81"/>
    <w:rsid w:val="00EF1592"/>
    <w:rsid w:val="00F070E3"/>
    <w:rsid w:val="00F07EFB"/>
    <w:rsid w:val="00F10F4D"/>
    <w:rsid w:val="00F11810"/>
    <w:rsid w:val="00F23DD6"/>
    <w:rsid w:val="00F321BB"/>
    <w:rsid w:val="00F32CF0"/>
    <w:rsid w:val="00F41166"/>
    <w:rsid w:val="00F4762C"/>
    <w:rsid w:val="00F56DB0"/>
    <w:rsid w:val="00F74217"/>
    <w:rsid w:val="00F7547A"/>
    <w:rsid w:val="00F80A84"/>
    <w:rsid w:val="00F952E5"/>
    <w:rsid w:val="00FA4AFA"/>
    <w:rsid w:val="00FC3CB7"/>
    <w:rsid w:val="00FC5367"/>
    <w:rsid w:val="00FD2131"/>
    <w:rsid w:val="00FE09C4"/>
    <w:rsid w:val="00FE0D88"/>
    <w:rsid w:val="00FE2B1A"/>
    <w:rsid w:val="00FF49BB"/>
    <w:rsid w:val="00FF514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01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MS Mincho"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35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7865"/>
    <w:pPr>
      <w:ind w:left="720"/>
      <w:contextualSpacing/>
    </w:pPr>
  </w:style>
  <w:style w:type="paragraph" w:styleId="Header">
    <w:name w:val="header"/>
    <w:basedOn w:val="Normal"/>
    <w:link w:val="HeaderChar"/>
    <w:uiPriority w:val="99"/>
    <w:unhideWhenUsed/>
    <w:rsid w:val="00CD6F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6FE6"/>
  </w:style>
  <w:style w:type="paragraph" w:styleId="Footer">
    <w:name w:val="footer"/>
    <w:basedOn w:val="Normal"/>
    <w:link w:val="FooterChar"/>
    <w:uiPriority w:val="99"/>
    <w:unhideWhenUsed/>
    <w:rsid w:val="00CD6F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6FE6"/>
  </w:style>
  <w:style w:type="character" w:styleId="CommentReference">
    <w:name w:val="annotation reference"/>
    <w:basedOn w:val="DefaultParagraphFont"/>
    <w:uiPriority w:val="99"/>
    <w:semiHidden/>
    <w:unhideWhenUsed/>
    <w:rsid w:val="0026644D"/>
    <w:rPr>
      <w:sz w:val="16"/>
      <w:szCs w:val="16"/>
    </w:rPr>
  </w:style>
  <w:style w:type="paragraph" w:styleId="CommentText">
    <w:name w:val="annotation text"/>
    <w:basedOn w:val="Normal"/>
    <w:link w:val="CommentTextChar"/>
    <w:uiPriority w:val="99"/>
    <w:semiHidden/>
    <w:unhideWhenUsed/>
    <w:rsid w:val="0026644D"/>
    <w:pPr>
      <w:spacing w:line="240" w:lineRule="auto"/>
    </w:pPr>
    <w:rPr>
      <w:sz w:val="20"/>
      <w:szCs w:val="20"/>
    </w:rPr>
  </w:style>
  <w:style w:type="character" w:customStyle="1" w:styleId="CommentTextChar">
    <w:name w:val="Comment Text Char"/>
    <w:basedOn w:val="DefaultParagraphFont"/>
    <w:link w:val="CommentText"/>
    <w:uiPriority w:val="99"/>
    <w:semiHidden/>
    <w:rsid w:val="0026644D"/>
    <w:rPr>
      <w:sz w:val="20"/>
      <w:szCs w:val="20"/>
    </w:rPr>
  </w:style>
  <w:style w:type="paragraph" w:styleId="CommentSubject">
    <w:name w:val="annotation subject"/>
    <w:basedOn w:val="CommentText"/>
    <w:next w:val="CommentText"/>
    <w:link w:val="CommentSubjectChar"/>
    <w:uiPriority w:val="99"/>
    <w:semiHidden/>
    <w:unhideWhenUsed/>
    <w:rsid w:val="0026644D"/>
    <w:rPr>
      <w:b/>
      <w:bCs/>
    </w:rPr>
  </w:style>
  <w:style w:type="character" w:customStyle="1" w:styleId="CommentSubjectChar">
    <w:name w:val="Comment Subject Char"/>
    <w:basedOn w:val="CommentTextChar"/>
    <w:link w:val="CommentSubject"/>
    <w:uiPriority w:val="99"/>
    <w:semiHidden/>
    <w:rsid w:val="0026644D"/>
    <w:rPr>
      <w:b/>
      <w:bCs/>
      <w:sz w:val="20"/>
      <w:szCs w:val="20"/>
    </w:rPr>
  </w:style>
  <w:style w:type="paragraph" w:styleId="BalloonText">
    <w:name w:val="Balloon Text"/>
    <w:basedOn w:val="Normal"/>
    <w:link w:val="BalloonTextChar"/>
    <w:uiPriority w:val="99"/>
    <w:semiHidden/>
    <w:unhideWhenUsed/>
    <w:rsid w:val="002664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644D"/>
    <w:rPr>
      <w:rFonts w:ascii="Segoe UI" w:hAnsi="Segoe UI" w:cs="Segoe UI"/>
      <w:sz w:val="18"/>
      <w:szCs w:val="18"/>
    </w:rPr>
  </w:style>
  <w:style w:type="table" w:styleId="TableGrid">
    <w:name w:val="Table Grid"/>
    <w:basedOn w:val="TableNormal"/>
    <w:uiPriority w:val="59"/>
    <w:rsid w:val="00C734D5"/>
    <w:pPr>
      <w:spacing w:after="0" w:line="240" w:lineRule="auto"/>
    </w:pPr>
    <w:rPr>
      <w:rFonts w:ascii="Calibri" w:hAnsi="Calibri" w:cs="Times New Roman"/>
      <w:sz w:val="20"/>
      <w:szCs w:val="20"/>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456E7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56E72"/>
    <w:rPr>
      <w:sz w:val="20"/>
      <w:szCs w:val="20"/>
    </w:rPr>
  </w:style>
  <w:style w:type="character" w:styleId="FootnoteReference">
    <w:name w:val="footnote reference"/>
    <w:basedOn w:val="DefaultParagraphFont"/>
    <w:uiPriority w:val="99"/>
    <w:semiHidden/>
    <w:unhideWhenUsed/>
    <w:rsid w:val="00456E72"/>
    <w:rPr>
      <w:vertAlign w:val="superscript"/>
    </w:rPr>
  </w:style>
  <w:style w:type="paragraph" w:styleId="Revision">
    <w:name w:val="Revision"/>
    <w:hidden/>
    <w:uiPriority w:val="99"/>
    <w:semiHidden/>
    <w:rsid w:val="00FC5367"/>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MS Mincho"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35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7865"/>
    <w:pPr>
      <w:ind w:left="720"/>
      <w:contextualSpacing/>
    </w:pPr>
  </w:style>
  <w:style w:type="paragraph" w:styleId="Header">
    <w:name w:val="header"/>
    <w:basedOn w:val="Normal"/>
    <w:link w:val="HeaderChar"/>
    <w:uiPriority w:val="99"/>
    <w:unhideWhenUsed/>
    <w:rsid w:val="00CD6F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6FE6"/>
  </w:style>
  <w:style w:type="paragraph" w:styleId="Footer">
    <w:name w:val="footer"/>
    <w:basedOn w:val="Normal"/>
    <w:link w:val="FooterChar"/>
    <w:uiPriority w:val="99"/>
    <w:unhideWhenUsed/>
    <w:rsid w:val="00CD6F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6FE6"/>
  </w:style>
  <w:style w:type="character" w:styleId="CommentReference">
    <w:name w:val="annotation reference"/>
    <w:basedOn w:val="DefaultParagraphFont"/>
    <w:uiPriority w:val="99"/>
    <w:semiHidden/>
    <w:unhideWhenUsed/>
    <w:rsid w:val="0026644D"/>
    <w:rPr>
      <w:sz w:val="16"/>
      <w:szCs w:val="16"/>
    </w:rPr>
  </w:style>
  <w:style w:type="paragraph" w:styleId="CommentText">
    <w:name w:val="annotation text"/>
    <w:basedOn w:val="Normal"/>
    <w:link w:val="CommentTextChar"/>
    <w:uiPriority w:val="99"/>
    <w:semiHidden/>
    <w:unhideWhenUsed/>
    <w:rsid w:val="0026644D"/>
    <w:pPr>
      <w:spacing w:line="240" w:lineRule="auto"/>
    </w:pPr>
    <w:rPr>
      <w:sz w:val="20"/>
      <w:szCs w:val="20"/>
    </w:rPr>
  </w:style>
  <w:style w:type="character" w:customStyle="1" w:styleId="CommentTextChar">
    <w:name w:val="Comment Text Char"/>
    <w:basedOn w:val="DefaultParagraphFont"/>
    <w:link w:val="CommentText"/>
    <w:uiPriority w:val="99"/>
    <w:semiHidden/>
    <w:rsid w:val="0026644D"/>
    <w:rPr>
      <w:sz w:val="20"/>
      <w:szCs w:val="20"/>
    </w:rPr>
  </w:style>
  <w:style w:type="paragraph" w:styleId="CommentSubject">
    <w:name w:val="annotation subject"/>
    <w:basedOn w:val="CommentText"/>
    <w:next w:val="CommentText"/>
    <w:link w:val="CommentSubjectChar"/>
    <w:uiPriority w:val="99"/>
    <w:semiHidden/>
    <w:unhideWhenUsed/>
    <w:rsid w:val="0026644D"/>
    <w:rPr>
      <w:b/>
      <w:bCs/>
    </w:rPr>
  </w:style>
  <w:style w:type="character" w:customStyle="1" w:styleId="CommentSubjectChar">
    <w:name w:val="Comment Subject Char"/>
    <w:basedOn w:val="CommentTextChar"/>
    <w:link w:val="CommentSubject"/>
    <w:uiPriority w:val="99"/>
    <w:semiHidden/>
    <w:rsid w:val="0026644D"/>
    <w:rPr>
      <w:b/>
      <w:bCs/>
      <w:sz w:val="20"/>
      <w:szCs w:val="20"/>
    </w:rPr>
  </w:style>
  <w:style w:type="paragraph" w:styleId="BalloonText">
    <w:name w:val="Balloon Text"/>
    <w:basedOn w:val="Normal"/>
    <w:link w:val="BalloonTextChar"/>
    <w:uiPriority w:val="99"/>
    <w:semiHidden/>
    <w:unhideWhenUsed/>
    <w:rsid w:val="002664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644D"/>
    <w:rPr>
      <w:rFonts w:ascii="Segoe UI" w:hAnsi="Segoe UI" w:cs="Segoe UI"/>
      <w:sz w:val="18"/>
      <w:szCs w:val="18"/>
    </w:rPr>
  </w:style>
  <w:style w:type="table" w:styleId="TableGrid">
    <w:name w:val="Table Grid"/>
    <w:basedOn w:val="TableNormal"/>
    <w:uiPriority w:val="59"/>
    <w:rsid w:val="00C734D5"/>
    <w:pPr>
      <w:spacing w:after="0" w:line="240" w:lineRule="auto"/>
    </w:pPr>
    <w:rPr>
      <w:rFonts w:ascii="Calibri" w:hAnsi="Calibri" w:cs="Times New Roman"/>
      <w:sz w:val="20"/>
      <w:szCs w:val="20"/>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456E7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56E72"/>
    <w:rPr>
      <w:sz w:val="20"/>
      <w:szCs w:val="20"/>
    </w:rPr>
  </w:style>
  <w:style w:type="character" w:styleId="FootnoteReference">
    <w:name w:val="footnote reference"/>
    <w:basedOn w:val="DefaultParagraphFont"/>
    <w:uiPriority w:val="99"/>
    <w:semiHidden/>
    <w:unhideWhenUsed/>
    <w:rsid w:val="00456E72"/>
    <w:rPr>
      <w:vertAlign w:val="superscript"/>
    </w:rPr>
  </w:style>
  <w:style w:type="paragraph" w:styleId="Revision">
    <w:name w:val="Revision"/>
    <w:hidden/>
    <w:uiPriority w:val="99"/>
    <w:semiHidden/>
    <w:rsid w:val="00FC536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181</Nr_x002e__x0020_akti>
    <Data_x0020_e_x0020_Krijimit xmlns="0e656187-b300-4fb0-8bf4-3a50f872073c">2022-05-26T12:56:01Z</Data_x0020_e_x0020_Krijimit>
    <URL xmlns="0e656187-b300-4fb0-8bf4-3a50f872073c" xsi:nil="true"/>
    <Institucion_x0020_Pergjegjes xmlns="0e656187-b300-4fb0-8bf4-3a50f872073c">http://qbz.gov.al/resource/authority/legal-institution/29|ministria-e-drejtesise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2022-05-25T22:00:00Z</Date_x0020_protokolli>
    <Titulli xmlns="0e656187-b300-4fb0-8bf4-3a50f872073c">Për miratimin e rregullave të hollësishme për procedurën e hetimit disiplinor të ndërmjetsit të pasurive të paluajtshme dhe formularit të ankesave</Titulli>
    <Modifikuesi xmlns="0e656187-b300-4fb0-8bf4-3a50f872073c">Fjora.Korita</Modifikuesi>
    <Nr_x002e__x0020_prot_x0020_QBZ xmlns="0e656187-b300-4fb0-8bf4-3a50f872073c">832/2</Nr_x002e__x0020_prot_x0020_QBZ>
    <Data_x0020_e_x0020_Modifikimit xmlns="0e656187-b300-4fb0-8bf4-3a50f872073c">2022-05-26T13:33:19Z</Data_x0020_e_x0020_Modifikimit>
    <Dekretuar xmlns="0e656187-b300-4fb0-8bf4-3a50f872073c">false</Dekretuar>
    <Data xmlns="0e656187-b300-4fb0-8bf4-3a50f872073c">2022-05-03T22:00:00Z</Data>
    <Nr_x002e__x0020_protokolli_x0020_i_x0020_aktit xmlns="0e656187-b300-4fb0-8bf4-3a50f872073c">2525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F03D5DF50AA4CEB99548251B7577C8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F03D5DF50AA4CEB99548251B7577C8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5A6707-48DD-470A-B88E-64F5126FAAAC}">
  <ds:schemaRefs>
    <ds:schemaRef ds:uri="0e656187-b300-4fb0-8bf4-3a50f872073c"/>
    <ds:schemaRef ds:uri="http://schemas.microsoft.com/office/2006/documentManagement/types"/>
    <ds:schemaRef ds:uri="http://schemas.microsoft.com/office/2006/metadata/properties"/>
    <ds:schemaRef ds:uri="http://www.w3.org/XML/1998/namespace"/>
    <ds:schemaRef ds:uri="http://purl.org/dc/terms/"/>
    <ds:schemaRef ds:uri="http://purl.org/dc/elements/1.1/"/>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69C4F624-EC97-4DA5-AE63-D5CC6D3C34F2}">
  <ds:schemaRefs>
    <ds:schemaRef ds:uri="http://schemas.microsoft.com/sharepoint/v3/contenttype/forms"/>
  </ds:schemaRefs>
</ds:datastoreItem>
</file>

<file path=customXml/itemProps3.xml><?xml version="1.0" encoding="utf-8"?>
<ds:datastoreItem xmlns:ds="http://schemas.openxmlformats.org/officeDocument/2006/customXml" ds:itemID="{01B3055A-27C0-49C5-B8EB-4F87C0832C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BD321C0-9FDD-455B-B1E2-4DAEAED4C02E}">
  <ds:schemaRefs>
    <ds:schemaRef ds:uri="http://schemas.microsoft.com/sharepoint/v3/contenttype/forms"/>
  </ds:schemaRefs>
</ds:datastoreItem>
</file>

<file path=customXml/itemProps5.xml><?xml version="1.0" encoding="utf-8"?>
<ds:datastoreItem xmlns:ds="http://schemas.openxmlformats.org/officeDocument/2006/customXml" ds:itemID="{5E1DF599-2F8E-4342-AB45-2848AC2FBD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80DD1DB-68C1-404C-98F7-A963AD2D12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1039</TotalTime>
  <Pages>4</Pages>
  <Words>1549</Words>
  <Characters>8832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Për miratimin e rregullave të hollësishme për procedurën e hetimit disiplinor të ndërmjetsit të pasurive të paluajtshme dhe formularit të ankesave</vt:lpstr>
    </vt:vector>
  </TitlesOfParts>
  <Company/>
  <LinksUpToDate>false</LinksUpToDate>
  <CharactersWithSpaces>10361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rregullave të hollësishme për procedurën e hetimit disiplinor të ndërmjetsit të pasurive të paluajtshme dhe formularit të ankesave</dc:title>
  <dc:creator>Anisa Xake</dc:creator>
  <cp:lastModifiedBy>Amarilda Muja</cp:lastModifiedBy>
  <cp:revision>81</cp:revision>
  <cp:lastPrinted>2022-02-02T09:50:00Z</cp:lastPrinted>
  <dcterms:created xsi:type="dcterms:W3CDTF">2022-04-12T08:00:00Z</dcterms:created>
  <dcterms:modified xsi:type="dcterms:W3CDTF">2022-05-27T07:36:00Z</dcterms:modified>
</cp:coreProperties>
</file>