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86B946" w14:textId="77777777" w:rsidR="00D31AEA" w:rsidRPr="004B4B2D" w:rsidRDefault="00D31AEA" w:rsidP="00D31AEA">
      <w:pPr>
        <w:spacing w:after="0" w:line="240" w:lineRule="auto"/>
        <w:jc w:val="center"/>
        <w:rPr>
          <w:rFonts w:ascii="Garamond" w:hAnsi="Garamond"/>
          <w:b/>
          <w:sz w:val="24"/>
          <w:szCs w:val="24"/>
        </w:rPr>
      </w:pPr>
      <w:r w:rsidRPr="004B4B2D">
        <w:rPr>
          <w:rFonts w:ascii="Garamond" w:hAnsi="Garamond"/>
          <w:b/>
          <w:sz w:val="24"/>
          <w:szCs w:val="24"/>
        </w:rPr>
        <w:t>URDHER</w:t>
      </w:r>
    </w:p>
    <w:p w14:paraId="4E7E94BC" w14:textId="3476DBC8" w:rsidR="00D31AEA" w:rsidRPr="004B4B2D" w:rsidRDefault="00D31AEA" w:rsidP="00D31AEA">
      <w:pPr>
        <w:spacing w:after="0" w:line="240" w:lineRule="auto"/>
        <w:jc w:val="center"/>
        <w:rPr>
          <w:rFonts w:ascii="Garamond" w:hAnsi="Garamond"/>
          <w:b/>
          <w:sz w:val="24"/>
          <w:szCs w:val="24"/>
        </w:rPr>
      </w:pPr>
      <w:r w:rsidRPr="004B4B2D">
        <w:rPr>
          <w:rFonts w:ascii="Garamond" w:hAnsi="Garamond"/>
          <w:b/>
          <w:sz w:val="24"/>
          <w:szCs w:val="24"/>
        </w:rPr>
        <w:t>Nr.</w:t>
      </w:r>
      <w:r>
        <w:rPr>
          <w:rFonts w:ascii="Garamond" w:hAnsi="Garamond"/>
          <w:b/>
          <w:sz w:val="24"/>
          <w:szCs w:val="24"/>
        </w:rPr>
        <w:t xml:space="preserve"> </w:t>
      </w:r>
      <w:r w:rsidRPr="004B4B2D">
        <w:rPr>
          <w:rFonts w:ascii="Garamond" w:hAnsi="Garamond"/>
          <w:b/>
          <w:sz w:val="24"/>
          <w:szCs w:val="24"/>
        </w:rPr>
        <w:t>88, dat</w:t>
      </w:r>
      <w:r>
        <w:rPr>
          <w:rFonts w:ascii="Garamond" w:hAnsi="Garamond"/>
          <w:b/>
          <w:sz w:val="24"/>
          <w:szCs w:val="24"/>
        </w:rPr>
        <w:t>ë</w:t>
      </w:r>
      <w:r w:rsidRPr="004B4B2D">
        <w:rPr>
          <w:rFonts w:ascii="Garamond" w:hAnsi="Garamond"/>
          <w:b/>
          <w:sz w:val="24"/>
          <w:szCs w:val="24"/>
        </w:rPr>
        <w:t xml:space="preserve"> 3.4.2020</w:t>
      </w:r>
    </w:p>
    <w:p w14:paraId="691CD61F" w14:textId="77777777" w:rsidR="00D31AEA" w:rsidRPr="004B4B2D" w:rsidRDefault="00D31AEA" w:rsidP="008360A4">
      <w:pPr>
        <w:spacing w:after="0" w:line="240" w:lineRule="auto"/>
        <w:jc w:val="both"/>
        <w:rPr>
          <w:rFonts w:ascii="Garamond" w:hAnsi="Garamond"/>
          <w:b/>
          <w:sz w:val="24"/>
          <w:szCs w:val="24"/>
        </w:rPr>
      </w:pPr>
    </w:p>
    <w:p w14:paraId="124F5DB3" w14:textId="77777777" w:rsidR="00D31AEA" w:rsidRPr="004B4B2D" w:rsidRDefault="00D31AEA" w:rsidP="008360A4">
      <w:pPr>
        <w:spacing w:after="0" w:line="240" w:lineRule="auto"/>
        <w:jc w:val="center"/>
        <w:rPr>
          <w:rFonts w:ascii="Garamond" w:hAnsi="Garamond"/>
          <w:b/>
          <w:sz w:val="24"/>
          <w:szCs w:val="24"/>
        </w:rPr>
      </w:pPr>
      <w:r w:rsidRPr="004B4B2D">
        <w:rPr>
          <w:rFonts w:ascii="Garamond" w:hAnsi="Garamond"/>
          <w:b/>
          <w:sz w:val="24"/>
          <w:szCs w:val="24"/>
        </w:rPr>
        <w:t>“P</w:t>
      </w:r>
      <w:r>
        <w:rPr>
          <w:rFonts w:ascii="Garamond" w:hAnsi="Garamond"/>
          <w:b/>
          <w:sz w:val="24"/>
          <w:szCs w:val="24"/>
        </w:rPr>
        <w:t>Ë</w:t>
      </w:r>
      <w:r w:rsidRPr="004B4B2D">
        <w:rPr>
          <w:rFonts w:ascii="Garamond" w:hAnsi="Garamond"/>
          <w:b/>
          <w:sz w:val="24"/>
          <w:szCs w:val="24"/>
        </w:rPr>
        <w:t>R S</w:t>
      </w:r>
      <w:r>
        <w:rPr>
          <w:rFonts w:ascii="Garamond" w:hAnsi="Garamond"/>
          <w:b/>
          <w:sz w:val="24"/>
          <w:szCs w:val="24"/>
        </w:rPr>
        <w:t>HPALLJEN E NDRYSHIMEVE TË PËRKT</w:t>
      </w:r>
      <w:r w:rsidRPr="004B4B2D">
        <w:rPr>
          <w:rFonts w:ascii="Garamond" w:hAnsi="Garamond"/>
          <w:b/>
          <w:sz w:val="24"/>
          <w:szCs w:val="24"/>
        </w:rPr>
        <w:t>HIMEVE T</w:t>
      </w:r>
      <w:r>
        <w:rPr>
          <w:rFonts w:ascii="Garamond" w:hAnsi="Garamond"/>
          <w:b/>
          <w:sz w:val="24"/>
          <w:szCs w:val="24"/>
        </w:rPr>
        <w:t>Ë</w:t>
      </w:r>
      <w:r w:rsidRPr="004B4B2D">
        <w:rPr>
          <w:rFonts w:ascii="Garamond" w:hAnsi="Garamond"/>
          <w:b/>
          <w:sz w:val="24"/>
          <w:szCs w:val="24"/>
        </w:rPr>
        <w:t xml:space="preserve"> STANDARDIT ND</w:t>
      </w:r>
      <w:r>
        <w:rPr>
          <w:rFonts w:ascii="Garamond" w:hAnsi="Garamond"/>
          <w:b/>
          <w:sz w:val="24"/>
          <w:szCs w:val="24"/>
        </w:rPr>
        <w:t>Ë</w:t>
      </w:r>
      <w:r w:rsidRPr="004B4B2D">
        <w:rPr>
          <w:rFonts w:ascii="Garamond" w:hAnsi="Garamond"/>
          <w:b/>
          <w:sz w:val="24"/>
          <w:szCs w:val="24"/>
        </w:rPr>
        <w:t>RKOMB</w:t>
      </w:r>
      <w:r>
        <w:rPr>
          <w:rFonts w:ascii="Garamond" w:hAnsi="Garamond"/>
          <w:b/>
          <w:sz w:val="24"/>
          <w:szCs w:val="24"/>
        </w:rPr>
        <w:t>Ë</w:t>
      </w:r>
      <w:r w:rsidRPr="004B4B2D">
        <w:rPr>
          <w:rFonts w:ascii="Garamond" w:hAnsi="Garamond"/>
          <w:b/>
          <w:sz w:val="24"/>
          <w:szCs w:val="24"/>
        </w:rPr>
        <w:t>TAR T</w:t>
      </w:r>
      <w:r>
        <w:rPr>
          <w:rFonts w:ascii="Garamond" w:hAnsi="Garamond"/>
          <w:b/>
          <w:sz w:val="24"/>
          <w:szCs w:val="24"/>
        </w:rPr>
        <w:t>Ë</w:t>
      </w:r>
      <w:r w:rsidRPr="004B4B2D">
        <w:rPr>
          <w:rFonts w:ascii="Garamond" w:hAnsi="Garamond"/>
          <w:b/>
          <w:sz w:val="24"/>
          <w:szCs w:val="24"/>
        </w:rPr>
        <w:t xml:space="preserve"> RAPORTIMIT FINANCIAR NR.9 “INSTRUMENTET FINANCIARE”(SNRF 9) T</w:t>
      </w:r>
      <w:r>
        <w:rPr>
          <w:rFonts w:ascii="Garamond" w:hAnsi="Garamond"/>
          <w:b/>
          <w:sz w:val="24"/>
          <w:szCs w:val="24"/>
        </w:rPr>
        <w:t>Ë</w:t>
      </w:r>
      <w:r w:rsidRPr="004B4B2D">
        <w:rPr>
          <w:rFonts w:ascii="Garamond" w:hAnsi="Garamond"/>
          <w:b/>
          <w:sz w:val="24"/>
          <w:szCs w:val="24"/>
        </w:rPr>
        <w:t xml:space="preserve"> STANDARDIT ND</w:t>
      </w:r>
      <w:r>
        <w:rPr>
          <w:rFonts w:ascii="Garamond" w:hAnsi="Garamond"/>
          <w:b/>
          <w:sz w:val="24"/>
          <w:szCs w:val="24"/>
        </w:rPr>
        <w:t>Ë</w:t>
      </w:r>
      <w:r w:rsidRPr="004B4B2D">
        <w:rPr>
          <w:rFonts w:ascii="Garamond" w:hAnsi="Garamond"/>
          <w:b/>
          <w:sz w:val="24"/>
          <w:szCs w:val="24"/>
        </w:rPr>
        <w:t>RKOMB</w:t>
      </w:r>
      <w:r>
        <w:rPr>
          <w:rFonts w:ascii="Garamond" w:hAnsi="Garamond"/>
          <w:b/>
          <w:sz w:val="24"/>
          <w:szCs w:val="24"/>
        </w:rPr>
        <w:t>Ë</w:t>
      </w:r>
      <w:r w:rsidRPr="004B4B2D">
        <w:rPr>
          <w:rFonts w:ascii="Garamond" w:hAnsi="Garamond"/>
          <w:b/>
          <w:sz w:val="24"/>
          <w:szCs w:val="24"/>
        </w:rPr>
        <w:t>TAR T</w:t>
      </w:r>
      <w:r>
        <w:rPr>
          <w:rFonts w:ascii="Garamond" w:hAnsi="Garamond"/>
          <w:b/>
          <w:sz w:val="24"/>
          <w:szCs w:val="24"/>
        </w:rPr>
        <w:t>Ë</w:t>
      </w:r>
      <w:r w:rsidRPr="004B4B2D">
        <w:rPr>
          <w:rFonts w:ascii="Garamond" w:hAnsi="Garamond"/>
          <w:b/>
          <w:sz w:val="24"/>
          <w:szCs w:val="24"/>
        </w:rPr>
        <w:t xml:space="preserve"> KONTABILITETIT NR.39 “INSTRUMENTET FINANCIARE” (SNK 39), SI DHE T</w:t>
      </w:r>
      <w:r>
        <w:rPr>
          <w:rFonts w:ascii="Garamond" w:hAnsi="Garamond"/>
          <w:b/>
          <w:sz w:val="24"/>
          <w:szCs w:val="24"/>
        </w:rPr>
        <w:t>Ë</w:t>
      </w:r>
      <w:r w:rsidRPr="004B4B2D">
        <w:rPr>
          <w:rFonts w:ascii="Garamond" w:hAnsi="Garamond"/>
          <w:b/>
          <w:sz w:val="24"/>
          <w:szCs w:val="24"/>
        </w:rPr>
        <w:t xml:space="preserve"> STANDARDIT ND</w:t>
      </w:r>
      <w:r>
        <w:rPr>
          <w:rFonts w:ascii="Garamond" w:hAnsi="Garamond"/>
          <w:b/>
          <w:sz w:val="24"/>
          <w:szCs w:val="24"/>
        </w:rPr>
        <w:t>Ë</w:t>
      </w:r>
      <w:r w:rsidRPr="004B4B2D">
        <w:rPr>
          <w:rFonts w:ascii="Garamond" w:hAnsi="Garamond"/>
          <w:b/>
          <w:sz w:val="24"/>
          <w:szCs w:val="24"/>
        </w:rPr>
        <w:t>RKOMB</w:t>
      </w:r>
      <w:r>
        <w:rPr>
          <w:rFonts w:ascii="Garamond" w:hAnsi="Garamond"/>
          <w:b/>
          <w:sz w:val="24"/>
          <w:szCs w:val="24"/>
        </w:rPr>
        <w:t>Ë</w:t>
      </w:r>
      <w:r w:rsidRPr="004B4B2D">
        <w:rPr>
          <w:rFonts w:ascii="Garamond" w:hAnsi="Garamond"/>
          <w:b/>
          <w:sz w:val="24"/>
          <w:szCs w:val="24"/>
        </w:rPr>
        <w:t>TAR T</w:t>
      </w:r>
      <w:r>
        <w:rPr>
          <w:rFonts w:ascii="Garamond" w:hAnsi="Garamond"/>
          <w:b/>
          <w:sz w:val="24"/>
          <w:szCs w:val="24"/>
        </w:rPr>
        <w:t>Ë</w:t>
      </w:r>
      <w:r w:rsidRPr="004B4B2D">
        <w:rPr>
          <w:rFonts w:ascii="Garamond" w:hAnsi="Garamond"/>
          <w:b/>
          <w:sz w:val="24"/>
          <w:szCs w:val="24"/>
        </w:rPr>
        <w:t xml:space="preserve"> RAPORTIMIT FINANCIAR NR.7 “INSTRUMENTET FINANCIARE” (SNRF 7)</w:t>
      </w:r>
    </w:p>
    <w:p w14:paraId="09CA47DD" w14:textId="77777777" w:rsidR="00D31AEA" w:rsidRDefault="00D31AEA" w:rsidP="008360A4">
      <w:pPr>
        <w:spacing w:after="0" w:line="240" w:lineRule="auto"/>
        <w:jc w:val="both"/>
        <w:rPr>
          <w:rFonts w:ascii="Garamond" w:hAnsi="Garamond"/>
          <w:sz w:val="24"/>
          <w:szCs w:val="24"/>
        </w:rPr>
      </w:pPr>
    </w:p>
    <w:p w14:paraId="3033A6BA" w14:textId="678B4EED" w:rsidR="00D31AEA" w:rsidRDefault="00D31AEA" w:rsidP="008360A4">
      <w:pPr>
        <w:spacing w:after="0" w:line="240" w:lineRule="auto"/>
        <w:jc w:val="both"/>
        <w:rPr>
          <w:rFonts w:ascii="Garamond" w:hAnsi="Garamond"/>
          <w:sz w:val="24"/>
          <w:szCs w:val="24"/>
        </w:rPr>
      </w:pPr>
      <w:r>
        <w:rPr>
          <w:rFonts w:ascii="Garamond" w:hAnsi="Garamond"/>
          <w:sz w:val="24"/>
          <w:szCs w:val="24"/>
        </w:rPr>
        <w:t>N</w:t>
      </w:r>
      <w:r w:rsidR="008360A4">
        <w:rPr>
          <w:rFonts w:ascii="Garamond" w:hAnsi="Garamond"/>
          <w:sz w:val="24"/>
          <w:szCs w:val="24"/>
        </w:rPr>
        <w:t>ë mbështetje të nenit 3, pika 4,</w:t>
      </w:r>
      <w:r>
        <w:rPr>
          <w:rFonts w:ascii="Garamond" w:hAnsi="Garamond"/>
          <w:sz w:val="24"/>
          <w:szCs w:val="24"/>
        </w:rPr>
        <w:t xml:space="preserve"> të ligjit nr.25/2018 “Për kontabilitetin dhe pasqyrat financiare”, të vendimit të Këshillit të Ministrave nr.505, datë 17.7.2019 “Për miratimin e rregullores së brendshme të organizimit dhe funksionimit të Këshillit Kombëtar të Kontabilitetit”,</w:t>
      </w:r>
    </w:p>
    <w:p w14:paraId="48900550" w14:textId="77777777" w:rsidR="00D31AEA" w:rsidRDefault="00D31AEA" w:rsidP="008360A4">
      <w:pPr>
        <w:spacing w:after="0" w:line="240" w:lineRule="auto"/>
        <w:jc w:val="both"/>
        <w:rPr>
          <w:rFonts w:ascii="Garamond" w:hAnsi="Garamond"/>
          <w:sz w:val="24"/>
          <w:szCs w:val="24"/>
        </w:rPr>
      </w:pPr>
    </w:p>
    <w:p w14:paraId="58289C70" w14:textId="77777777" w:rsidR="00D31AEA" w:rsidRDefault="00D31AEA" w:rsidP="008360A4">
      <w:pPr>
        <w:spacing w:after="0" w:line="240" w:lineRule="auto"/>
        <w:jc w:val="center"/>
        <w:rPr>
          <w:rFonts w:ascii="Garamond" w:hAnsi="Garamond"/>
          <w:sz w:val="24"/>
          <w:szCs w:val="24"/>
        </w:rPr>
      </w:pPr>
      <w:r>
        <w:rPr>
          <w:rFonts w:ascii="Garamond" w:hAnsi="Garamond"/>
          <w:sz w:val="24"/>
          <w:szCs w:val="24"/>
        </w:rPr>
        <w:t>URDHËROJ:</w:t>
      </w:r>
    </w:p>
    <w:p w14:paraId="29064E61" w14:textId="77777777" w:rsidR="00D31AEA" w:rsidRDefault="00D31AEA" w:rsidP="008360A4">
      <w:pPr>
        <w:spacing w:after="0" w:line="240" w:lineRule="auto"/>
        <w:jc w:val="both"/>
        <w:rPr>
          <w:rFonts w:ascii="Garamond" w:hAnsi="Garamond"/>
          <w:sz w:val="24"/>
          <w:szCs w:val="24"/>
        </w:rPr>
      </w:pPr>
    </w:p>
    <w:p w14:paraId="71F9A2F9" w14:textId="5002EE65" w:rsidR="00D31AEA" w:rsidRPr="004B4B2D" w:rsidRDefault="00D31AEA" w:rsidP="008360A4">
      <w:pPr>
        <w:pStyle w:val="Paragrafi"/>
      </w:pPr>
      <w:r>
        <w:t xml:space="preserve">1. </w:t>
      </w:r>
      <w:r w:rsidRPr="004B4B2D">
        <w:t>S</w:t>
      </w:r>
      <w:r>
        <w:t>hpalljen e ndryshimeve të përkt</w:t>
      </w:r>
      <w:r w:rsidRPr="004B4B2D">
        <w:t>himeve t</w:t>
      </w:r>
      <w:r>
        <w:t>ë</w:t>
      </w:r>
      <w:r w:rsidRPr="004B4B2D">
        <w:t xml:space="preserve"> Standardit Nd</w:t>
      </w:r>
      <w:r>
        <w:t>ë</w:t>
      </w:r>
      <w:r w:rsidRPr="004B4B2D">
        <w:t>rkomb</w:t>
      </w:r>
      <w:r>
        <w:t>ë</w:t>
      </w:r>
      <w:r w:rsidRPr="004B4B2D">
        <w:t>tar t</w:t>
      </w:r>
      <w:r>
        <w:t>ë</w:t>
      </w:r>
      <w:r w:rsidRPr="004B4B2D">
        <w:t xml:space="preserve"> Raportimit Financiar nr.9 “Instrumentet Financiare”</w:t>
      </w:r>
      <w:r w:rsidR="008360A4">
        <w:t xml:space="preserve"> </w:t>
      </w:r>
      <w:r w:rsidRPr="004B4B2D">
        <w:t>(SNRF 9) t</w:t>
      </w:r>
      <w:r>
        <w:t>ë</w:t>
      </w:r>
      <w:r w:rsidRPr="004B4B2D">
        <w:t xml:space="preserve"> Standardit Nd</w:t>
      </w:r>
      <w:r>
        <w:t>ë</w:t>
      </w:r>
      <w:r w:rsidRPr="004B4B2D">
        <w:t>rkomb</w:t>
      </w:r>
      <w:r>
        <w:t>ë</w:t>
      </w:r>
      <w:r w:rsidRPr="004B4B2D">
        <w:t>tar t</w:t>
      </w:r>
      <w:r>
        <w:t>ë</w:t>
      </w:r>
      <w:r w:rsidRPr="004B4B2D">
        <w:t xml:space="preserve"> Kontabilitetit nr.39 “Instrumentet Financiare” (SNK 39), si dhe t</w:t>
      </w:r>
      <w:r>
        <w:t>ë</w:t>
      </w:r>
      <w:r w:rsidRPr="004B4B2D">
        <w:t xml:space="preserve"> Standardit Nd</w:t>
      </w:r>
      <w:r>
        <w:t>ë</w:t>
      </w:r>
      <w:r w:rsidRPr="004B4B2D">
        <w:t>rkomb</w:t>
      </w:r>
      <w:r>
        <w:t>ë</w:t>
      </w:r>
      <w:r w:rsidRPr="004B4B2D">
        <w:t>tar t</w:t>
      </w:r>
      <w:r>
        <w:t>ë</w:t>
      </w:r>
      <w:r w:rsidRPr="004B4B2D">
        <w:t xml:space="preserve"> Raportimit Financiar nr.7 “Instrumentet Financiare” (SNRF 7)</w:t>
      </w:r>
    </w:p>
    <w:p w14:paraId="10EE0C18" w14:textId="77777777" w:rsidR="00D31AEA" w:rsidRDefault="00D31AEA" w:rsidP="008360A4">
      <w:pPr>
        <w:pStyle w:val="Paragrafi"/>
      </w:pPr>
      <w:r>
        <w:t>2. Të gjitha standardet e mësipërme do të zbatohen në pasqyrat financiare që mbulojnë periudhën kontabël që fillon më ose pas datës 1.1.2020.</w:t>
      </w:r>
      <w:bookmarkStart w:id="0" w:name="_GoBack"/>
      <w:bookmarkEnd w:id="0"/>
    </w:p>
    <w:p w14:paraId="17529BE9" w14:textId="77777777" w:rsidR="00D31AEA" w:rsidRDefault="00D31AEA" w:rsidP="008360A4">
      <w:pPr>
        <w:pStyle w:val="Paragrafi"/>
      </w:pPr>
      <w:r>
        <w:t>3. Ky urdhër hyn në fuqi pas botimit në Fletoren Zyrtare.</w:t>
      </w:r>
    </w:p>
    <w:p w14:paraId="5733ED0B" w14:textId="77777777" w:rsidR="00D31AEA" w:rsidRDefault="00D31AEA" w:rsidP="008360A4">
      <w:pPr>
        <w:pStyle w:val="Paragrafi"/>
      </w:pPr>
    </w:p>
    <w:p w14:paraId="7E19B00F" w14:textId="77777777" w:rsidR="00D31AEA" w:rsidRDefault="00D31AEA" w:rsidP="008360A4">
      <w:pPr>
        <w:pStyle w:val="Paragrafi"/>
        <w:jc w:val="right"/>
      </w:pPr>
      <w:r>
        <w:t xml:space="preserve">MINISTËR I FINANCAVE </w:t>
      </w:r>
    </w:p>
    <w:p w14:paraId="3A843353" w14:textId="77777777" w:rsidR="00D31AEA" w:rsidRDefault="00D31AEA" w:rsidP="008360A4">
      <w:pPr>
        <w:pStyle w:val="Paragrafi"/>
        <w:jc w:val="right"/>
      </w:pPr>
      <w:r>
        <w:t>DHE EKONOMISË</w:t>
      </w:r>
    </w:p>
    <w:p w14:paraId="7CB1C500" w14:textId="77777777" w:rsidR="00D31AEA" w:rsidRPr="004B4B2D" w:rsidRDefault="00D31AEA" w:rsidP="008360A4">
      <w:pPr>
        <w:pStyle w:val="Paragrafi"/>
        <w:jc w:val="right"/>
        <w:rPr>
          <w:b/>
        </w:rPr>
      </w:pPr>
      <w:r w:rsidRPr="004B4B2D">
        <w:rPr>
          <w:b/>
        </w:rPr>
        <w:t>Anila Denaj</w:t>
      </w:r>
    </w:p>
    <w:p w14:paraId="4ADF86A3" w14:textId="77777777" w:rsidR="00D31AEA" w:rsidRDefault="00D31AEA" w:rsidP="00D31AEA">
      <w:pPr>
        <w:spacing w:after="0" w:line="240" w:lineRule="auto"/>
        <w:rPr>
          <w:rFonts w:ascii="Garamond" w:hAnsi="Garamond"/>
          <w:sz w:val="24"/>
          <w:szCs w:val="24"/>
        </w:rPr>
      </w:pPr>
    </w:p>
    <w:p w14:paraId="7C3CFBF2" w14:textId="77777777" w:rsidR="00D31AEA" w:rsidRPr="00432419" w:rsidRDefault="00D31AEA" w:rsidP="00D31AEA">
      <w:pPr>
        <w:spacing w:after="0" w:line="240" w:lineRule="auto"/>
        <w:ind w:firstLine="284"/>
        <w:jc w:val="center"/>
        <w:rPr>
          <w:rFonts w:ascii="Garamond" w:hAnsi="Garamond"/>
          <w:b/>
          <w:sz w:val="24"/>
          <w:szCs w:val="24"/>
        </w:rPr>
      </w:pPr>
      <w:r w:rsidRPr="00432419">
        <w:rPr>
          <w:rFonts w:ascii="Garamond" w:hAnsi="Garamond"/>
          <w:b/>
          <w:sz w:val="24"/>
          <w:szCs w:val="24"/>
        </w:rPr>
        <w:t>Reforma e Normës së Interesit që Shërben si Standard Krahasues (Benchmark)</w:t>
      </w:r>
    </w:p>
    <w:p w14:paraId="4A9A5FDC" w14:textId="77777777" w:rsidR="00D31AEA" w:rsidRDefault="00D31AEA" w:rsidP="00D31AEA">
      <w:pPr>
        <w:spacing w:after="0" w:line="240" w:lineRule="auto"/>
        <w:jc w:val="center"/>
        <w:rPr>
          <w:rFonts w:ascii="Garamond" w:hAnsi="Garamond"/>
          <w:sz w:val="24"/>
          <w:szCs w:val="24"/>
        </w:rPr>
      </w:pPr>
    </w:p>
    <w:p w14:paraId="1F5C58F6" w14:textId="77777777" w:rsidR="00D31AEA" w:rsidRPr="004B4B2D" w:rsidRDefault="00D31AEA" w:rsidP="00D31AEA">
      <w:pPr>
        <w:spacing w:after="0" w:line="240" w:lineRule="auto"/>
        <w:ind w:firstLine="284"/>
        <w:jc w:val="center"/>
        <w:rPr>
          <w:rFonts w:ascii="Garamond" w:hAnsi="Garamond"/>
          <w:sz w:val="24"/>
          <w:szCs w:val="24"/>
        </w:rPr>
      </w:pPr>
      <w:r w:rsidRPr="004B4B2D">
        <w:rPr>
          <w:rFonts w:ascii="Garamond" w:hAnsi="Garamond"/>
          <w:sz w:val="24"/>
          <w:szCs w:val="24"/>
        </w:rPr>
        <w:t>Ndryshime në SNRF 9, SNK 39 dhe SNRF 7</w:t>
      </w:r>
    </w:p>
    <w:p w14:paraId="34CD8745" w14:textId="77777777" w:rsidR="00D31AEA" w:rsidRPr="004B4B2D" w:rsidRDefault="00D31AEA" w:rsidP="00D31AEA">
      <w:pPr>
        <w:spacing w:after="0" w:line="240" w:lineRule="auto"/>
        <w:ind w:firstLine="284"/>
        <w:jc w:val="center"/>
        <w:rPr>
          <w:rFonts w:ascii="Garamond" w:hAnsi="Garamond"/>
          <w:sz w:val="24"/>
          <w:szCs w:val="24"/>
        </w:rPr>
      </w:pPr>
    </w:p>
    <w:p w14:paraId="4BCB3ADB" w14:textId="77777777" w:rsidR="00D31AEA" w:rsidRPr="00432419" w:rsidRDefault="00D31AEA" w:rsidP="00D31AEA">
      <w:pPr>
        <w:spacing w:after="0" w:line="240" w:lineRule="auto"/>
        <w:ind w:firstLine="284"/>
        <w:jc w:val="center"/>
        <w:rPr>
          <w:rFonts w:ascii="Garamond" w:hAnsi="Garamond"/>
          <w:b/>
          <w:sz w:val="24"/>
          <w:szCs w:val="24"/>
        </w:rPr>
      </w:pPr>
      <w:r w:rsidRPr="00432419">
        <w:rPr>
          <w:rFonts w:ascii="Garamond" w:hAnsi="Garamond"/>
          <w:b/>
          <w:sz w:val="24"/>
          <w:szCs w:val="24"/>
        </w:rPr>
        <w:t>Ndryshime të SNRF 9 Instrumentet Financiare</w:t>
      </w:r>
    </w:p>
    <w:p w14:paraId="4E9DC6C3" w14:textId="77777777" w:rsidR="00D31AEA" w:rsidRPr="004B4B2D" w:rsidRDefault="00D31AEA" w:rsidP="00D31AEA">
      <w:pPr>
        <w:spacing w:after="0" w:line="240" w:lineRule="auto"/>
        <w:ind w:firstLine="284"/>
        <w:jc w:val="both"/>
        <w:rPr>
          <w:rFonts w:ascii="Garamond" w:hAnsi="Garamond"/>
          <w:sz w:val="24"/>
          <w:szCs w:val="24"/>
        </w:rPr>
      </w:pPr>
    </w:p>
    <w:tbl>
      <w:tblPr>
        <w:tblW w:w="0" w:type="auto"/>
        <w:tblBorders>
          <w:top w:val="single" w:sz="0" w:space="0" w:color="auto"/>
          <w:left w:val="single" w:sz="0" w:space="0" w:color="auto"/>
          <w:bottom w:val="single" w:sz="0" w:space="0" w:color="auto"/>
          <w:right w:val="single" w:sz="0" w:space="0" w:color="auto"/>
        </w:tblBorders>
        <w:tblLook w:val="04A0" w:firstRow="1" w:lastRow="0" w:firstColumn="1" w:lastColumn="0" w:noHBand="0" w:noVBand="1"/>
      </w:tblPr>
      <w:tblGrid>
        <w:gridCol w:w="9576"/>
      </w:tblGrid>
      <w:tr w:rsidR="00D31AEA" w:rsidRPr="004B4B2D" w14:paraId="1A8EC7F1" w14:textId="77777777" w:rsidTr="008360A4">
        <w:tc>
          <w:tcPr>
            <w:tcW w:w="50" w:type="pct"/>
            <w:tcBorders>
              <w:bottom w:val="single" w:sz="0" w:space="0" w:color="auto"/>
              <w:right w:val="single" w:sz="0" w:space="0" w:color="auto"/>
            </w:tcBorders>
          </w:tcPr>
          <w:p w14:paraId="15DF1390" w14:textId="77777777" w:rsidR="00D31AEA" w:rsidRPr="004B4B2D" w:rsidRDefault="00D31AEA" w:rsidP="008360A4">
            <w:pPr>
              <w:spacing w:after="0" w:line="240" w:lineRule="auto"/>
              <w:jc w:val="both"/>
              <w:rPr>
                <w:rFonts w:ascii="Garamond" w:hAnsi="Garamond"/>
                <w:sz w:val="24"/>
                <w:szCs w:val="24"/>
              </w:rPr>
            </w:pPr>
            <w:r w:rsidRPr="004B4B2D">
              <w:rPr>
                <w:rFonts w:ascii="Garamond" w:hAnsi="Garamond"/>
                <w:sz w:val="24"/>
                <w:szCs w:val="24"/>
              </w:rPr>
              <w:t>Janë shtuar paragrafët 6.8.1–6.8.12 dhe 7.1.8. Një titull i ri është shtuar para paragrafit 6.8.1. Nëntituj të rinj janë shtuar para paragrafëve 6.8.4, 6.8.5, 6.8.6, 6.8.7 dhe 6.8.9. Për lehtësi në lexim, këta paragrafë nuk janë nënvizuar.</w:t>
            </w:r>
          </w:p>
          <w:p w14:paraId="29FE444B" w14:textId="77777777" w:rsidR="00D31AEA" w:rsidRPr="004B4B2D" w:rsidRDefault="00D31AEA" w:rsidP="008360A4">
            <w:pPr>
              <w:spacing w:after="0" w:line="240" w:lineRule="auto"/>
              <w:jc w:val="both"/>
              <w:rPr>
                <w:rFonts w:ascii="Garamond" w:hAnsi="Garamond"/>
                <w:sz w:val="24"/>
                <w:szCs w:val="24"/>
              </w:rPr>
            </w:pPr>
            <w:r w:rsidRPr="004B4B2D">
              <w:rPr>
                <w:rFonts w:ascii="Garamond" w:hAnsi="Garamond"/>
                <w:sz w:val="24"/>
                <w:szCs w:val="24"/>
              </w:rPr>
              <w:t>Është ndryshuar paragrafi 7.2.26. Në këtë paragraf është nënvizuar teksti i ri.</w:t>
            </w:r>
          </w:p>
        </w:tc>
      </w:tr>
    </w:tbl>
    <w:p w14:paraId="72992218" w14:textId="77777777" w:rsidR="00D31AEA" w:rsidRPr="004B4B2D" w:rsidRDefault="00D31AEA" w:rsidP="00D31AEA">
      <w:pPr>
        <w:spacing w:after="0" w:line="240" w:lineRule="auto"/>
        <w:ind w:firstLine="284"/>
        <w:jc w:val="both"/>
        <w:rPr>
          <w:rFonts w:ascii="Garamond" w:hAnsi="Garamond"/>
          <w:sz w:val="24"/>
          <w:szCs w:val="24"/>
        </w:rPr>
      </w:pPr>
    </w:p>
    <w:p w14:paraId="77BDDFBD" w14:textId="77777777" w:rsidR="00D31AEA" w:rsidRPr="00432419" w:rsidRDefault="00D31AEA" w:rsidP="00D31AEA">
      <w:pPr>
        <w:spacing w:after="0" w:line="240" w:lineRule="auto"/>
        <w:ind w:firstLine="284"/>
        <w:jc w:val="both"/>
        <w:rPr>
          <w:rFonts w:ascii="Garamond" w:hAnsi="Garamond"/>
          <w:b/>
          <w:sz w:val="24"/>
          <w:szCs w:val="24"/>
        </w:rPr>
      </w:pPr>
      <w:r w:rsidRPr="00432419">
        <w:rPr>
          <w:rFonts w:ascii="Garamond" w:hAnsi="Garamond"/>
          <w:b/>
          <w:sz w:val="24"/>
          <w:szCs w:val="24"/>
        </w:rPr>
        <w:t xml:space="preserve">Kapitulli 6 Kontabiliteti mbrojtës </w:t>
      </w:r>
    </w:p>
    <w:p w14:paraId="4A3D3A97" w14:textId="77777777" w:rsidR="00D31AEA" w:rsidRPr="004B4B2D" w:rsidRDefault="00D31AEA" w:rsidP="00D31AEA">
      <w:pPr>
        <w:spacing w:after="0" w:line="240" w:lineRule="auto"/>
        <w:ind w:firstLine="284"/>
        <w:jc w:val="both"/>
        <w:rPr>
          <w:rFonts w:ascii="Garamond" w:hAnsi="Garamond"/>
          <w:sz w:val="24"/>
          <w:szCs w:val="24"/>
        </w:rPr>
      </w:pPr>
      <w:r w:rsidRPr="004B4B2D">
        <w:rPr>
          <w:rFonts w:ascii="Garamond" w:hAnsi="Garamond"/>
          <w:sz w:val="24"/>
          <w:szCs w:val="24"/>
        </w:rPr>
        <w:t>...</w:t>
      </w:r>
    </w:p>
    <w:p w14:paraId="29FD801C" w14:textId="77777777" w:rsidR="00D31AEA" w:rsidRPr="00432419" w:rsidRDefault="00D31AEA" w:rsidP="00D31AEA">
      <w:pPr>
        <w:spacing w:after="0" w:line="240" w:lineRule="auto"/>
        <w:ind w:firstLine="284"/>
        <w:jc w:val="both"/>
        <w:rPr>
          <w:rFonts w:ascii="Garamond" w:hAnsi="Garamond"/>
          <w:b/>
          <w:sz w:val="24"/>
          <w:szCs w:val="24"/>
        </w:rPr>
      </w:pPr>
      <w:r w:rsidRPr="00432419">
        <w:rPr>
          <w:rFonts w:ascii="Garamond" w:hAnsi="Garamond"/>
          <w:b/>
          <w:sz w:val="24"/>
          <w:szCs w:val="24"/>
        </w:rPr>
        <w:t>6.8 Përjashtime të përkohshme nga zbatimi i kërkesave specifike të kontabilitetit mbrojtës</w:t>
      </w:r>
    </w:p>
    <w:p w14:paraId="7D28700F" w14:textId="7777777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6.8.1 </w:t>
      </w:r>
      <w:r w:rsidRPr="004B4B2D">
        <w:rPr>
          <w:rFonts w:ascii="Garamond" w:hAnsi="Garamond"/>
          <w:sz w:val="24"/>
          <w:szCs w:val="24"/>
        </w:rPr>
        <w:t xml:space="preserve">Njësia ekonomike zbaton paragrafët 6.8.4–6.8.12, si dhe paragrafët 7.1.8 dhe 7.2.26(d) tek të gjitha marrëdhëniet mbrojtëse të prekura drejtpërdrejt nga reforma e normës së interesit që shërben si standard krahasues (benchmark). Këta paragrafë janë të zbatueshëm vetëm për marrëdhënie </w:t>
      </w:r>
      <w:r w:rsidRPr="004B4B2D">
        <w:rPr>
          <w:rFonts w:ascii="Garamond" w:hAnsi="Garamond"/>
          <w:sz w:val="24"/>
          <w:szCs w:val="24"/>
        </w:rPr>
        <w:lastRenderedPageBreak/>
        <w:t>mbrojtëse të tilla. Një marrëdhënie mbrojtëse preket drejtpërdrejt nga reforma e normës së interesit që shërben si standard krahasues (benchmark) vetëm nëse reforma sjell pasiguri rreth: </w:t>
      </w:r>
    </w:p>
    <w:p w14:paraId="135FF101" w14:textId="7777777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(a) </w:t>
      </w:r>
      <w:r w:rsidRPr="004B4B2D">
        <w:rPr>
          <w:rFonts w:ascii="Garamond" w:hAnsi="Garamond"/>
          <w:sz w:val="24"/>
          <w:szCs w:val="24"/>
        </w:rPr>
        <w:t>normës së interesit që shërben si standard krahasues (benchmark) (të cilësuar sipas kontratës ose jo) të përcaktuar si rreziku i mbrojtur; dhe/ose</w:t>
      </w:r>
    </w:p>
    <w:p w14:paraId="62AD6916" w14:textId="77777777" w:rsidR="00D31AEA" w:rsidRPr="004B4B2D" w:rsidRDefault="00D31AEA" w:rsidP="00D31AEA">
      <w:pPr>
        <w:spacing w:after="0" w:line="240" w:lineRule="auto"/>
        <w:ind w:firstLine="284"/>
        <w:jc w:val="both"/>
        <w:rPr>
          <w:rFonts w:ascii="Garamond" w:hAnsi="Garamond"/>
          <w:sz w:val="24"/>
          <w:szCs w:val="24"/>
        </w:rPr>
      </w:pPr>
      <w:r w:rsidRPr="004B4B2D">
        <w:rPr>
          <w:rFonts w:ascii="Garamond" w:hAnsi="Garamond"/>
          <w:sz w:val="24"/>
          <w:szCs w:val="24"/>
        </w:rPr>
        <w:t>(b)</w:t>
      </w:r>
      <w:r w:rsidRPr="004B4B2D">
        <w:rPr>
          <w:rFonts w:ascii="Garamond" w:hAnsi="Garamond"/>
          <w:sz w:val="24"/>
          <w:szCs w:val="24"/>
        </w:rPr>
        <w:tab/>
      </w:r>
      <w:r>
        <w:rPr>
          <w:rFonts w:ascii="Garamond" w:hAnsi="Garamond"/>
          <w:sz w:val="24"/>
          <w:szCs w:val="24"/>
        </w:rPr>
        <w:t xml:space="preserve"> </w:t>
      </w:r>
      <w:r w:rsidRPr="004B4B2D">
        <w:rPr>
          <w:rFonts w:ascii="Garamond" w:hAnsi="Garamond"/>
          <w:sz w:val="24"/>
          <w:szCs w:val="24"/>
        </w:rPr>
        <w:t>kohës ose shumës së normës së interesit që shërben si standard krahasues (benchmark)-të bazuar në flukset monetare të zërit të mbrojtur ose të instrumentit mbrojtës.</w:t>
      </w:r>
    </w:p>
    <w:p w14:paraId="31A553E6" w14:textId="77777777" w:rsidR="00D31AEA" w:rsidRPr="00432419" w:rsidRDefault="00D31AEA" w:rsidP="00D31AEA">
      <w:pPr>
        <w:spacing w:after="0" w:line="240" w:lineRule="auto"/>
        <w:ind w:firstLine="284"/>
        <w:jc w:val="both"/>
        <w:rPr>
          <w:rFonts w:ascii="Garamond" w:hAnsi="Garamond"/>
          <w:sz w:val="24"/>
          <w:szCs w:val="24"/>
          <w:vertAlign w:val="superscript"/>
        </w:rPr>
      </w:pPr>
      <w:r>
        <w:rPr>
          <w:rFonts w:ascii="Garamond" w:hAnsi="Garamond"/>
          <w:sz w:val="24"/>
          <w:szCs w:val="24"/>
        </w:rPr>
        <w:t xml:space="preserve">6.8.2 </w:t>
      </w:r>
      <w:r w:rsidRPr="004B4B2D">
        <w:rPr>
          <w:rFonts w:ascii="Garamond" w:hAnsi="Garamond"/>
          <w:sz w:val="24"/>
          <w:szCs w:val="24"/>
        </w:rPr>
        <w:t>Me qëllim zbatimin e paragrafëve 6.8.4–6.8.12, termi ‘reforma e normës së interesit që shërben si standard krahasues (benchmark)’ i referohet reformës së mbarë tregut të normës së interesit që shërben si standard krahasues (benchmark), duke përfshirë zëvendësimin e një norme interesi që shërben si standard krahasues (benchmark) me një normë alternative të tillë si ajo që rezulton nga rekomandimet e paraqitura në raportin e Korrikut 2014 ‘Reformimi i Normave Kryesore të Interesit që Shërbejnë si Standard Krahasues (benchmark)’ të Bordit të Stabilitetit Financiar</w:t>
      </w:r>
      <w:r w:rsidRPr="00432419">
        <w:rPr>
          <w:rFonts w:ascii="Garamond" w:hAnsi="Garamond"/>
          <w:sz w:val="24"/>
          <w:szCs w:val="24"/>
          <w:vertAlign w:val="superscript"/>
        </w:rPr>
        <w:t>.</w:t>
      </w:r>
      <w:r w:rsidRPr="00432419">
        <w:rPr>
          <w:rFonts w:ascii="Garamond" w:hAnsi="Garamond"/>
          <w:sz w:val="24"/>
          <w:szCs w:val="24"/>
          <w:vertAlign w:val="superscript"/>
        </w:rPr>
        <w:footnoteReference w:id="2"/>
      </w:r>
    </w:p>
    <w:p w14:paraId="2E906F67" w14:textId="7777777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6.8.3 </w:t>
      </w:r>
      <w:r w:rsidRPr="004B4B2D">
        <w:rPr>
          <w:rFonts w:ascii="Garamond" w:hAnsi="Garamond"/>
          <w:sz w:val="24"/>
          <w:szCs w:val="24"/>
        </w:rPr>
        <w:t>Paragrafët 6.8.4–6.8.12 ofrojnë përjashtime vetëm për kërkesat e cilësuara në këto paragrafë. Njësia ekonomike vijon të zbatojë të gjitha kërkesat e tjera të kontabilitetit mbrojtës për marrëdhëniet mbrojtëse të prekura drejtpërdrejt nga reforma e normës së interesit që shërben si standard krahasues (benchmark).</w:t>
      </w:r>
    </w:p>
    <w:p w14:paraId="760E9BE1" w14:textId="77777777" w:rsidR="00D31AEA" w:rsidRPr="00432419" w:rsidRDefault="00D31AEA" w:rsidP="00D31AEA">
      <w:pPr>
        <w:spacing w:after="0" w:line="240" w:lineRule="auto"/>
        <w:ind w:firstLine="284"/>
        <w:jc w:val="both"/>
        <w:rPr>
          <w:rFonts w:ascii="Garamond" w:hAnsi="Garamond"/>
          <w:b/>
          <w:sz w:val="24"/>
          <w:szCs w:val="24"/>
        </w:rPr>
      </w:pPr>
      <w:r w:rsidRPr="00432419">
        <w:rPr>
          <w:rFonts w:ascii="Garamond" w:hAnsi="Garamond"/>
          <w:b/>
          <w:sz w:val="24"/>
          <w:szCs w:val="24"/>
        </w:rPr>
        <w:t>Kërkesa me probabilitet të lartë për mbrojtjen e flukseve të mjeteve monetare</w:t>
      </w:r>
    </w:p>
    <w:p w14:paraId="297F024C" w14:textId="7777777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6.8.4 </w:t>
      </w:r>
      <w:r w:rsidRPr="004B4B2D">
        <w:rPr>
          <w:rFonts w:ascii="Garamond" w:hAnsi="Garamond"/>
          <w:sz w:val="24"/>
          <w:szCs w:val="24"/>
        </w:rPr>
        <w:t>Me qëllim përcaktimin nëse një transaksion parashikues (ose një përbërës i tij) është shumë i mundshëm sipas kërkesave të paragrafit 6.3.3, njësia ekonomike supozon se norma e interesit që shërben si standard krahasues (benchmark) mbi të cilën janë bazuar flukset e mjeteve monetare të mbrojtura (të cilësuara sipas kontratës ose jo) nuk ndryshon si pasojë e reformës.</w:t>
      </w:r>
    </w:p>
    <w:p w14:paraId="0887E552" w14:textId="77777777" w:rsidR="00D31AEA" w:rsidRPr="00432419" w:rsidRDefault="00D31AEA" w:rsidP="00D31AEA">
      <w:pPr>
        <w:spacing w:after="0" w:line="240" w:lineRule="auto"/>
        <w:ind w:firstLine="284"/>
        <w:jc w:val="both"/>
        <w:rPr>
          <w:rFonts w:ascii="Garamond" w:hAnsi="Garamond"/>
          <w:b/>
          <w:sz w:val="24"/>
          <w:szCs w:val="24"/>
        </w:rPr>
      </w:pPr>
      <w:r w:rsidRPr="00432419">
        <w:rPr>
          <w:rFonts w:ascii="Garamond" w:hAnsi="Garamond"/>
          <w:b/>
          <w:sz w:val="24"/>
          <w:szCs w:val="24"/>
        </w:rPr>
        <w:t xml:space="preserve">Riklasifikimi i shumës së akumuluar në rezervën mbrojtëse të fluksit monetar </w:t>
      </w:r>
    </w:p>
    <w:p w14:paraId="607527BF" w14:textId="7777777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6.8.5 </w:t>
      </w:r>
      <w:r w:rsidRPr="004B4B2D">
        <w:rPr>
          <w:rFonts w:ascii="Garamond" w:hAnsi="Garamond"/>
          <w:sz w:val="24"/>
          <w:szCs w:val="24"/>
        </w:rPr>
        <w:t>Për zbatimin e kërkesës në paragrafin 6.5.12 me qëllim përcaktimin nëse flukset monetare të ardhshme të mbrojtura pritet të ndodhin, njësia ekonomike supozon se norma e interesit që shërben si standard krahasues (benchmark) mbi të cilën janë bazuar flukset e mjeteve monetare të mbrojtura (të cilësuara sipas kontratës ose jo) nuk ndryshon si pasojë e reformës.</w:t>
      </w:r>
    </w:p>
    <w:p w14:paraId="0982A3A1" w14:textId="77777777" w:rsidR="00D31AEA" w:rsidRPr="00432419" w:rsidRDefault="00D31AEA" w:rsidP="00D31AEA">
      <w:pPr>
        <w:spacing w:after="0" w:line="240" w:lineRule="auto"/>
        <w:ind w:firstLine="284"/>
        <w:jc w:val="both"/>
        <w:rPr>
          <w:rFonts w:ascii="Garamond" w:hAnsi="Garamond"/>
          <w:b/>
          <w:sz w:val="24"/>
          <w:szCs w:val="24"/>
        </w:rPr>
      </w:pPr>
      <w:r w:rsidRPr="00432419">
        <w:rPr>
          <w:rFonts w:ascii="Garamond" w:hAnsi="Garamond"/>
          <w:b/>
          <w:sz w:val="24"/>
          <w:szCs w:val="24"/>
        </w:rPr>
        <w:t>Vlerësimi i marrëdhënies ekonomike midis elementit të mbrojtur dhe instrumentit mbrojtës</w:t>
      </w:r>
    </w:p>
    <w:p w14:paraId="73CC17C6" w14:textId="1B806F16"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6.8.6 </w:t>
      </w:r>
      <w:r w:rsidRPr="004B4B2D">
        <w:rPr>
          <w:rFonts w:ascii="Garamond" w:hAnsi="Garamond"/>
          <w:sz w:val="24"/>
          <w:szCs w:val="24"/>
        </w:rPr>
        <w:t>Për zbatimin e kërkesave në paragrafët 6.4.1(c)</w:t>
      </w:r>
      <w:r w:rsidR="008360A4">
        <w:rPr>
          <w:rFonts w:ascii="Garamond" w:hAnsi="Garamond"/>
          <w:sz w:val="24"/>
          <w:szCs w:val="24"/>
        </w:rPr>
        <w:t xml:space="preserve"> </w:t>
      </w:r>
      <w:r w:rsidRPr="004B4B2D">
        <w:rPr>
          <w:rFonts w:ascii="Garamond" w:hAnsi="Garamond"/>
          <w:sz w:val="24"/>
          <w:szCs w:val="24"/>
        </w:rPr>
        <w:t>(i) dhe B6.4.4–B6.4.6, njësia ekonomike supozon se norma e interesit që shërben si standard krahasues (benchmark) në të cilën bazohen flukset monetare të mbrojtura dhe/ose rreziku i mbrojtur (i cilësuar sipas kontratës ose jo), ose norma e interesit në të cilën bazohen flukset monetare të instrumentit mbrojtës nuk ndryshon si pasojë e reformës.</w:t>
      </w:r>
    </w:p>
    <w:p w14:paraId="77B90149" w14:textId="77777777" w:rsidR="00D31AEA" w:rsidRPr="00432419" w:rsidRDefault="00D31AEA" w:rsidP="00D31AEA">
      <w:pPr>
        <w:spacing w:after="0" w:line="240" w:lineRule="auto"/>
        <w:ind w:firstLine="284"/>
        <w:jc w:val="both"/>
        <w:rPr>
          <w:rFonts w:ascii="Garamond" w:hAnsi="Garamond"/>
          <w:b/>
          <w:sz w:val="24"/>
          <w:szCs w:val="24"/>
        </w:rPr>
      </w:pPr>
      <w:r w:rsidRPr="00432419">
        <w:rPr>
          <w:rFonts w:ascii="Garamond" w:hAnsi="Garamond"/>
          <w:b/>
          <w:sz w:val="24"/>
          <w:szCs w:val="24"/>
        </w:rPr>
        <w:t xml:space="preserve">Përcaktimi i përbërësit të një zëri si një zë i mbrojtur </w:t>
      </w:r>
    </w:p>
    <w:p w14:paraId="0F733F30" w14:textId="7777777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6.8.7 </w:t>
      </w:r>
      <w:r w:rsidRPr="004B4B2D">
        <w:rPr>
          <w:rFonts w:ascii="Garamond" w:hAnsi="Garamond"/>
          <w:sz w:val="24"/>
          <w:szCs w:val="24"/>
        </w:rPr>
        <w:t>Përveçse kur zbatohet paragrafi 6.8.8, për mbrojtjen e një përbërësi që shërben si standard krahasues (benchmark) të rrezikut të normës së interesit jo të cilësuar në kontratë, njësia ekonomike zbaton kërkesën në paragrafët 6.3.7(a) dhe B6.3.8—që përbërësi rrezik të jetë i identifikueshëm veçmas—vetëm në fillim të marrëdhënies mbrojtëse.</w:t>
      </w:r>
    </w:p>
    <w:p w14:paraId="6212EAC4" w14:textId="08DD6801" w:rsidR="00D31AEA" w:rsidRPr="001919A8" w:rsidRDefault="00D31AEA" w:rsidP="001919A8">
      <w:pPr>
        <w:spacing w:after="0" w:line="240" w:lineRule="auto"/>
        <w:ind w:firstLine="284"/>
        <w:jc w:val="both"/>
        <w:rPr>
          <w:rFonts w:ascii="Garamond" w:hAnsi="Garamond"/>
          <w:sz w:val="24"/>
          <w:szCs w:val="24"/>
        </w:rPr>
      </w:pPr>
      <w:r>
        <w:rPr>
          <w:rFonts w:ascii="Garamond" w:hAnsi="Garamond"/>
          <w:sz w:val="24"/>
          <w:szCs w:val="24"/>
        </w:rPr>
        <w:t xml:space="preserve">6.8.8 </w:t>
      </w:r>
      <w:r w:rsidRPr="004B4B2D">
        <w:rPr>
          <w:rFonts w:ascii="Garamond" w:hAnsi="Garamond"/>
          <w:sz w:val="24"/>
          <w:szCs w:val="24"/>
        </w:rPr>
        <w:t xml:space="preserve">Nëse njësia ekonomike, në përputhje me dokumentacionin e saj për mbrojtjen, rivë shpesh (dmth ndërpret dhe rifillon) një marrëdhënie mbrojtëse sepse instrumenti mbrojtës dhe zëri i mbrojtur ndryshojnë shpesh (dmth njësia ekonomike përdor një proces dinamik në të cilin si zërat e mbrojtur edhe instrumentet mbrojtës të përdorur për të menaxhuar atë ekspozim, nuk qëndrojnë gjatë të pandryshuar), njësia ekonomike zbaton kërkesën në paragrafët 6.3.7(a) dhe B6.3.8—që përbërësi rrezik është i identifikueshëm veçmas—vetëm kur fillimisht përcakton një zë të mbrojtur </w:t>
      </w:r>
      <w:r w:rsidRPr="004B4B2D">
        <w:rPr>
          <w:rFonts w:ascii="Garamond" w:hAnsi="Garamond"/>
          <w:sz w:val="24"/>
          <w:szCs w:val="24"/>
        </w:rPr>
        <w:lastRenderedPageBreak/>
        <w:t>në atë marrëdhënie mbrojtëse. Një zë i mbrojtur i vlerësuar në kohën e përcaktimit fillestar të tij në marrëdhënien mbrojtëse, pavarësisht nëse ishte koha e fillimit të mbrojtjes apo më pas, nuk rivlerësohet në asnjë ripërcaktim të mëpasshëm të së njëjtës marrëdhënie mbrojtëse.</w:t>
      </w:r>
    </w:p>
    <w:p w14:paraId="0AC54C5B" w14:textId="77777777" w:rsidR="00D31AEA" w:rsidRPr="00432419" w:rsidRDefault="00D31AEA" w:rsidP="00D31AEA">
      <w:pPr>
        <w:spacing w:after="0" w:line="240" w:lineRule="auto"/>
        <w:ind w:firstLine="284"/>
        <w:jc w:val="both"/>
        <w:rPr>
          <w:rFonts w:ascii="Garamond" w:hAnsi="Garamond"/>
          <w:b/>
          <w:sz w:val="24"/>
          <w:szCs w:val="24"/>
        </w:rPr>
      </w:pPr>
      <w:r w:rsidRPr="00432419">
        <w:rPr>
          <w:rFonts w:ascii="Garamond" w:hAnsi="Garamond"/>
          <w:b/>
          <w:sz w:val="24"/>
          <w:szCs w:val="24"/>
        </w:rPr>
        <w:t>Fundi i zbatimit</w:t>
      </w:r>
    </w:p>
    <w:p w14:paraId="4E0EE8CB" w14:textId="7777777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6.8.9 </w:t>
      </w:r>
      <w:r w:rsidRPr="004B4B2D">
        <w:rPr>
          <w:rFonts w:ascii="Garamond" w:hAnsi="Garamond"/>
          <w:sz w:val="24"/>
          <w:szCs w:val="24"/>
        </w:rPr>
        <w:t>Njësia ekonomike do të përfundojë zbatimin në prospektivë të paragrafit 6.8.4 ndaj një zëri të mbrojtur në momentin më të hershëm:</w:t>
      </w:r>
    </w:p>
    <w:p w14:paraId="2D059441" w14:textId="7777777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(a) </w:t>
      </w:r>
      <w:r w:rsidRPr="004B4B2D">
        <w:rPr>
          <w:rFonts w:ascii="Garamond" w:hAnsi="Garamond"/>
          <w:sz w:val="24"/>
          <w:szCs w:val="24"/>
        </w:rPr>
        <w:t>kur pasiguria që vjen nga reforma e normës së interesit që shërben si standard krahasues (benchmark) nuk është më e pranishme përsa i takon kohës dhe shumës së flukseve monetare të bazuara-në normën e interesit që shërben si standard krahasues (benchmark), të zërit të mbrojtur; dhe</w:t>
      </w:r>
    </w:p>
    <w:p w14:paraId="4A1559A7" w14:textId="77777777" w:rsidR="00D31AEA" w:rsidRPr="004B4B2D" w:rsidRDefault="00D31AEA" w:rsidP="00D31AEA">
      <w:pPr>
        <w:spacing w:after="0" w:line="240" w:lineRule="auto"/>
        <w:ind w:firstLine="284"/>
        <w:jc w:val="both"/>
        <w:rPr>
          <w:rFonts w:ascii="Garamond" w:hAnsi="Garamond"/>
          <w:sz w:val="24"/>
          <w:szCs w:val="24"/>
        </w:rPr>
      </w:pPr>
      <w:r w:rsidRPr="004B4B2D">
        <w:rPr>
          <w:rFonts w:ascii="Garamond" w:hAnsi="Garamond"/>
          <w:sz w:val="24"/>
          <w:szCs w:val="24"/>
        </w:rPr>
        <w:t>(b)</w:t>
      </w:r>
      <w:r w:rsidRPr="004B4B2D">
        <w:rPr>
          <w:rFonts w:ascii="Garamond" w:hAnsi="Garamond"/>
          <w:sz w:val="24"/>
          <w:szCs w:val="24"/>
        </w:rPr>
        <w:tab/>
        <w:t>kur ndërpritet marrëdhënia mbrojtëse, në të cilën merr pjesë zëri i mbrojtur.</w:t>
      </w:r>
    </w:p>
    <w:p w14:paraId="301D45EB" w14:textId="7777777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6.8.10 </w:t>
      </w:r>
      <w:r w:rsidRPr="004B4B2D">
        <w:rPr>
          <w:rFonts w:ascii="Garamond" w:hAnsi="Garamond"/>
          <w:sz w:val="24"/>
          <w:szCs w:val="24"/>
        </w:rPr>
        <w:t>Njësia ekonomike përfundon zbatimin në prospektivë të paragrafit 6.8.5 në momentin më të hershëm:</w:t>
      </w:r>
    </w:p>
    <w:p w14:paraId="6E101193" w14:textId="7777777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(a) </w:t>
      </w:r>
      <w:r w:rsidRPr="004B4B2D">
        <w:rPr>
          <w:rFonts w:ascii="Garamond" w:hAnsi="Garamond"/>
          <w:sz w:val="24"/>
          <w:szCs w:val="24"/>
        </w:rPr>
        <w:t>kur pasiguria që vjen nga reforma e normës së interesit që shërben si standard krahasues (benchmark) nuk është më e pranishme përsa i takon kohës dhe shumës së flukseve monetare të ardhshme të bazuara-në normën e interesit që shërben si standard krahasues (benchmark), të zërit të mbrojtur; dhe</w:t>
      </w:r>
    </w:p>
    <w:p w14:paraId="797F1FFF" w14:textId="5D83C60E" w:rsidR="00D31AEA" w:rsidRPr="004B4B2D" w:rsidRDefault="001919A8" w:rsidP="00D31AEA">
      <w:pPr>
        <w:spacing w:after="0" w:line="240" w:lineRule="auto"/>
        <w:ind w:firstLine="284"/>
        <w:jc w:val="both"/>
        <w:rPr>
          <w:rFonts w:ascii="Garamond" w:hAnsi="Garamond"/>
          <w:sz w:val="24"/>
          <w:szCs w:val="24"/>
        </w:rPr>
      </w:pPr>
      <w:r>
        <w:rPr>
          <w:rFonts w:ascii="Garamond" w:hAnsi="Garamond"/>
          <w:sz w:val="24"/>
          <w:szCs w:val="24"/>
        </w:rPr>
        <w:t>(b)</w:t>
      </w:r>
      <w:r w:rsidR="00D31AEA">
        <w:rPr>
          <w:rFonts w:ascii="Garamond" w:hAnsi="Garamond"/>
          <w:sz w:val="24"/>
          <w:szCs w:val="24"/>
        </w:rPr>
        <w:t xml:space="preserve"> </w:t>
      </w:r>
      <w:r w:rsidR="00D31AEA" w:rsidRPr="004B4B2D">
        <w:rPr>
          <w:rFonts w:ascii="Garamond" w:hAnsi="Garamond"/>
          <w:sz w:val="24"/>
          <w:szCs w:val="24"/>
        </w:rPr>
        <w:t>kur e gjithë shuma e akumuluar e rezervës së flukseve monetare të mbrojtura të lidhura me atë marrëdhënie mbrojtëse të ndërprerë, riklasifikohet në fitim ose humbje.</w:t>
      </w:r>
    </w:p>
    <w:p w14:paraId="1CFB738C" w14:textId="7777777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6.8.11 </w:t>
      </w:r>
      <w:r w:rsidRPr="004B4B2D">
        <w:rPr>
          <w:rFonts w:ascii="Garamond" w:hAnsi="Garamond"/>
          <w:sz w:val="24"/>
          <w:szCs w:val="24"/>
        </w:rPr>
        <w:t>Njësia ekonomike përfundon zbatimin në prospektivë të paragrafit 6.8.6:</w:t>
      </w:r>
    </w:p>
    <w:p w14:paraId="758C89B6" w14:textId="7777777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(a) </w:t>
      </w:r>
      <w:r w:rsidRPr="004B4B2D">
        <w:rPr>
          <w:rFonts w:ascii="Garamond" w:hAnsi="Garamond"/>
          <w:sz w:val="24"/>
          <w:szCs w:val="24"/>
        </w:rPr>
        <w:t>ndaj një zëri të mbrojtur, kur pasiguria që vjen nga reforma e normës së interesit që shërben si standard krahasues (benchmark) nuk është më e pranishme përsa i takon rrezikut të mbrojtur ose kohës dhe shumës së flukseve monetare të bazuara-në normën e interesit që shërben si standard krahasues (benchmark), të zërit të mbrojtur; dhe</w:t>
      </w:r>
    </w:p>
    <w:p w14:paraId="2B8C12BD" w14:textId="77777777" w:rsidR="00D31AEA" w:rsidRPr="004B4B2D" w:rsidRDefault="00D31AEA" w:rsidP="00D31AEA">
      <w:pPr>
        <w:spacing w:after="0" w:line="240" w:lineRule="auto"/>
        <w:ind w:firstLine="284"/>
        <w:jc w:val="both"/>
        <w:rPr>
          <w:rFonts w:ascii="Garamond" w:hAnsi="Garamond"/>
          <w:sz w:val="24"/>
          <w:szCs w:val="24"/>
        </w:rPr>
      </w:pPr>
      <w:r w:rsidRPr="004B4B2D">
        <w:rPr>
          <w:rFonts w:ascii="Garamond" w:hAnsi="Garamond"/>
          <w:sz w:val="24"/>
          <w:szCs w:val="24"/>
        </w:rPr>
        <w:t>(b)</w:t>
      </w:r>
      <w:r>
        <w:rPr>
          <w:rFonts w:ascii="Garamond" w:hAnsi="Garamond"/>
          <w:sz w:val="24"/>
          <w:szCs w:val="24"/>
        </w:rPr>
        <w:t xml:space="preserve"> </w:t>
      </w:r>
      <w:r w:rsidRPr="004B4B2D">
        <w:rPr>
          <w:rFonts w:ascii="Garamond" w:hAnsi="Garamond"/>
          <w:sz w:val="24"/>
          <w:szCs w:val="24"/>
        </w:rPr>
        <w:t xml:space="preserve">ndaj një instrumenti mbrojtës, kur pasiguria që vjen nga reforma e normës së interesit që shërben si standard krahasues (benchmark) nuk është më e pranishme përsa i takon kohës dhe shumës së flukseve monetare të bazuara-në normën e interesit që shërben si standard krahasues (benchmark), të instrumentit mbrojtës. </w:t>
      </w:r>
    </w:p>
    <w:p w14:paraId="37B7ADCF" w14:textId="77777777" w:rsidR="00D31AEA" w:rsidRPr="004B4B2D" w:rsidRDefault="00D31AEA" w:rsidP="00D31AEA">
      <w:pPr>
        <w:spacing w:after="0" w:line="240" w:lineRule="auto"/>
        <w:ind w:firstLine="284"/>
        <w:jc w:val="both"/>
        <w:rPr>
          <w:rFonts w:ascii="Garamond" w:hAnsi="Garamond"/>
          <w:sz w:val="24"/>
          <w:szCs w:val="24"/>
        </w:rPr>
      </w:pPr>
      <w:r w:rsidRPr="004B4B2D">
        <w:rPr>
          <w:rFonts w:ascii="Garamond" w:hAnsi="Garamond"/>
          <w:sz w:val="24"/>
          <w:szCs w:val="24"/>
        </w:rPr>
        <w:t>Nëse marrëdhënia mbrojtëse, në të cilën marrin pjesë zëri i mbrojtur dhe instrumenti mbrojtës, ndërpritet më herët se data e cilësuar në paragrafin 6.8.11(a) ose se data e cilësuar në paragrafin 6.8.11(b), njësia ekonomike do të përfundojë zbatimin në prospektivë të paragrafit 6.8.6 ndaj asaj marrëdhënieje mbrojtëse në atë datë ndërprerjeje.</w:t>
      </w:r>
    </w:p>
    <w:p w14:paraId="1C93AD2D" w14:textId="7777777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6.8.12 </w:t>
      </w:r>
      <w:r w:rsidRPr="004B4B2D">
        <w:rPr>
          <w:rFonts w:ascii="Garamond" w:hAnsi="Garamond"/>
          <w:sz w:val="24"/>
          <w:szCs w:val="24"/>
        </w:rPr>
        <w:t xml:space="preserve">Kur përcakton një grup zërash si zë të mbrojtur, ose një kombinim të instrumenteve financiarë si instrument mbrojtës, njësia ekonomike përfundon zbatimin në prospektivë të paragrafëve 6.8.4–6.8.6 ndaj një zëri individual ose ndaj një instrumenti financiar në përputhje me paragrafët 6.8.9, 6.8.10, ose 6.8.11, sipas nevojës, kur pasiguria që vjen nga reforma e normës së interesit që shërben si standard krahasues (benchmark) nuk është më e pranishme përsa i takon rrezikut të mbrojtur dhe/ose kohës dhe shumës së flukseve monetare të bazuara-në normën e interesit që shërben si standard krahasues (benchmark), të atij zëri apo atij instrumenti financiar. </w:t>
      </w:r>
    </w:p>
    <w:p w14:paraId="68675C0E" w14:textId="77777777" w:rsidR="00D31AEA" w:rsidRPr="00432419" w:rsidRDefault="00D31AEA" w:rsidP="00D31AEA">
      <w:pPr>
        <w:spacing w:after="0" w:line="240" w:lineRule="auto"/>
        <w:ind w:firstLine="284"/>
        <w:jc w:val="both"/>
        <w:rPr>
          <w:rFonts w:ascii="Garamond" w:hAnsi="Garamond"/>
          <w:b/>
          <w:sz w:val="24"/>
          <w:szCs w:val="24"/>
        </w:rPr>
      </w:pPr>
      <w:r w:rsidRPr="00432419">
        <w:rPr>
          <w:rFonts w:ascii="Garamond" w:hAnsi="Garamond"/>
          <w:b/>
          <w:sz w:val="24"/>
          <w:szCs w:val="24"/>
        </w:rPr>
        <w:t>Kapitulli 7 Data e hyrjes në fuqi dhe periudha kalimtare</w:t>
      </w:r>
    </w:p>
    <w:p w14:paraId="60437494" w14:textId="77777777" w:rsidR="00D31AEA" w:rsidRPr="00432419" w:rsidRDefault="00D31AEA" w:rsidP="00D31AEA">
      <w:pPr>
        <w:spacing w:after="0" w:line="240" w:lineRule="auto"/>
        <w:ind w:firstLine="284"/>
        <w:jc w:val="both"/>
        <w:rPr>
          <w:rFonts w:ascii="Garamond" w:hAnsi="Garamond"/>
          <w:b/>
          <w:sz w:val="24"/>
          <w:szCs w:val="24"/>
        </w:rPr>
      </w:pPr>
      <w:r w:rsidRPr="00432419">
        <w:rPr>
          <w:rFonts w:ascii="Garamond" w:hAnsi="Garamond"/>
          <w:b/>
          <w:sz w:val="24"/>
          <w:szCs w:val="24"/>
        </w:rPr>
        <w:t xml:space="preserve">7.1 Data e hyrjes në fuqi </w:t>
      </w:r>
    </w:p>
    <w:p w14:paraId="16DC3666" w14:textId="77777777" w:rsidR="00D31AEA" w:rsidRPr="004B4B2D" w:rsidRDefault="00D31AEA" w:rsidP="00D31AEA">
      <w:pPr>
        <w:spacing w:after="0" w:line="240" w:lineRule="auto"/>
        <w:ind w:firstLine="284"/>
        <w:jc w:val="both"/>
        <w:rPr>
          <w:rFonts w:ascii="Garamond" w:hAnsi="Garamond"/>
          <w:sz w:val="24"/>
          <w:szCs w:val="24"/>
        </w:rPr>
      </w:pPr>
      <w:r w:rsidRPr="004B4B2D">
        <w:rPr>
          <w:rFonts w:ascii="Garamond" w:hAnsi="Garamond"/>
          <w:sz w:val="24"/>
          <w:szCs w:val="24"/>
        </w:rPr>
        <w:t>...</w:t>
      </w:r>
    </w:p>
    <w:p w14:paraId="191F985C" w14:textId="7777777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7.1.8 </w:t>
      </w:r>
      <w:r w:rsidRPr="00432419">
        <w:rPr>
          <w:rFonts w:ascii="Garamond" w:hAnsi="Garamond"/>
          <w:i/>
          <w:sz w:val="24"/>
          <w:szCs w:val="24"/>
        </w:rPr>
        <w:t>Reforma e Normës së Interesit që Shërben si Standard Krahasues (Benchmark),</w:t>
      </w:r>
      <w:r w:rsidRPr="004B4B2D">
        <w:rPr>
          <w:rFonts w:ascii="Garamond" w:hAnsi="Garamond"/>
          <w:sz w:val="24"/>
          <w:szCs w:val="24"/>
        </w:rPr>
        <w:t xml:space="preserve"> që ndryshoi SNRF 9, SNK 39 dhe SNRF 7, i publikuar në Shtator 2019, shtoi Seksionin 6.8 dhe ndryshoi paragrafin 7.2.26. Njësia ekonomike i zbaton këto ndryshime për periudhat vjetore që fillojnë më 1 Janar 2020 ose më pas. Lejohet zbatimi përpara kësaj date. Nëse njësia ekonomike i zbaton këto ndryshime për një periudhë më të hershme, ajo do të japë informacione shpjeguese për këtë fakt.</w:t>
      </w:r>
    </w:p>
    <w:p w14:paraId="685BE562" w14:textId="77777777" w:rsidR="00C41024" w:rsidRDefault="00C41024" w:rsidP="00D31AEA">
      <w:pPr>
        <w:spacing w:after="0" w:line="240" w:lineRule="auto"/>
        <w:ind w:firstLine="284"/>
        <w:jc w:val="both"/>
        <w:rPr>
          <w:rFonts w:ascii="Garamond" w:hAnsi="Garamond"/>
          <w:b/>
          <w:sz w:val="24"/>
          <w:szCs w:val="24"/>
        </w:rPr>
      </w:pPr>
    </w:p>
    <w:p w14:paraId="6C24C8D3" w14:textId="77777777" w:rsidR="00D31AEA" w:rsidRPr="00432419" w:rsidRDefault="00D31AEA" w:rsidP="00D31AEA">
      <w:pPr>
        <w:spacing w:after="0" w:line="240" w:lineRule="auto"/>
        <w:ind w:firstLine="284"/>
        <w:jc w:val="both"/>
        <w:rPr>
          <w:rFonts w:ascii="Garamond" w:hAnsi="Garamond"/>
          <w:b/>
          <w:sz w:val="24"/>
          <w:szCs w:val="24"/>
        </w:rPr>
      </w:pPr>
      <w:r w:rsidRPr="00432419">
        <w:rPr>
          <w:rFonts w:ascii="Garamond" w:hAnsi="Garamond"/>
          <w:b/>
          <w:sz w:val="24"/>
          <w:szCs w:val="24"/>
        </w:rPr>
        <w:lastRenderedPageBreak/>
        <w:t>7.2 Periudha kalimtare</w:t>
      </w:r>
    </w:p>
    <w:p w14:paraId="5A394AD3" w14:textId="77777777" w:rsidR="00D31AEA" w:rsidRPr="004B4B2D" w:rsidRDefault="00D31AEA" w:rsidP="00D31AEA">
      <w:pPr>
        <w:spacing w:after="0" w:line="240" w:lineRule="auto"/>
        <w:ind w:firstLine="284"/>
        <w:jc w:val="both"/>
        <w:rPr>
          <w:rFonts w:ascii="Garamond" w:hAnsi="Garamond"/>
          <w:sz w:val="24"/>
          <w:szCs w:val="24"/>
        </w:rPr>
      </w:pPr>
      <w:r w:rsidRPr="004B4B2D">
        <w:rPr>
          <w:rFonts w:ascii="Garamond" w:hAnsi="Garamond"/>
          <w:sz w:val="24"/>
          <w:szCs w:val="24"/>
        </w:rPr>
        <w:t>...</w:t>
      </w:r>
    </w:p>
    <w:p w14:paraId="62F86A60" w14:textId="77777777" w:rsidR="00D31AEA" w:rsidRPr="00432419" w:rsidRDefault="00D31AEA" w:rsidP="00D31AEA">
      <w:pPr>
        <w:spacing w:after="0" w:line="240" w:lineRule="auto"/>
        <w:ind w:firstLine="284"/>
        <w:jc w:val="both"/>
        <w:rPr>
          <w:rFonts w:ascii="Garamond" w:hAnsi="Garamond"/>
          <w:b/>
          <w:sz w:val="24"/>
          <w:szCs w:val="24"/>
        </w:rPr>
      </w:pPr>
      <w:r w:rsidRPr="00432419">
        <w:rPr>
          <w:rFonts w:ascii="Garamond" w:hAnsi="Garamond"/>
          <w:b/>
          <w:sz w:val="24"/>
          <w:szCs w:val="24"/>
        </w:rPr>
        <w:t>Periudha kalimtare për kontabilitetin mbrojtës (Kapitulli 6)</w:t>
      </w:r>
    </w:p>
    <w:p w14:paraId="6F15CA07" w14:textId="77777777" w:rsidR="00D31AEA" w:rsidRPr="004B4B2D" w:rsidRDefault="00D31AEA" w:rsidP="00D31AEA">
      <w:pPr>
        <w:spacing w:after="0" w:line="240" w:lineRule="auto"/>
        <w:ind w:firstLine="284"/>
        <w:jc w:val="both"/>
        <w:rPr>
          <w:rFonts w:ascii="Garamond" w:hAnsi="Garamond"/>
          <w:sz w:val="24"/>
          <w:szCs w:val="24"/>
        </w:rPr>
      </w:pPr>
      <w:r w:rsidRPr="004B4B2D">
        <w:rPr>
          <w:rFonts w:ascii="Garamond" w:hAnsi="Garamond"/>
          <w:sz w:val="24"/>
          <w:szCs w:val="24"/>
        </w:rPr>
        <w:t>...</w:t>
      </w:r>
    </w:p>
    <w:p w14:paraId="31F450A0" w14:textId="7777777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7.2.26 </w:t>
      </w:r>
      <w:r w:rsidRPr="004B4B2D">
        <w:rPr>
          <w:rFonts w:ascii="Garamond" w:hAnsi="Garamond"/>
          <w:sz w:val="24"/>
          <w:szCs w:val="24"/>
        </w:rPr>
        <w:t>Si përjashtim për zbatimin në prospektivë të kërkesave të kontabilitetit mbrojtës të këtij Standardi, njësia ekonomike:</w:t>
      </w:r>
    </w:p>
    <w:p w14:paraId="04C5DB20" w14:textId="77777777" w:rsidR="00D31AEA" w:rsidRPr="004B4B2D" w:rsidRDefault="00D31AEA" w:rsidP="00D31AEA">
      <w:pPr>
        <w:spacing w:after="0" w:line="240" w:lineRule="auto"/>
        <w:ind w:firstLine="284"/>
        <w:jc w:val="both"/>
        <w:rPr>
          <w:rFonts w:ascii="Garamond" w:hAnsi="Garamond"/>
          <w:sz w:val="24"/>
          <w:szCs w:val="24"/>
        </w:rPr>
      </w:pPr>
      <w:r w:rsidRPr="004B4B2D">
        <w:rPr>
          <w:rFonts w:ascii="Garamond" w:hAnsi="Garamond"/>
          <w:sz w:val="24"/>
          <w:szCs w:val="24"/>
        </w:rPr>
        <w:t>...</w:t>
      </w:r>
    </w:p>
    <w:p w14:paraId="35741BAA" w14:textId="23520006" w:rsidR="00D31AEA" w:rsidRPr="00432419" w:rsidRDefault="00D31AEA" w:rsidP="00D31AEA">
      <w:pPr>
        <w:spacing w:after="0" w:line="240" w:lineRule="auto"/>
        <w:ind w:firstLine="284"/>
        <w:jc w:val="both"/>
        <w:rPr>
          <w:rFonts w:ascii="Garamond" w:hAnsi="Garamond"/>
          <w:sz w:val="24"/>
          <w:szCs w:val="24"/>
          <w:u w:val="single"/>
        </w:rPr>
      </w:pPr>
      <w:r w:rsidRPr="00432419">
        <w:rPr>
          <w:rFonts w:ascii="Garamond" w:hAnsi="Garamond"/>
          <w:sz w:val="24"/>
          <w:szCs w:val="24"/>
          <w:u w:val="single"/>
        </w:rPr>
        <w:t>(d) zbaton kërkesat në Seksionin 6.8 në mënyrë retrospektive. Ky zbatim në retrospektivë vlen vetëm për ato marrëdhënie mbrojtëse që ekzistonin në fillim të periudhës raportuese në të cilën njësia ekonomike zbaton për herë të parë këto kërkesa ose që ishin përcaktuar pas kësaj, si dhe ndaj shumës së akumuluar në rezervën e flukseve monetare të mbrojtura që ekzistonte në fillim të periudhës raportuese në të cilën njësia ekonomike fillimisht zbaton këto kërkesa.</w:t>
      </w:r>
    </w:p>
    <w:p w14:paraId="425615B6" w14:textId="77777777" w:rsidR="00D31AEA" w:rsidRPr="004B4B2D" w:rsidRDefault="00D31AEA" w:rsidP="00D31AEA">
      <w:pPr>
        <w:spacing w:after="0" w:line="240" w:lineRule="auto"/>
        <w:ind w:firstLine="284"/>
        <w:jc w:val="both"/>
        <w:rPr>
          <w:rFonts w:ascii="Garamond" w:hAnsi="Garamond"/>
          <w:sz w:val="24"/>
          <w:szCs w:val="24"/>
        </w:rPr>
      </w:pPr>
    </w:p>
    <w:p w14:paraId="7B8BAF7F" w14:textId="77777777" w:rsidR="00D31AEA" w:rsidRPr="00432419" w:rsidRDefault="00D31AEA" w:rsidP="00D31AEA">
      <w:pPr>
        <w:spacing w:after="0" w:line="240" w:lineRule="auto"/>
        <w:ind w:firstLine="284"/>
        <w:jc w:val="both"/>
        <w:rPr>
          <w:rFonts w:ascii="Garamond" w:hAnsi="Garamond"/>
          <w:b/>
          <w:sz w:val="24"/>
          <w:szCs w:val="24"/>
        </w:rPr>
      </w:pPr>
      <w:r w:rsidRPr="00432419">
        <w:rPr>
          <w:rFonts w:ascii="Garamond" w:hAnsi="Garamond"/>
          <w:b/>
          <w:sz w:val="24"/>
          <w:szCs w:val="24"/>
        </w:rPr>
        <w:t>Ndryshimet në SNK 39 Instrumentet Financiare: Njohja dhe Matja</w:t>
      </w:r>
    </w:p>
    <w:p w14:paraId="38D886CF" w14:textId="77777777" w:rsidR="00D31AEA" w:rsidRPr="004B4B2D" w:rsidRDefault="00D31AEA" w:rsidP="00D31AEA">
      <w:pPr>
        <w:spacing w:after="0" w:line="240" w:lineRule="auto"/>
        <w:ind w:firstLine="284"/>
        <w:jc w:val="both"/>
        <w:rPr>
          <w:rFonts w:ascii="Garamond" w:hAnsi="Garamond"/>
          <w:sz w:val="24"/>
          <w:szCs w:val="24"/>
        </w:rPr>
      </w:pPr>
    </w:p>
    <w:tbl>
      <w:tblPr>
        <w:tblW w:w="0" w:type="auto"/>
        <w:tblBorders>
          <w:top w:val="single" w:sz="0" w:space="0" w:color="auto"/>
          <w:left w:val="single" w:sz="0" w:space="0" w:color="auto"/>
          <w:bottom w:val="single" w:sz="0" w:space="0" w:color="auto"/>
          <w:right w:val="single" w:sz="0" w:space="0" w:color="auto"/>
        </w:tblBorders>
        <w:tblLook w:val="04A0" w:firstRow="1" w:lastRow="0" w:firstColumn="1" w:lastColumn="0" w:noHBand="0" w:noVBand="1"/>
      </w:tblPr>
      <w:tblGrid>
        <w:gridCol w:w="9576"/>
      </w:tblGrid>
      <w:tr w:rsidR="00D31AEA" w:rsidRPr="004B4B2D" w14:paraId="74244902" w14:textId="77777777" w:rsidTr="008360A4">
        <w:trPr>
          <w:trHeight w:val="842"/>
        </w:trPr>
        <w:tc>
          <w:tcPr>
            <w:tcW w:w="50" w:type="pct"/>
            <w:tcBorders>
              <w:bottom w:val="single" w:sz="0" w:space="0" w:color="auto"/>
              <w:right w:val="single" w:sz="0" w:space="0" w:color="auto"/>
            </w:tcBorders>
          </w:tcPr>
          <w:p w14:paraId="65B88DC9" w14:textId="77777777" w:rsidR="00D31AEA" w:rsidRPr="004B4B2D" w:rsidRDefault="00D31AEA" w:rsidP="008360A4">
            <w:pPr>
              <w:spacing w:after="0" w:line="240" w:lineRule="auto"/>
              <w:jc w:val="both"/>
              <w:rPr>
                <w:rFonts w:ascii="Garamond" w:hAnsi="Garamond"/>
                <w:sz w:val="24"/>
                <w:szCs w:val="24"/>
              </w:rPr>
            </w:pPr>
            <w:r w:rsidRPr="004B4B2D">
              <w:rPr>
                <w:rFonts w:ascii="Garamond" w:hAnsi="Garamond"/>
                <w:sz w:val="24"/>
                <w:szCs w:val="24"/>
              </w:rPr>
              <w:t>Janë shtuar paragrafët 102A–102N dhe 108G. Para paragrafit 102A shtohet një titull i ri. Para paragrafëve 102D, 102E, 102F, 102H dhe 102J janë shtuar nëntituj të rinj. Për lehtësi në lexim, këta paragrafë nuk janë nënvizuar.</w:t>
            </w:r>
          </w:p>
        </w:tc>
      </w:tr>
    </w:tbl>
    <w:p w14:paraId="2F11CEA2" w14:textId="77777777" w:rsidR="00D31AEA" w:rsidRPr="004B4B2D" w:rsidRDefault="00D31AEA" w:rsidP="00D31AEA">
      <w:pPr>
        <w:spacing w:after="0" w:line="240" w:lineRule="auto"/>
        <w:ind w:firstLine="284"/>
        <w:jc w:val="both"/>
        <w:rPr>
          <w:rFonts w:ascii="Garamond" w:hAnsi="Garamond"/>
          <w:sz w:val="24"/>
          <w:szCs w:val="24"/>
        </w:rPr>
      </w:pPr>
    </w:p>
    <w:p w14:paraId="5930EEE6" w14:textId="77777777" w:rsidR="00D31AEA" w:rsidRPr="00432419" w:rsidRDefault="00D31AEA" w:rsidP="00D31AEA">
      <w:pPr>
        <w:spacing w:after="0" w:line="240" w:lineRule="auto"/>
        <w:ind w:firstLine="284"/>
        <w:jc w:val="both"/>
        <w:rPr>
          <w:rFonts w:ascii="Garamond" w:hAnsi="Garamond"/>
          <w:b/>
          <w:sz w:val="24"/>
          <w:szCs w:val="24"/>
        </w:rPr>
      </w:pPr>
      <w:r w:rsidRPr="00432419">
        <w:rPr>
          <w:rFonts w:ascii="Garamond" w:hAnsi="Garamond"/>
          <w:b/>
          <w:sz w:val="24"/>
          <w:szCs w:val="24"/>
        </w:rPr>
        <w:t>Mbrojtja</w:t>
      </w:r>
    </w:p>
    <w:p w14:paraId="4549C36C" w14:textId="77777777" w:rsidR="00D31AEA" w:rsidRPr="004B4B2D" w:rsidRDefault="00D31AEA" w:rsidP="00D31AEA">
      <w:pPr>
        <w:spacing w:after="0" w:line="240" w:lineRule="auto"/>
        <w:ind w:firstLine="284"/>
        <w:jc w:val="both"/>
        <w:rPr>
          <w:rFonts w:ascii="Garamond" w:hAnsi="Garamond"/>
          <w:sz w:val="24"/>
          <w:szCs w:val="24"/>
        </w:rPr>
      </w:pPr>
      <w:r w:rsidRPr="004B4B2D">
        <w:rPr>
          <w:rFonts w:ascii="Garamond" w:hAnsi="Garamond"/>
          <w:sz w:val="24"/>
          <w:szCs w:val="24"/>
        </w:rPr>
        <w:t>...</w:t>
      </w:r>
    </w:p>
    <w:p w14:paraId="39DAE638" w14:textId="77777777" w:rsidR="00D31AEA" w:rsidRPr="00432419" w:rsidRDefault="00D31AEA" w:rsidP="00D31AEA">
      <w:pPr>
        <w:spacing w:after="0" w:line="240" w:lineRule="auto"/>
        <w:ind w:firstLine="284"/>
        <w:jc w:val="both"/>
        <w:rPr>
          <w:rFonts w:ascii="Garamond" w:hAnsi="Garamond"/>
          <w:b/>
          <w:sz w:val="24"/>
          <w:szCs w:val="24"/>
        </w:rPr>
      </w:pPr>
      <w:r w:rsidRPr="00432419">
        <w:rPr>
          <w:rFonts w:ascii="Garamond" w:hAnsi="Garamond"/>
          <w:b/>
          <w:sz w:val="24"/>
          <w:szCs w:val="24"/>
        </w:rPr>
        <w:t>Përjashtime të përkohshme nga zbatimi i kërkesave specifike të kontabilitetit mbrojtës</w:t>
      </w:r>
    </w:p>
    <w:p w14:paraId="1DBEBFF9" w14:textId="7777777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102A </w:t>
      </w:r>
      <w:r w:rsidRPr="004B4B2D">
        <w:rPr>
          <w:rFonts w:ascii="Garamond" w:hAnsi="Garamond"/>
          <w:sz w:val="24"/>
          <w:szCs w:val="24"/>
        </w:rPr>
        <w:t>Një njësi ekonomike zbaton paragrafët 102D–102N dhe 108G ndaj të gjitha marrëdhënieve mbrojtëse të prekura drejtpërdrejt nga reforma e normës së interesit që shërben si standard krahasues (benchmark). Këta paragrafë janë të zbatueshëm vetëm për marrëdhënie mbrojtëse të tilla. Një marrëdhënie mbrojtëse preket drejtpërdrejt nga reforma e normës së interesit që shërben si standard krahasues (benchmark) vetëm nëse reforma sjell pasiguri rreth:</w:t>
      </w:r>
    </w:p>
    <w:p w14:paraId="39D76DD4" w14:textId="7777777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(a) </w:t>
      </w:r>
      <w:r w:rsidRPr="004B4B2D">
        <w:rPr>
          <w:rFonts w:ascii="Garamond" w:hAnsi="Garamond"/>
          <w:sz w:val="24"/>
          <w:szCs w:val="24"/>
        </w:rPr>
        <w:t>normës së interesit që shërben si standard krahasues (benchmark), (të cilësuar sipas kontratës ose jo) të përcaktuar si rreziku i mbrojtur; dhe/ose</w:t>
      </w:r>
    </w:p>
    <w:p w14:paraId="189D249A" w14:textId="77777777" w:rsidR="00D31AEA" w:rsidRPr="004B4B2D" w:rsidRDefault="00D31AEA" w:rsidP="00D31AEA">
      <w:pPr>
        <w:spacing w:after="0" w:line="240" w:lineRule="auto"/>
        <w:ind w:firstLine="284"/>
        <w:jc w:val="both"/>
        <w:rPr>
          <w:rFonts w:ascii="Garamond" w:hAnsi="Garamond"/>
          <w:sz w:val="24"/>
          <w:szCs w:val="24"/>
        </w:rPr>
      </w:pPr>
      <w:r w:rsidRPr="004B4B2D">
        <w:rPr>
          <w:rFonts w:ascii="Garamond" w:hAnsi="Garamond"/>
          <w:sz w:val="24"/>
          <w:szCs w:val="24"/>
        </w:rPr>
        <w:t>(b)</w:t>
      </w:r>
      <w:r w:rsidRPr="004B4B2D">
        <w:rPr>
          <w:rFonts w:ascii="Garamond" w:hAnsi="Garamond"/>
          <w:sz w:val="24"/>
          <w:szCs w:val="24"/>
        </w:rPr>
        <w:tab/>
      </w:r>
      <w:r>
        <w:rPr>
          <w:rFonts w:ascii="Garamond" w:hAnsi="Garamond"/>
          <w:sz w:val="24"/>
          <w:szCs w:val="24"/>
        </w:rPr>
        <w:t xml:space="preserve"> </w:t>
      </w:r>
      <w:r w:rsidRPr="004B4B2D">
        <w:rPr>
          <w:rFonts w:ascii="Garamond" w:hAnsi="Garamond"/>
          <w:sz w:val="24"/>
          <w:szCs w:val="24"/>
        </w:rPr>
        <w:t>kohës ose shumës së flukseve monetare të bazuara-në normën e interesit që shërben si standard krahasues (benchmark), të zërit të mbrojtur ose të instrumentit mbrojtës.</w:t>
      </w:r>
    </w:p>
    <w:p w14:paraId="5F91DF77" w14:textId="77777777" w:rsidR="00D31AEA" w:rsidRPr="00432419" w:rsidRDefault="00D31AEA" w:rsidP="00D31AEA">
      <w:pPr>
        <w:spacing w:after="0" w:line="240" w:lineRule="auto"/>
        <w:ind w:firstLine="284"/>
        <w:jc w:val="both"/>
        <w:rPr>
          <w:rFonts w:ascii="Garamond" w:hAnsi="Garamond"/>
          <w:sz w:val="24"/>
          <w:szCs w:val="24"/>
          <w:vertAlign w:val="superscript"/>
        </w:rPr>
      </w:pPr>
      <w:r>
        <w:rPr>
          <w:rFonts w:ascii="Garamond" w:hAnsi="Garamond"/>
          <w:sz w:val="24"/>
          <w:szCs w:val="24"/>
        </w:rPr>
        <w:t xml:space="preserve">102B </w:t>
      </w:r>
      <w:r w:rsidRPr="004B4B2D">
        <w:rPr>
          <w:rFonts w:ascii="Garamond" w:hAnsi="Garamond"/>
          <w:sz w:val="24"/>
          <w:szCs w:val="24"/>
        </w:rPr>
        <w:t>Me qëllim zbatimin e paragrafëve 102D–102N, termi ‘reforma e normës së interesit që shërben si standard krahasues (benchmark)’ i referohet reformës së mbarë tregut të një norme interesi që shërben si standard krahasues (benchmark), duke përfshirë zëvendësimin e një norme interesi që shërben si standard krahasues (benchmark) me një normë alternative të tillë si ajo që rezulton nga rekomandimet e paraqitura në raportin e Korrikut 2014 ‘Reformimi i Normave Kryesore të Interesit që Shërbejnë si Standard Krahasues (Benchmark)’ të Bordit të Stabilitetit Financiar</w:t>
      </w:r>
      <w:r w:rsidRPr="00432419">
        <w:rPr>
          <w:rFonts w:ascii="Garamond" w:hAnsi="Garamond"/>
          <w:sz w:val="24"/>
          <w:szCs w:val="24"/>
          <w:vertAlign w:val="superscript"/>
        </w:rPr>
        <w:t>.</w:t>
      </w:r>
      <w:r w:rsidRPr="00432419">
        <w:rPr>
          <w:rFonts w:ascii="Garamond" w:hAnsi="Garamond"/>
          <w:sz w:val="24"/>
          <w:szCs w:val="24"/>
          <w:vertAlign w:val="superscript"/>
        </w:rPr>
        <w:footnoteReference w:id="3"/>
      </w:r>
    </w:p>
    <w:p w14:paraId="7A36C8EB" w14:textId="7777777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102C </w:t>
      </w:r>
      <w:r w:rsidRPr="004B4B2D">
        <w:rPr>
          <w:rFonts w:ascii="Garamond" w:hAnsi="Garamond"/>
          <w:sz w:val="24"/>
          <w:szCs w:val="24"/>
        </w:rPr>
        <w:t>Paragrafët 102D–102N ofrojnë përjashtime vetëm për kërkesat e cilësuara në këta paragrafë. Njësia ekonomike do të vazhdojë të zbatojë të gjitha kërkesat e tjera të kontabilitetit mbrojtës për marrëdhëniet mbrojtëse të prekura drejtpërdrejt nga reforma e normës së interesit që shërben si standard krahasues (benchmark).</w:t>
      </w:r>
    </w:p>
    <w:p w14:paraId="22C6E6C5" w14:textId="77777777" w:rsidR="00D31AEA" w:rsidRPr="008A66FC" w:rsidRDefault="00D31AEA" w:rsidP="00D31AEA">
      <w:pPr>
        <w:spacing w:after="0" w:line="240" w:lineRule="auto"/>
        <w:ind w:firstLine="284"/>
        <w:jc w:val="both"/>
        <w:rPr>
          <w:rFonts w:ascii="Garamond" w:hAnsi="Garamond"/>
          <w:b/>
          <w:sz w:val="24"/>
          <w:szCs w:val="24"/>
        </w:rPr>
      </w:pPr>
      <w:r w:rsidRPr="008A66FC">
        <w:rPr>
          <w:rFonts w:ascii="Garamond" w:hAnsi="Garamond"/>
          <w:b/>
          <w:sz w:val="24"/>
          <w:szCs w:val="24"/>
        </w:rPr>
        <w:t>Kërkesa me probabilitet më të lartë për flukset e mjeteve monetare të mbrojtura</w:t>
      </w:r>
    </w:p>
    <w:p w14:paraId="438FCFBC" w14:textId="7777777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102D </w:t>
      </w:r>
      <w:r w:rsidRPr="004B4B2D">
        <w:rPr>
          <w:rFonts w:ascii="Garamond" w:hAnsi="Garamond"/>
          <w:sz w:val="24"/>
          <w:szCs w:val="24"/>
        </w:rPr>
        <w:t>Për zbatimin e kërkesës në paragrafin 88(c) që një transaksion i parashikuar të jetë shumë i mundshëm, njësia ekonomike supozon se norma e interesit që shërben si standard krahasues (benchmark) mbi të cilën janë bazuar flukset e mjeteve monetare të mbrojtura (të cilësuara sipas kontratës ose jo) nuk ndryshon si pasojë e reformës së normës së interesit që shërben si standard krahasues (benchmark).</w:t>
      </w:r>
    </w:p>
    <w:p w14:paraId="7F2133AA" w14:textId="77777777" w:rsidR="00D31AEA" w:rsidRPr="008A66FC" w:rsidRDefault="00D31AEA" w:rsidP="00D31AEA">
      <w:pPr>
        <w:spacing w:after="0" w:line="240" w:lineRule="auto"/>
        <w:ind w:firstLine="284"/>
        <w:jc w:val="both"/>
        <w:rPr>
          <w:rFonts w:ascii="Garamond" w:hAnsi="Garamond"/>
          <w:b/>
          <w:sz w:val="24"/>
          <w:szCs w:val="24"/>
        </w:rPr>
      </w:pPr>
      <w:r w:rsidRPr="008A66FC">
        <w:rPr>
          <w:rFonts w:ascii="Garamond" w:hAnsi="Garamond"/>
          <w:b/>
          <w:sz w:val="24"/>
          <w:szCs w:val="24"/>
        </w:rPr>
        <w:t>Riklasifikimi i fitimit ose humbjes së akumuluar të njohur në të ardhurat e tjera gjithëpërfshirëse</w:t>
      </w:r>
    </w:p>
    <w:p w14:paraId="37C7EED4" w14:textId="7777777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102E </w:t>
      </w:r>
      <w:r w:rsidRPr="004B4B2D">
        <w:rPr>
          <w:rFonts w:ascii="Garamond" w:hAnsi="Garamond"/>
          <w:sz w:val="24"/>
          <w:szCs w:val="24"/>
        </w:rPr>
        <w:t>Për zbatimin e kërkesës në paragrafin 101(c) me qëllim përcaktimin nëse transaksioni i parashikuar nuk pritet më që të ndodhë, njësia ekonomike supozon se norma e interesit që shërben si standard krahasues (benchmark) mbi të cilën janë bazuar flukset e mjeteve monetare të mbrojtura (të cilësuara sipas kontratës ose jo) nuk ndryshon si pasojë e reformës së normës së interesit që shërben si standard krahasues (benchmark).</w:t>
      </w:r>
    </w:p>
    <w:p w14:paraId="0C220E6A" w14:textId="77777777" w:rsidR="00D31AEA" w:rsidRPr="008A66FC" w:rsidRDefault="00D31AEA" w:rsidP="00D31AEA">
      <w:pPr>
        <w:spacing w:after="0" w:line="240" w:lineRule="auto"/>
        <w:ind w:firstLine="284"/>
        <w:jc w:val="both"/>
        <w:rPr>
          <w:rFonts w:ascii="Garamond" w:hAnsi="Garamond"/>
          <w:b/>
          <w:sz w:val="24"/>
          <w:szCs w:val="24"/>
        </w:rPr>
      </w:pPr>
      <w:r w:rsidRPr="008A66FC">
        <w:rPr>
          <w:rFonts w:ascii="Garamond" w:hAnsi="Garamond"/>
          <w:b/>
          <w:sz w:val="24"/>
          <w:szCs w:val="24"/>
        </w:rPr>
        <w:t>Vlerësimi i efektivitetit</w:t>
      </w:r>
    </w:p>
    <w:p w14:paraId="118FB25B" w14:textId="7777777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102F </w:t>
      </w:r>
      <w:r w:rsidRPr="004B4B2D">
        <w:rPr>
          <w:rFonts w:ascii="Garamond" w:hAnsi="Garamond"/>
          <w:sz w:val="24"/>
          <w:szCs w:val="24"/>
        </w:rPr>
        <w:t>Për zbatimin e kërkesave në paragrafët 88(b) dhe AG105(a), njësia ekonomike supozon se norma e interesit që shërben si standard krahasues (benchmark) në të cilën bazohen flukset monetare të mbrojtura dhe/ose rreziku i mbrojtur (i cilësuar sipas kontratës ose jo), ose norma e interesit që shërben si standard krahasues (benchmark) në të cilën bazohen flukset monetare të instrumentit mbrojtës nuk ndryshon si pasojë e reformës së normës së interesit që shërben si standard krahasues (benchmark).</w:t>
      </w:r>
    </w:p>
    <w:p w14:paraId="50BA093A" w14:textId="2932630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102G </w:t>
      </w:r>
      <w:r w:rsidRPr="004B4B2D">
        <w:rPr>
          <w:rFonts w:ascii="Garamond" w:hAnsi="Garamond"/>
          <w:sz w:val="24"/>
          <w:szCs w:val="24"/>
        </w:rPr>
        <w:t>Për zbatimin e kërkesës në paragrafin 88(e), njësisë ekonomike nuk i kërkohet të ndërpresë një marrëdhënie mbrojtëse sepse rezultatet aktuale të mbrojtjes nuk plotësojnë kërkesat në paragrafin AG105(</w:t>
      </w:r>
      <w:r w:rsidR="008360A4">
        <w:rPr>
          <w:rFonts w:ascii="Garamond" w:hAnsi="Garamond"/>
          <w:sz w:val="24"/>
          <w:szCs w:val="24"/>
        </w:rPr>
        <w:t xml:space="preserve"> </w:t>
      </w:r>
      <w:r w:rsidRPr="004B4B2D">
        <w:rPr>
          <w:rFonts w:ascii="Garamond" w:hAnsi="Garamond"/>
          <w:sz w:val="24"/>
          <w:szCs w:val="24"/>
        </w:rPr>
        <w:t>b). Për të shmangur çdo dyshim, njësia ekonomike zbaton kushtet e tjera në paragrafin 88, përfshirë vlerësimin në prospektivë të paragrafit 88(b), për të vlerësuar nëse duhet të ndërpritet marrëdhënia mbrojtëse.</w:t>
      </w:r>
    </w:p>
    <w:p w14:paraId="0C00CA71" w14:textId="77777777" w:rsidR="00D31AEA" w:rsidRPr="008A66FC" w:rsidRDefault="00D31AEA" w:rsidP="00D31AEA">
      <w:pPr>
        <w:spacing w:after="0" w:line="240" w:lineRule="auto"/>
        <w:ind w:firstLine="284"/>
        <w:jc w:val="both"/>
        <w:rPr>
          <w:rFonts w:ascii="Garamond" w:hAnsi="Garamond"/>
          <w:b/>
          <w:sz w:val="24"/>
          <w:szCs w:val="24"/>
        </w:rPr>
      </w:pPr>
      <w:r w:rsidRPr="008A66FC">
        <w:rPr>
          <w:rFonts w:ascii="Garamond" w:hAnsi="Garamond"/>
          <w:b/>
          <w:sz w:val="24"/>
          <w:szCs w:val="24"/>
        </w:rPr>
        <w:t>Përcaktimi i zërave financiarë si zëra të mbrojtur</w:t>
      </w:r>
    </w:p>
    <w:p w14:paraId="156318C3" w14:textId="7777777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102H </w:t>
      </w:r>
      <w:r w:rsidRPr="004B4B2D">
        <w:rPr>
          <w:rFonts w:ascii="Garamond" w:hAnsi="Garamond"/>
          <w:sz w:val="24"/>
          <w:szCs w:val="24"/>
        </w:rPr>
        <w:t>Përveçse kur zbatohet paragrafi 102I, për mbrojtjen e një pjese që shërben si standard krahasues (benchmark) të rrezikut të normës së interesit jo të cilësuar në kontratë, njësia ekonomike zbaton kërkesën në paragrafët 81 dhe AG99F—që pjesa e përcaktuar të jetë e identifikueshme veçmas—vetëm në fillim të marrëdhënies mbrojtëse.</w:t>
      </w:r>
    </w:p>
    <w:p w14:paraId="15B99DCD" w14:textId="7777777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102I </w:t>
      </w:r>
      <w:r w:rsidRPr="004B4B2D">
        <w:rPr>
          <w:rFonts w:ascii="Garamond" w:hAnsi="Garamond"/>
          <w:sz w:val="24"/>
          <w:szCs w:val="24"/>
        </w:rPr>
        <w:t>Nëse një njësi ekonomike, në përputhje me dokumentacionin e saj për mbrojtjen, rivë shpesh (dmth ndërpret dhe rifillon) një marrëdhënie mbrojtëse sepse instrumenti mbrojtës dhe zëri i mbrojtur ndryshojnë shpesh (dmth njësia ekonomike përdor një proces dinamik në të cilin si zërat e mbrojtur edhe instrumentet mbrojtës të përdorur për të menaxhuar atë ekspozim, nuk qëndrojnë gjatë të pandryshuar), njësia ekonomike zbaton kërkesën në paragrafët 81 dhe AG99F—që pjesa e përcaktuar është e identifikueshme veçmas—vetëm kur fillimisht përcakton një zë të mbrojtur në atë marrëdhënie mbrojtëse. Një zë i mbrojtur i vlerësuar në kohën e përcaktimit fillestar të tij në marrëdhënien mbrojtëse, pavarësisht nëse ishte koha e fillimit të mbrojtjes apo më pas, nuk rivlerësohet në asnjë ripërcaktim të mëpasshëm të së njëjtës marrëdhënie mbrojtëse.</w:t>
      </w:r>
    </w:p>
    <w:p w14:paraId="0CE7745A" w14:textId="77777777" w:rsidR="00D31AEA" w:rsidRPr="008A66FC" w:rsidRDefault="00D31AEA" w:rsidP="00D31AEA">
      <w:pPr>
        <w:spacing w:after="0" w:line="240" w:lineRule="auto"/>
        <w:ind w:firstLine="284"/>
        <w:jc w:val="both"/>
        <w:rPr>
          <w:rFonts w:ascii="Garamond" w:hAnsi="Garamond"/>
          <w:b/>
          <w:sz w:val="24"/>
          <w:szCs w:val="24"/>
        </w:rPr>
      </w:pPr>
      <w:r w:rsidRPr="008A66FC">
        <w:rPr>
          <w:rFonts w:ascii="Garamond" w:hAnsi="Garamond"/>
          <w:b/>
          <w:sz w:val="24"/>
          <w:szCs w:val="24"/>
        </w:rPr>
        <w:t>Fundi i zbatimit</w:t>
      </w:r>
    </w:p>
    <w:p w14:paraId="266760FC" w14:textId="7777777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102J </w:t>
      </w:r>
      <w:r w:rsidRPr="004B4B2D">
        <w:rPr>
          <w:rFonts w:ascii="Garamond" w:hAnsi="Garamond"/>
          <w:sz w:val="24"/>
          <w:szCs w:val="24"/>
        </w:rPr>
        <w:t>Njësia ekonomike përfundon zbatimin në prospektivë të paragrafit 102D ndaj një zëri të mbrojtur në momentin më të hershëm:</w:t>
      </w:r>
    </w:p>
    <w:p w14:paraId="6700778A" w14:textId="7777777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(a) </w:t>
      </w:r>
      <w:r w:rsidRPr="004B4B2D">
        <w:rPr>
          <w:rFonts w:ascii="Garamond" w:hAnsi="Garamond"/>
          <w:sz w:val="24"/>
          <w:szCs w:val="24"/>
        </w:rPr>
        <w:t>kur pasiguria që vjen nga reforma e normës së interesit që shërben si standard krahasues (benchmark) nuk është më e pranishme përsa i takon kohës dhe shumës së flukseve monetare të bazuara-në normën e interesit që shërben si standard krahasues (benchmark), të zërit të mbrojtur; dhe</w:t>
      </w:r>
    </w:p>
    <w:p w14:paraId="17F6DABA" w14:textId="77777777" w:rsidR="00D31AEA" w:rsidRPr="004B4B2D" w:rsidRDefault="00D31AEA" w:rsidP="00D31AEA">
      <w:pPr>
        <w:spacing w:after="0" w:line="240" w:lineRule="auto"/>
        <w:ind w:firstLine="284"/>
        <w:jc w:val="both"/>
        <w:rPr>
          <w:rFonts w:ascii="Garamond" w:hAnsi="Garamond"/>
          <w:sz w:val="24"/>
          <w:szCs w:val="24"/>
        </w:rPr>
      </w:pPr>
      <w:r w:rsidRPr="004B4B2D">
        <w:rPr>
          <w:rFonts w:ascii="Garamond" w:hAnsi="Garamond"/>
          <w:sz w:val="24"/>
          <w:szCs w:val="24"/>
        </w:rPr>
        <w:t>(b)</w:t>
      </w:r>
      <w:r w:rsidRPr="004B4B2D">
        <w:rPr>
          <w:rFonts w:ascii="Garamond" w:hAnsi="Garamond"/>
          <w:sz w:val="24"/>
          <w:szCs w:val="24"/>
        </w:rPr>
        <w:tab/>
      </w:r>
      <w:r>
        <w:rPr>
          <w:rFonts w:ascii="Garamond" w:hAnsi="Garamond"/>
          <w:sz w:val="24"/>
          <w:szCs w:val="24"/>
        </w:rPr>
        <w:t xml:space="preserve"> </w:t>
      </w:r>
      <w:r w:rsidRPr="004B4B2D">
        <w:rPr>
          <w:rFonts w:ascii="Garamond" w:hAnsi="Garamond"/>
          <w:sz w:val="24"/>
          <w:szCs w:val="24"/>
        </w:rPr>
        <w:t>kur ndërpritet marrëdhënia mbrojtëse, në të cilën merr pjesë zëri i mbrojtur.</w:t>
      </w:r>
    </w:p>
    <w:p w14:paraId="7431D321" w14:textId="7777777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102K </w:t>
      </w:r>
      <w:r w:rsidRPr="004B4B2D">
        <w:rPr>
          <w:rFonts w:ascii="Garamond" w:hAnsi="Garamond"/>
          <w:sz w:val="24"/>
          <w:szCs w:val="24"/>
        </w:rPr>
        <w:t>Njësia ekonomike përfundon zbatimin në prospektivë të paragrafit 102E në momentin më të hershëm:</w:t>
      </w:r>
    </w:p>
    <w:p w14:paraId="367D96B8" w14:textId="7777777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(a) </w:t>
      </w:r>
      <w:r w:rsidRPr="004B4B2D">
        <w:rPr>
          <w:rFonts w:ascii="Garamond" w:hAnsi="Garamond"/>
          <w:sz w:val="24"/>
          <w:szCs w:val="24"/>
        </w:rPr>
        <w:t>kur pasiguria që vjen nga reforma e normës së interesit që shërben si standard krahasues (benchmark) nuk është më e pranishme përsa i takon kohës dhe shumës së flukseve monetare të ardhshme të bazuara-në normës së interesit që shërben si standard krahasues (benchmark), të zërit të mbrojtur; dhe</w:t>
      </w:r>
    </w:p>
    <w:p w14:paraId="0B0BE2E5" w14:textId="3A25C895" w:rsidR="00D31AEA" w:rsidRPr="004B4B2D" w:rsidRDefault="001919A8" w:rsidP="00D31AEA">
      <w:pPr>
        <w:spacing w:after="0" w:line="240" w:lineRule="auto"/>
        <w:ind w:firstLine="284"/>
        <w:jc w:val="both"/>
        <w:rPr>
          <w:rFonts w:ascii="Garamond" w:hAnsi="Garamond"/>
          <w:sz w:val="24"/>
          <w:szCs w:val="24"/>
        </w:rPr>
      </w:pPr>
      <w:r>
        <w:rPr>
          <w:rFonts w:ascii="Garamond" w:hAnsi="Garamond"/>
          <w:sz w:val="24"/>
          <w:szCs w:val="24"/>
        </w:rPr>
        <w:t>(b)</w:t>
      </w:r>
      <w:r w:rsidR="00D31AEA">
        <w:rPr>
          <w:rFonts w:ascii="Garamond" w:hAnsi="Garamond"/>
          <w:sz w:val="24"/>
          <w:szCs w:val="24"/>
        </w:rPr>
        <w:t xml:space="preserve"> </w:t>
      </w:r>
      <w:r w:rsidR="00D31AEA" w:rsidRPr="004B4B2D">
        <w:rPr>
          <w:rFonts w:ascii="Garamond" w:hAnsi="Garamond"/>
          <w:sz w:val="24"/>
          <w:szCs w:val="24"/>
        </w:rPr>
        <w:t>kur e gjithë shuma e akumuluar e fitimit ose humbjes të njohur në të ardhurat e tjera gjithëpërfshirëse të lidhura me atë marrëdhënie mbrojtëse të ndërprerë, riklasifikohet në fitim ose humbje.</w:t>
      </w:r>
    </w:p>
    <w:p w14:paraId="620C1AB2" w14:textId="7777777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102L </w:t>
      </w:r>
      <w:r w:rsidRPr="004B4B2D">
        <w:rPr>
          <w:rFonts w:ascii="Garamond" w:hAnsi="Garamond"/>
          <w:sz w:val="24"/>
          <w:szCs w:val="24"/>
        </w:rPr>
        <w:t>Njësia ekonomike përfundon zbatimin në prospektivë të paragrafit 102F:</w:t>
      </w:r>
    </w:p>
    <w:p w14:paraId="0568FEA7" w14:textId="7777777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(a) </w:t>
      </w:r>
      <w:r w:rsidRPr="004B4B2D">
        <w:rPr>
          <w:rFonts w:ascii="Garamond" w:hAnsi="Garamond"/>
          <w:sz w:val="24"/>
          <w:szCs w:val="24"/>
        </w:rPr>
        <w:t>ndaj një zëri të mbrojtur, kur pasiguria që vjen nga reforma e normës së interesit që shërben si standard krahasues (benchmark) nuk është më e pranishme përsa i takon rrezikut të mbrojtur ose kohës dhe shumës së flukseve monetare të bazuara-në normën e interesit që shërben si standard krahasues (benchmark), të zërit të mbrojtur; dhe</w:t>
      </w:r>
    </w:p>
    <w:p w14:paraId="27FDF3EF" w14:textId="77777777" w:rsidR="00D31AEA" w:rsidRPr="004B4B2D" w:rsidRDefault="00D31AEA" w:rsidP="00D31AEA">
      <w:pPr>
        <w:spacing w:after="0" w:line="240" w:lineRule="auto"/>
        <w:ind w:firstLine="284"/>
        <w:jc w:val="both"/>
        <w:rPr>
          <w:rFonts w:ascii="Garamond" w:hAnsi="Garamond"/>
          <w:sz w:val="24"/>
          <w:szCs w:val="24"/>
        </w:rPr>
      </w:pPr>
      <w:r w:rsidRPr="004B4B2D">
        <w:rPr>
          <w:rFonts w:ascii="Garamond" w:hAnsi="Garamond"/>
          <w:sz w:val="24"/>
          <w:szCs w:val="24"/>
        </w:rPr>
        <w:t>(b)</w:t>
      </w:r>
      <w:r>
        <w:rPr>
          <w:rFonts w:ascii="Garamond" w:hAnsi="Garamond"/>
          <w:sz w:val="24"/>
          <w:szCs w:val="24"/>
        </w:rPr>
        <w:t xml:space="preserve"> </w:t>
      </w:r>
      <w:r w:rsidRPr="004B4B2D">
        <w:rPr>
          <w:rFonts w:ascii="Garamond" w:hAnsi="Garamond"/>
          <w:sz w:val="24"/>
          <w:szCs w:val="24"/>
        </w:rPr>
        <w:t>ndaj një instrumenti mbrojtës, kur pasiguria që vjen nga reforma e normës së interesit që shërben si standard krahasues (benchmark) nuk është më e pranishme përsa i takon kohës dhe shumës së flukseve monetare të bazuara-në normën e interesit që shërben si standard krahasues (benchmark), të instrumentit mbrojtës.</w:t>
      </w:r>
    </w:p>
    <w:p w14:paraId="5483D231" w14:textId="77777777" w:rsidR="00D31AEA" w:rsidRPr="004B4B2D" w:rsidRDefault="00D31AEA" w:rsidP="00D31AEA">
      <w:pPr>
        <w:spacing w:after="0" w:line="240" w:lineRule="auto"/>
        <w:ind w:firstLine="284"/>
        <w:jc w:val="both"/>
        <w:rPr>
          <w:rFonts w:ascii="Garamond" w:hAnsi="Garamond"/>
          <w:sz w:val="24"/>
          <w:szCs w:val="24"/>
        </w:rPr>
      </w:pPr>
      <w:r w:rsidRPr="004B4B2D">
        <w:rPr>
          <w:rFonts w:ascii="Garamond" w:hAnsi="Garamond"/>
          <w:sz w:val="24"/>
          <w:szCs w:val="24"/>
        </w:rPr>
        <w:t>Nëse marrëdhënia mbrojtëse, në të cilën marrin pjesë zëri i mbrojtur dhe instrumenti mbrojtës, ndërpritet më herët se data e cilësuar në paragrafin 102L(a) ose se data e cilësuar në paragrafin 102L(b), njësia ekonomike do të përfundojë zbatimin në prospektivë të paragrafit 102F ndaj asaj marrëdhënie mbrojtëse në atë datë ndërprerjeje.</w:t>
      </w:r>
    </w:p>
    <w:p w14:paraId="60238EBF" w14:textId="7777777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102M </w:t>
      </w:r>
      <w:r w:rsidRPr="004B4B2D">
        <w:rPr>
          <w:rFonts w:ascii="Garamond" w:hAnsi="Garamond"/>
          <w:sz w:val="24"/>
          <w:szCs w:val="24"/>
        </w:rPr>
        <w:t>Njësia ekonomike përfundon zbatimin në prospektivë të paragrafit 102G ndaj një marrëdhënieje të mbrojtur në momentin më të hershëm:</w:t>
      </w:r>
    </w:p>
    <w:p w14:paraId="4F281345" w14:textId="7777777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(a) </w:t>
      </w:r>
      <w:r w:rsidRPr="004B4B2D">
        <w:rPr>
          <w:rFonts w:ascii="Garamond" w:hAnsi="Garamond"/>
          <w:sz w:val="24"/>
          <w:szCs w:val="24"/>
        </w:rPr>
        <w:t>kur pasiguria që vjen nga reforma e normës së interesit që shërben si standard krahasues (benchmark) nuk është më e pranishme përsa i takon rrezikut të mbrojtur si dhe kohës dhe shumës së flukseve monetare të bazuara-në normën e interesit që shërben si standard krahasues (benchmark), të zërit të mbrojtur ose të instrumentit mbrojtës; dhe</w:t>
      </w:r>
    </w:p>
    <w:p w14:paraId="4F782EC2" w14:textId="77777777" w:rsidR="00D31AEA" w:rsidRPr="004B4B2D" w:rsidRDefault="00D31AEA" w:rsidP="00D31AEA">
      <w:pPr>
        <w:spacing w:after="0" w:line="240" w:lineRule="auto"/>
        <w:ind w:firstLine="284"/>
        <w:jc w:val="both"/>
        <w:rPr>
          <w:rFonts w:ascii="Garamond" w:hAnsi="Garamond"/>
          <w:sz w:val="24"/>
          <w:szCs w:val="24"/>
        </w:rPr>
      </w:pPr>
      <w:r w:rsidRPr="004B4B2D">
        <w:rPr>
          <w:rFonts w:ascii="Garamond" w:hAnsi="Garamond"/>
          <w:sz w:val="24"/>
          <w:szCs w:val="24"/>
        </w:rPr>
        <w:t>(b)</w:t>
      </w:r>
      <w:r>
        <w:rPr>
          <w:rFonts w:ascii="Garamond" w:hAnsi="Garamond"/>
          <w:sz w:val="24"/>
          <w:szCs w:val="24"/>
        </w:rPr>
        <w:t xml:space="preserve"> </w:t>
      </w:r>
      <w:r w:rsidRPr="004B4B2D">
        <w:rPr>
          <w:rFonts w:ascii="Garamond" w:hAnsi="Garamond"/>
          <w:sz w:val="24"/>
          <w:szCs w:val="24"/>
        </w:rPr>
        <w:t>nëse ndërpritet marrëdhënia mbrojtëse ndaj të cilës zbatohet përjashtimi.</w:t>
      </w:r>
    </w:p>
    <w:p w14:paraId="50A6A982" w14:textId="7777777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102N </w:t>
      </w:r>
      <w:r w:rsidRPr="004B4B2D">
        <w:rPr>
          <w:rFonts w:ascii="Garamond" w:hAnsi="Garamond"/>
          <w:sz w:val="24"/>
          <w:szCs w:val="24"/>
        </w:rPr>
        <w:t>Kur përcakton një grup zërash si zë të mbrojtur, ose një kombinim të instrumenteve financiarë si instrument mbrojtës, njësia ekonomike përfundon zbatimin në prospektivë të paragrafëve 102D–102G ndaj një zëri individual ose ndaj një instrumenti financiar në përputhje me paragrafët 102J, 102K, 102L, ose 102M, si të rëndësishëm, kur pasiguria që vjen nga reforma e normës së interesit që shërben si standard krahasues (benchmark) nuk është më e pranishme përsa i takon rrezikut të mbrojtur si dhe/ose kohës dhe shumës së flukseve monetare të bazuara-në normën e interesit që shërben si standard krahasues (benchmark), të atij zëri apo atij instrumenti financiar.</w:t>
      </w:r>
    </w:p>
    <w:p w14:paraId="24C1C2AF" w14:textId="77777777" w:rsidR="00D31AEA" w:rsidRPr="008A66FC" w:rsidRDefault="00D31AEA" w:rsidP="00D31AEA">
      <w:pPr>
        <w:spacing w:after="0" w:line="240" w:lineRule="auto"/>
        <w:ind w:firstLine="284"/>
        <w:jc w:val="both"/>
        <w:rPr>
          <w:rFonts w:ascii="Garamond" w:hAnsi="Garamond"/>
          <w:b/>
          <w:sz w:val="24"/>
          <w:szCs w:val="24"/>
        </w:rPr>
      </w:pPr>
      <w:r w:rsidRPr="008A66FC">
        <w:rPr>
          <w:rFonts w:ascii="Garamond" w:hAnsi="Garamond"/>
          <w:b/>
          <w:sz w:val="24"/>
          <w:szCs w:val="24"/>
        </w:rPr>
        <w:t>Data e hyrjes në fuqi dhe periudha kalimtare</w:t>
      </w:r>
    </w:p>
    <w:p w14:paraId="385680FA" w14:textId="77777777" w:rsidR="00D31AEA" w:rsidRPr="004B4B2D" w:rsidRDefault="00D31AEA" w:rsidP="00D31AEA">
      <w:pPr>
        <w:spacing w:after="0" w:line="240" w:lineRule="auto"/>
        <w:ind w:firstLine="284"/>
        <w:jc w:val="both"/>
        <w:rPr>
          <w:rFonts w:ascii="Garamond" w:hAnsi="Garamond"/>
          <w:sz w:val="24"/>
          <w:szCs w:val="24"/>
        </w:rPr>
      </w:pPr>
      <w:r w:rsidRPr="004B4B2D">
        <w:rPr>
          <w:rFonts w:ascii="Garamond" w:hAnsi="Garamond"/>
          <w:sz w:val="24"/>
          <w:szCs w:val="24"/>
        </w:rPr>
        <w:t>...</w:t>
      </w:r>
    </w:p>
    <w:p w14:paraId="0A9E2D41" w14:textId="568CCC60" w:rsidR="00D31AEA" w:rsidRDefault="00D31AEA" w:rsidP="001919A8">
      <w:pPr>
        <w:spacing w:after="0" w:line="240" w:lineRule="auto"/>
        <w:ind w:firstLine="284"/>
        <w:jc w:val="both"/>
        <w:rPr>
          <w:rFonts w:ascii="Garamond" w:hAnsi="Garamond"/>
          <w:sz w:val="24"/>
          <w:szCs w:val="24"/>
        </w:rPr>
      </w:pPr>
      <w:r>
        <w:rPr>
          <w:rFonts w:ascii="Garamond" w:hAnsi="Garamond"/>
          <w:sz w:val="24"/>
          <w:szCs w:val="24"/>
        </w:rPr>
        <w:t xml:space="preserve">108G </w:t>
      </w:r>
      <w:r w:rsidRPr="008A66FC">
        <w:rPr>
          <w:rFonts w:ascii="Garamond" w:hAnsi="Garamond"/>
          <w:i/>
          <w:sz w:val="24"/>
          <w:szCs w:val="24"/>
        </w:rPr>
        <w:t>Reforma e Normës së Interesit që Shërben si Standard Krahasues (Benchmark)</w:t>
      </w:r>
      <w:r w:rsidRPr="004B4B2D">
        <w:rPr>
          <w:rFonts w:ascii="Garamond" w:hAnsi="Garamond"/>
          <w:sz w:val="24"/>
          <w:szCs w:val="24"/>
        </w:rPr>
        <w:t>, që ndryshoi SNRF 9, SNK 39 dhe SNRF 7, i publikuar në Shtator 2019, shtoi paragrafët 102A–102N. Njësia ekonomike zbaton këto ndryshime për periudhat vjetore që fillojnë më 1 Janar 2020 ose më pas. Lejohet zbatimi përpara kësaj date. Nëse një njësi ekonomike i zbaton këto ndryshime për një periudhë më të hershme, ajo do të japë informacione shpjeguese për këtë fakt. Njësia ekonomike i zbaton këto ndryshime në mënyrë retrospektive për ato marrëdhënie mbrojtëse që ekzistonin në fillim të periudhës raportuese në të cilën njësia ekonomike zbaton për herë të parë këto kërkesa ose ishte caktuar pas kësaj, si dhe ndaj fitimit ose humbjes së njohur në të ardhurat e tjera gjithëpërfshirëse që ekzistonte në fillim të periudhës raportuese në të cilën njësia ekonomike fillimisht zbaton këto ndryshime.</w:t>
      </w:r>
    </w:p>
    <w:p w14:paraId="72896D51" w14:textId="77777777" w:rsidR="001919A8" w:rsidRDefault="001919A8" w:rsidP="001919A8">
      <w:pPr>
        <w:spacing w:after="0" w:line="240" w:lineRule="auto"/>
        <w:ind w:firstLine="284"/>
        <w:jc w:val="both"/>
        <w:rPr>
          <w:rFonts w:ascii="Garamond" w:hAnsi="Garamond"/>
          <w:sz w:val="24"/>
          <w:szCs w:val="24"/>
        </w:rPr>
      </w:pPr>
    </w:p>
    <w:p w14:paraId="1D33B297" w14:textId="77777777" w:rsidR="001919A8" w:rsidRDefault="001919A8" w:rsidP="001919A8">
      <w:pPr>
        <w:spacing w:after="0" w:line="240" w:lineRule="auto"/>
        <w:ind w:firstLine="284"/>
        <w:jc w:val="both"/>
        <w:rPr>
          <w:rFonts w:ascii="Garamond" w:hAnsi="Garamond"/>
          <w:sz w:val="24"/>
          <w:szCs w:val="24"/>
        </w:rPr>
      </w:pPr>
    </w:p>
    <w:p w14:paraId="63570F90" w14:textId="77777777" w:rsidR="001919A8" w:rsidRDefault="001919A8" w:rsidP="001919A8">
      <w:pPr>
        <w:spacing w:after="0" w:line="240" w:lineRule="auto"/>
        <w:ind w:firstLine="284"/>
        <w:jc w:val="both"/>
        <w:rPr>
          <w:rFonts w:ascii="Garamond" w:hAnsi="Garamond"/>
          <w:sz w:val="24"/>
          <w:szCs w:val="24"/>
        </w:rPr>
      </w:pPr>
    </w:p>
    <w:p w14:paraId="1DFCF6CF" w14:textId="77777777" w:rsidR="001919A8" w:rsidRPr="004B4B2D" w:rsidRDefault="001919A8" w:rsidP="001919A8">
      <w:pPr>
        <w:spacing w:after="0" w:line="240" w:lineRule="auto"/>
        <w:ind w:firstLine="284"/>
        <w:jc w:val="both"/>
        <w:rPr>
          <w:rFonts w:ascii="Garamond" w:hAnsi="Garamond"/>
          <w:sz w:val="24"/>
          <w:szCs w:val="24"/>
        </w:rPr>
      </w:pPr>
    </w:p>
    <w:p w14:paraId="713ACD02" w14:textId="77777777" w:rsidR="00D31AEA" w:rsidRPr="008A66FC" w:rsidRDefault="00D31AEA" w:rsidP="00D31AEA">
      <w:pPr>
        <w:spacing w:after="0" w:line="240" w:lineRule="auto"/>
        <w:ind w:firstLine="284"/>
        <w:jc w:val="both"/>
        <w:rPr>
          <w:rFonts w:ascii="Garamond" w:hAnsi="Garamond"/>
          <w:b/>
          <w:sz w:val="24"/>
          <w:szCs w:val="24"/>
        </w:rPr>
      </w:pPr>
      <w:r w:rsidRPr="008A66FC">
        <w:rPr>
          <w:rFonts w:ascii="Garamond" w:hAnsi="Garamond"/>
          <w:b/>
          <w:sz w:val="24"/>
          <w:szCs w:val="24"/>
        </w:rPr>
        <w:t>Ndryshime në SNRF 7 Instrumentet Financiare: Dhënie e Informacioneve Shpjeguese</w:t>
      </w:r>
    </w:p>
    <w:p w14:paraId="77D7C0FB" w14:textId="77777777" w:rsidR="00D31AEA" w:rsidRPr="004B4B2D" w:rsidRDefault="00D31AEA" w:rsidP="00D31AEA">
      <w:pPr>
        <w:spacing w:after="0" w:line="240" w:lineRule="auto"/>
        <w:ind w:firstLine="284"/>
        <w:jc w:val="both"/>
        <w:rPr>
          <w:rFonts w:ascii="Garamond" w:hAnsi="Garamond"/>
          <w:sz w:val="24"/>
          <w:szCs w:val="24"/>
        </w:rPr>
      </w:pPr>
    </w:p>
    <w:tbl>
      <w:tblPr>
        <w:tblW w:w="0" w:type="auto"/>
        <w:tblBorders>
          <w:top w:val="single" w:sz="0" w:space="0" w:color="auto"/>
          <w:left w:val="single" w:sz="0" w:space="0" w:color="auto"/>
          <w:bottom w:val="single" w:sz="0" w:space="0" w:color="auto"/>
          <w:right w:val="single" w:sz="0" w:space="0" w:color="auto"/>
        </w:tblBorders>
        <w:tblLook w:val="04A0" w:firstRow="1" w:lastRow="0" w:firstColumn="1" w:lastColumn="0" w:noHBand="0" w:noVBand="1"/>
      </w:tblPr>
      <w:tblGrid>
        <w:gridCol w:w="9576"/>
      </w:tblGrid>
      <w:tr w:rsidR="00D31AEA" w:rsidRPr="004B4B2D" w14:paraId="1FCD3DE8" w14:textId="77777777" w:rsidTr="008360A4">
        <w:tc>
          <w:tcPr>
            <w:tcW w:w="50" w:type="pct"/>
            <w:tcBorders>
              <w:bottom w:val="single" w:sz="0" w:space="0" w:color="auto"/>
              <w:right w:val="single" w:sz="0" w:space="0" w:color="auto"/>
            </w:tcBorders>
          </w:tcPr>
          <w:p w14:paraId="2B1355BF" w14:textId="77777777" w:rsidR="00D31AEA" w:rsidRPr="004B4B2D" w:rsidRDefault="00D31AEA" w:rsidP="008360A4">
            <w:pPr>
              <w:spacing w:after="0" w:line="240" w:lineRule="auto"/>
              <w:jc w:val="both"/>
              <w:rPr>
                <w:rFonts w:ascii="Garamond" w:hAnsi="Garamond"/>
                <w:sz w:val="24"/>
                <w:szCs w:val="24"/>
              </w:rPr>
            </w:pPr>
            <w:r w:rsidRPr="004B4B2D">
              <w:rPr>
                <w:rFonts w:ascii="Garamond" w:hAnsi="Garamond"/>
                <w:sz w:val="24"/>
                <w:szCs w:val="24"/>
              </w:rPr>
              <w:t>Janë shtuar paragrafët 24H dhe 44DE–44DF si dhe është shtuar një nëntitull para paragrafit 24H. Për lehtësi në lexim, këta paragrafë nuk janë nënvizuar.</w:t>
            </w:r>
          </w:p>
        </w:tc>
      </w:tr>
    </w:tbl>
    <w:p w14:paraId="1FCCA5A1" w14:textId="77777777" w:rsidR="00D31AEA" w:rsidRPr="004B4B2D" w:rsidRDefault="00D31AEA" w:rsidP="00D31AEA">
      <w:pPr>
        <w:spacing w:after="0" w:line="240" w:lineRule="auto"/>
        <w:ind w:firstLine="284"/>
        <w:jc w:val="both"/>
        <w:rPr>
          <w:rFonts w:ascii="Garamond" w:hAnsi="Garamond"/>
          <w:sz w:val="24"/>
          <w:szCs w:val="24"/>
        </w:rPr>
      </w:pPr>
    </w:p>
    <w:p w14:paraId="08FADBBF" w14:textId="77777777" w:rsidR="00D31AEA" w:rsidRPr="008A66FC" w:rsidRDefault="00D31AEA" w:rsidP="00D31AEA">
      <w:pPr>
        <w:spacing w:after="0" w:line="240" w:lineRule="auto"/>
        <w:ind w:firstLine="284"/>
        <w:jc w:val="both"/>
        <w:rPr>
          <w:rFonts w:ascii="Garamond" w:hAnsi="Garamond"/>
          <w:b/>
          <w:sz w:val="24"/>
          <w:szCs w:val="24"/>
        </w:rPr>
      </w:pPr>
      <w:r w:rsidRPr="008A66FC">
        <w:rPr>
          <w:rFonts w:ascii="Garamond" w:hAnsi="Garamond"/>
          <w:b/>
          <w:sz w:val="24"/>
          <w:szCs w:val="24"/>
        </w:rPr>
        <w:t>Kontabiliteti mbrojtës</w:t>
      </w:r>
    </w:p>
    <w:p w14:paraId="1ACCE217" w14:textId="77777777" w:rsidR="00D31AEA" w:rsidRPr="004B4B2D" w:rsidRDefault="00D31AEA" w:rsidP="00D31AEA">
      <w:pPr>
        <w:spacing w:after="0" w:line="240" w:lineRule="auto"/>
        <w:ind w:firstLine="284"/>
        <w:jc w:val="both"/>
        <w:rPr>
          <w:rFonts w:ascii="Garamond" w:hAnsi="Garamond"/>
          <w:sz w:val="24"/>
          <w:szCs w:val="24"/>
        </w:rPr>
      </w:pPr>
      <w:r w:rsidRPr="004B4B2D">
        <w:rPr>
          <w:rFonts w:ascii="Garamond" w:hAnsi="Garamond"/>
          <w:sz w:val="24"/>
          <w:szCs w:val="24"/>
        </w:rPr>
        <w:t>...</w:t>
      </w:r>
    </w:p>
    <w:p w14:paraId="410A4C92" w14:textId="77777777" w:rsidR="00D31AEA" w:rsidRPr="008A66FC" w:rsidRDefault="00D31AEA" w:rsidP="00D31AEA">
      <w:pPr>
        <w:spacing w:after="0" w:line="240" w:lineRule="auto"/>
        <w:ind w:firstLine="284"/>
        <w:jc w:val="both"/>
        <w:rPr>
          <w:rFonts w:ascii="Garamond" w:hAnsi="Garamond"/>
          <w:i/>
          <w:sz w:val="24"/>
          <w:szCs w:val="24"/>
        </w:rPr>
      </w:pPr>
      <w:r w:rsidRPr="008A66FC">
        <w:rPr>
          <w:rFonts w:ascii="Garamond" w:hAnsi="Garamond"/>
          <w:i/>
          <w:sz w:val="24"/>
          <w:szCs w:val="24"/>
        </w:rPr>
        <w:t>Pasiguria që vjen nga reforma e normës së interesit që shërben si standard krahasues (benchmark)</w:t>
      </w:r>
    </w:p>
    <w:p w14:paraId="43284A11" w14:textId="7777777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24H </w:t>
      </w:r>
      <w:r w:rsidRPr="004B4B2D">
        <w:rPr>
          <w:rFonts w:ascii="Garamond" w:hAnsi="Garamond"/>
          <w:sz w:val="24"/>
          <w:szCs w:val="24"/>
        </w:rPr>
        <w:t>Për marrëdhëniet mbrojtëse për të cilat njësia ekonomike zbaton përjashtimet e paraqitura në paragrafët 6.8.4–6.8.12 të SNRF 9 ose paragrafët 102D–102N të SNK 39, ajo do të paraqesë informacion shpjegues:</w:t>
      </w:r>
    </w:p>
    <w:p w14:paraId="7BAE3D86" w14:textId="7777777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(a) </w:t>
      </w:r>
      <w:r w:rsidRPr="004B4B2D">
        <w:rPr>
          <w:rFonts w:ascii="Garamond" w:hAnsi="Garamond"/>
          <w:sz w:val="24"/>
          <w:szCs w:val="24"/>
        </w:rPr>
        <w:t>për normat e rëndësishme të interesit që shërbejnë si standard krahasues (benchmark) ndaj të cilave janë të ekspozuara marrëdhëniet mbrojtëse të njësisë ekonomike;</w:t>
      </w:r>
    </w:p>
    <w:p w14:paraId="667B253B" w14:textId="77777777" w:rsidR="00D31AEA" w:rsidRPr="004B4B2D" w:rsidRDefault="00D31AEA" w:rsidP="00D31AEA">
      <w:pPr>
        <w:spacing w:after="0" w:line="240" w:lineRule="auto"/>
        <w:ind w:firstLine="284"/>
        <w:jc w:val="both"/>
        <w:rPr>
          <w:rFonts w:ascii="Garamond" w:hAnsi="Garamond"/>
          <w:sz w:val="24"/>
          <w:szCs w:val="24"/>
        </w:rPr>
      </w:pPr>
      <w:r w:rsidRPr="004B4B2D">
        <w:rPr>
          <w:rFonts w:ascii="Garamond" w:hAnsi="Garamond"/>
          <w:sz w:val="24"/>
          <w:szCs w:val="24"/>
        </w:rPr>
        <w:t>(b)</w:t>
      </w:r>
      <w:r>
        <w:rPr>
          <w:rFonts w:ascii="Garamond" w:hAnsi="Garamond"/>
          <w:sz w:val="24"/>
          <w:szCs w:val="24"/>
        </w:rPr>
        <w:t xml:space="preserve"> </w:t>
      </w:r>
      <w:r w:rsidRPr="004B4B2D">
        <w:rPr>
          <w:rFonts w:ascii="Garamond" w:hAnsi="Garamond"/>
          <w:sz w:val="24"/>
          <w:szCs w:val="24"/>
        </w:rPr>
        <w:t>për madhësinë e rrezikut të ekspozimit të menaxhuar nga njësia ekonomike që preket drejtpërdrejt nga reforma e normës së interesit që shërben si standard krahasues (benchmark);</w:t>
      </w:r>
    </w:p>
    <w:p w14:paraId="1D502379" w14:textId="7777777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(c) </w:t>
      </w:r>
      <w:r w:rsidRPr="004B4B2D">
        <w:rPr>
          <w:rFonts w:ascii="Garamond" w:hAnsi="Garamond"/>
          <w:sz w:val="24"/>
          <w:szCs w:val="24"/>
        </w:rPr>
        <w:t>sesi njësia ekonomike menaxhon procesin kalimtar tek normat alternative që shërbejnë si standard krahasues (benchmark);</w:t>
      </w:r>
    </w:p>
    <w:p w14:paraId="266DA709" w14:textId="77777777" w:rsidR="00D31AEA" w:rsidRPr="004B4B2D" w:rsidRDefault="00D31AEA" w:rsidP="00D31AEA">
      <w:pPr>
        <w:spacing w:after="0" w:line="240" w:lineRule="auto"/>
        <w:ind w:firstLine="284"/>
        <w:jc w:val="both"/>
        <w:rPr>
          <w:rFonts w:ascii="Garamond" w:hAnsi="Garamond"/>
          <w:sz w:val="24"/>
          <w:szCs w:val="24"/>
        </w:rPr>
      </w:pPr>
      <w:r w:rsidRPr="004B4B2D">
        <w:rPr>
          <w:rFonts w:ascii="Garamond" w:hAnsi="Garamond"/>
          <w:sz w:val="24"/>
          <w:szCs w:val="24"/>
        </w:rPr>
        <w:t>(d)</w:t>
      </w:r>
      <w:r>
        <w:rPr>
          <w:rFonts w:ascii="Garamond" w:hAnsi="Garamond"/>
          <w:sz w:val="24"/>
          <w:szCs w:val="24"/>
        </w:rPr>
        <w:t xml:space="preserve"> </w:t>
      </w:r>
      <w:r w:rsidRPr="004B4B2D">
        <w:rPr>
          <w:rFonts w:ascii="Garamond" w:hAnsi="Garamond"/>
          <w:sz w:val="24"/>
          <w:szCs w:val="24"/>
        </w:rPr>
        <w:t>përshkrues mbi supozimet ose gjykimet kryesore të bëra nga njësia ekonomike gjatë zbatimit të këtyre paragrafëve (për shembull supozime ose gjykime nëse pasiguria që vjen nga reforma e normës së interesit që shërben si standard krahasues (benchmark), nuk është më e pranishme përsa i takon kohës dhe shumës së flukseve monetare të bazuara-në normën e interesit që shërben si standard krahasues [benchmark]); dhe</w:t>
      </w:r>
    </w:p>
    <w:p w14:paraId="57ADC216" w14:textId="7777777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(e) </w:t>
      </w:r>
      <w:r w:rsidRPr="004B4B2D">
        <w:rPr>
          <w:rFonts w:ascii="Garamond" w:hAnsi="Garamond"/>
          <w:sz w:val="24"/>
          <w:szCs w:val="24"/>
        </w:rPr>
        <w:t>për vlerën nominale të instrumenteve mbrojtës në ato marrëdhënie mbrojtëse.</w:t>
      </w:r>
    </w:p>
    <w:p w14:paraId="3FFB9A36" w14:textId="77777777" w:rsidR="00D31AEA" w:rsidRPr="008A66FC" w:rsidRDefault="00D31AEA" w:rsidP="00D31AEA">
      <w:pPr>
        <w:spacing w:after="0" w:line="240" w:lineRule="auto"/>
        <w:ind w:firstLine="284"/>
        <w:jc w:val="both"/>
        <w:rPr>
          <w:rFonts w:ascii="Garamond" w:hAnsi="Garamond"/>
          <w:b/>
          <w:sz w:val="24"/>
          <w:szCs w:val="24"/>
        </w:rPr>
      </w:pPr>
      <w:r w:rsidRPr="008A66FC">
        <w:rPr>
          <w:rFonts w:ascii="Garamond" w:hAnsi="Garamond"/>
          <w:b/>
          <w:sz w:val="24"/>
          <w:szCs w:val="24"/>
        </w:rPr>
        <w:t>Data e hyrjes në fuqi dhe periudha kalimtare</w:t>
      </w:r>
    </w:p>
    <w:p w14:paraId="3257E9C0" w14:textId="77777777" w:rsidR="00D31AEA" w:rsidRPr="004B4B2D" w:rsidRDefault="00D31AEA" w:rsidP="00D31AEA">
      <w:pPr>
        <w:spacing w:after="0" w:line="240" w:lineRule="auto"/>
        <w:ind w:firstLine="284"/>
        <w:jc w:val="both"/>
        <w:rPr>
          <w:rFonts w:ascii="Garamond" w:hAnsi="Garamond"/>
          <w:sz w:val="24"/>
          <w:szCs w:val="24"/>
        </w:rPr>
      </w:pPr>
      <w:r w:rsidRPr="004B4B2D">
        <w:rPr>
          <w:rFonts w:ascii="Garamond" w:hAnsi="Garamond"/>
          <w:sz w:val="24"/>
          <w:szCs w:val="24"/>
        </w:rPr>
        <w:t>...</w:t>
      </w:r>
    </w:p>
    <w:p w14:paraId="71AF464F" w14:textId="5031A9E5" w:rsidR="00D31AEA" w:rsidRPr="004B4B2D" w:rsidRDefault="001919A8" w:rsidP="00D31AEA">
      <w:pPr>
        <w:spacing w:after="0" w:line="240" w:lineRule="auto"/>
        <w:ind w:firstLine="284"/>
        <w:jc w:val="both"/>
        <w:rPr>
          <w:rFonts w:ascii="Garamond" w:hAnsi="Garamond"/>
          <w:sz w:val="24"/>
          <w:szCs w:val="24"/>
        </w:rPr>
      </w:pPr>
      <w:r>
        <w:rPr>
          <w:rFonts w:ascii="Garamond" w:hAnsi="Garamond"/>
          <w:sz w:val="24"/>
          <w:szCs w:val="24"/>
        </w:rPr>
        <w:t>44DE</w:t>
      </w:r>
      <w:r w:rsidR="00D31AEA">
        <w:rPr>
          <w:rFonts w:ascii="Garamond" w:hAnsi="Garamond"/>
          <w:sz w:val="24"/>
          <w:szCs w:val="24"/>
        </w:rPr>
        <w:t xml:space="preserve"> </w:t>
      </w:r>
      <w:r w:rsidR="00D31AEA" w:rsidRPr="00287D85">
        <w:rPr>
          <w:rFonts w:ascii="Garamond" w:hAnsi="Garamond"/>
          <w:i/>
          <w:sz w:val="24"/>
          <w:szCs w:val="24"/>
        </w:rPr>
        <w:t>Reforma e Normës së Interesit që Shërben si Standard Krahasues (Benchmark),</w:t>
      </w:r>
      <w:r w:rsidR="00D31AEA" w:rsidRPr="004B4B2D">
        <w:rPr>
          <w:rFonts w:ascii="Garamond" w:hAnsi="Garamond"/>
          <w:sz w:val="24"/>
          <w:szCs w:val="24"/>
        </w:rPr>
        <w:t xml:space="preserve"> që ndryshoi SNRF 9, SNK 39 dhe SNRF 7, i publikuar në Shtator 2019, shtoi paragrafët 24H dhe 44DF. Njësia ekonomike zbaton këto ndryshime kur zbaton ndryshimet në SNRF 9 ose SNK 39.</w:t>
      </w:r>
    </w:p>
    <w:p w14:paraId="6C29438D" w14:textId="77777777" w:rsidR="00D31AEA" w:rsidRPr="004B4B2D" w:rsidRDefault="00D31AEA" w:rsidP="00D31AEA">
      <w:pPr>
        <w:spacing w:after="0" w:line="240" w:lineRule="auto"/>
        <w:ind w:firstLine="284"/>
        <w:jc w:val="both"/>
        <w:rPr>
          <w:rFonts w:ascii="Garamond" w:hAnsi="Garamond"/>
          <w:sz w:val="24"/>
          <w:szCs w:val="24"/>
        </w:rPr>
      </w:pPr>
      <w:r>
        <w:rPr>
          <w:rFonts w:ascii="Garamond" w:hAnsi="Garamond"/>
          <w:sz w:val="24"/>
          <w:szCs w:val="24"/>
        </w:rPr>
        <w:t xml:space="preserve">44DF </w:t>
      </w:r>
      <w:r w:rsidRPr="004B4B2D">
        <w:rPr>
          <w:rFonts w:ascii="Garamond" w:hAnsi="Garamond"/>
          <w:sz w:val="24"/>
          <w:szCs w:val="24"/>
        </w:rPr>
        <w:t xml:space="preserve">Në periudhën e parë raportuese në të cilën njësia ekonomike zbaton </w:t>
      </w:r>
      <w:r w:rsidRPr="00287D85">
        <w:rPr>
          <w:rFonts w:ascii="Garamond" w:hAnsi="Garamond"/>
          <w:i/>
          <w:sz w:val="24"/>
          <w:szCs w:val="24"/>
        </w:rPr>
        <w:t>Reforma e Normës së Interesit që Shërben si Standard Krahasues</w:t>
      </w:r>
      <w:r w:rsidRPr="004B4B2D">
        <w:rPr>
          <w:rFonts w:ascii="Garamond" w:hAnsi="Garamond"/>
          <w:sz w:val="24"/>
          <w:szCs w:val="24"/>
        </w:rPr>
        <w:t xml:space="preserve"> (</w:t>
      </w:r>
      <w:r w:rsidRPr="00287D85">
        <w:rPr>
          <w:rFonts w:ascii="Garamond" w:hAnsi="Garamond"/>
          <w:i/>
          <w:sz w:val="24"/>
          <w:szCs w:val="24"/>
        </w:rPr>
        <w:t>Benchmark</w:t>
      </w:r>
      <w:r w:rsidRPr="004B4B2D">
        <w:rPr>
          <w:rFonts w:ascii="Garamond" w:hAnsi="Garamond"/>
          <w:sz w:val="24"/>
          <w:szCs w:val="24"/>
        </w:rPr>
        <w:t>), të publikuar në Shtator 2019, nuk kërkohet që njësia të paraqesë informacionin sasior të kërkuar nga paragrafi 28(f) i SNK 8 Politikat Kontabël, Ndryshimet në Vlerësimet Kontabël dhe Gabimet.</w:t>
      </w:r>
    </w:p>
    <w:p w14:paraId="061165FF" w14:textId="77777777" w:rsidR="00D31AEA" w:rsidRPr="004B4B2D" w:rsidRDefault="00D31AEA" w:rsidP="00D31AEA">
      <w:pPr>
        <w:spacing w:after="0" w:line="240" w:lineRule="auto"/>
        <w:ind w:firstLine="284"/>
        <w:jc w:val="both"/>
        <w:rPr>
          <w:rFonts w:ascii="Garamond" w:hAnsi="Garamond"/>
          <w:sz w:val="24"/>
          <w:szCs w:val="24"/>
        </w:rPr>
      </w:pPr>
    </w:p>
    <w:p w14:paraId="64829F28" w14:textId="77777777" w:rsidR="00D31AEA" w:rsidRPr="004B4B2D" w:rsidRDefault="00D31AEA" w:rsidP="00D31AEA">
      <w:pPr>
        <w:spacing w:after="0" w:line="240" w:lineRule="auto"/>
        <w:ind w:firstLine="284"/>
        <w:jc w:val="both"/>
        <w:rPr>
          <w:rFonts w:ascii="Garamond" w:hAnsi="Garamond"/>
          <w:sz w:val="24"/>
          <w:szCs w:val="24"/>
        </w:rPr>
      </w:pPr>
    </w:p>
    <w:p w14:paraId="1E2B7A88" w14:textId="77777777" w:rsidR="004B79D0" w:rsidRDefault="004B79D0"/>
    <w:sectPr w:rsidR="004B79D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949F75" w14:textId="77777777" w:rsidR="008360A4" w:rsidRDefault="008360A4" w:rsidP="00D31AEA">
      <w:pPr>
        <w:spacing w:after="0" w:line="240" w:lineRule="auto"/>
      </w:pPr>
      <w:r>
        <w:separator/>
      </w:r>
    </w:p>
  </w:endnote>
  <w:endnote w:type="continuationSeparator" w:id="0">
    <w:p w14:paraId="65D58B6A" w14:textId="77777777" w:rsidR="008360A4" w:rsidRDefault="008360A4" w:rsidP="00D31AEA">
      <w:pPr>
        <w:spacing w:after="0" w:line="240" w:lineRule="auto"/>
      </w:pPr>
      <w:r>
        <w:continuationSeparator/>
      </w:r>
    </w:p>
  </w:endnote>
  <w:endnote w:type="continuationNotice" w:id="1">
    <w:p w14:paraId="2EF3CE34" w14:textId="77777777" w:rsidR="0010362F" w:rsidRDefault="001036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7840EB" w14:textId="77777777" w:rsidR="008360A4" w:rsidRDefault="008360A4" w:rsidP="00D31AEA">
      <w:pPr>
        <w:spacing w:after="0" w:line="240" w:lineRule="auto"/>
      </w:pPr>
      <w:r>
        <w:separator/>
      </w:r>
    </w:p>
  </w:footnote>
  <w:footnote w:type="continuationSeparator" w:id="0">
    <w:p w14:paraId="519B3541" w14:textId="77777777" w:rsidR="008360A4" w:rsidRDefault="008360A4" w:rsidP="00D31AEA">
      <w:pPr>
        <w:spacing w:after="0" w:line="240" w:lineRule="auto"/>
      </w:pPr>
      <w:r>
        <w:continuationSeparator/>
      </w:r>
    </w:p>
  </w:footnote>
  <w:footnote w:type="continuationNotice" w:id="1">
    <w:p w14:paraId="295C0415" w14:textId="77777777" w:rsidR="0010362F" w:rsidRDefault="0010362F">
      <w:pPr>
        <w:spacing w:after="0" w:line="240" w:lineRule="auto"/>
      </w:pPr>
    </w:p>
  </w:footnote>
  <w:footnote w:id="2">
    <w:p w14:paraId="0220B23A" w14:textId="77777777" w:rsidR="008360A4" w:rsidRPr="00432419" w:rsidRDefault="008360A4" w:rsidP="00D31AEA">
      <w:pPr>
        <w:pStyle w:val="FootnoteText"/>
        <w:shd w:val="clear" w:color="auto" w:fill="FFFFFF"/>
        <w:rPr>
          <w:rFonts w:ascii="Garamond" w:hAnsi="Garamond"/>
        </w:rPr>
      </w:pPr>
      <w:r w:rsidRPr="00432419">
        <w:rPr>
          <w:rStyle w:val="FootnoteReference"/>
          <w:rFonts w:ascii="Garamond" w:hAnsi="Garamond"/>
        </w:rPr>
        <w:footnoteRef/>
      </w:r>
      <w:r>
        <w:rPr>
          <w:rFonts w:ascii="Garamond" w:hAnsi="Garamond"/>
        </w:rPr>
        <w:t xml:space="preserve"> </w:t>
      </w:r>
      <w:r w:rsidRPr="00432419">
        <w:rPr>
          <w:rFonts w:ascii="Garamond" w:hAnsi="Garamond"/>
        </w:rPr>
        <w:t xml:space="preserve">Raporti, 'Reforming Major Interest Rate Benchmarks', është i disponueshëm në adresën  http://www.fsb.org/wp-content/uploads/r_140722.pdf. </w:t>
      </w:r>
    </w:p>
  </w:footnote>
  <w:footnote w:id="3">
    <w:p w14:paraId="3B6215BD" w14:textId="77777777" w:rsidR="008360A4" w:rsidRPr="008A66FC" w:rsidRDefault="008360A4" w:rsidP="00D31AEA">
      <w:pPr>
        <w:pStyle w:val="FootnoteText"/>
        <w:shd w:val="clear" w:color="auto" w:fill="FFFFFF"/>
        <w:rPr>
          <w:rFonts w:ascii="Garamond" w:hAnsi="Garamond"/>
        </w:rPr>
      </w:pPr>
      <w:r w:rsidRPr="008A66FC">
        <w:rPr>
          <w:rStyle w:val="FootnoteReference"/>
          <w:rFonts w:ascii="Garamond" w:hAnsi="Garamond"/>
          <w:shd w:val="clear" w:color="auto" w:fill="FFFFFF"/>
        </w:rPr>
        <w:footnoteRef/>
      </w:r>
      <w:r>
        <w:rPr>
          <w:rFonts w:ascii="Garamond" w:hAnsi="Garamond"/>
        </w:rPr>
        <w:t xml:space="preserve"> </w:t>
      </w:r>
      <w:r w:rsidRPr="008A66FC">
        <w:rPr>
          <w:rFonts w:ascii="Garamond" w:hAnsi="Garamond"/>
          <w:shd w:val="clear" w:color="auto" w:fill="FFFFFF"/>
        </w:rPr>
        <w:t>Raporti, 'Reforming Major Interest Rate Benchmarks', është i disponueshëm në adresën  http://www.fsb.org/wp-content/uploads/r_140722.pdf.</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78A5"/>
    <w:rsid w:val="0010362F"/>
    <w:rsid w:val="001919A8"/>
    <w:rsid w:val="00465BC1"/>
    <w:rsid w:val="004B0E26"/>
    <w:rsid w:val="004B79D0"/>
    <w:rsid w:val="007078A5"/>
    <w:rsid w:val="008360A4"/>
    <w:rsid w:val="008E40AD"/>
    <w:rsid w:val="00C41024"/>
    <w:rsid w:val="00D31AEA"/>
    <w:rsid w:val="00D95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64E1C"/>
  <w15:docId w15:val="{D3FFFE02-CE8F-4027-AF0A-7A0679F8C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D31AE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31AEA"/>
    <w:rPr>
      <w:rFonts w:ascii="Garamond" w:eastAsia="MS Mincho" w:hAnsi="Garamond" w:cs="CG Times"/>
      <w:sz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D31AEA"/>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31AE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uiPriority w:val="99"/>
    <w:qFormat/>
    <w:rsid w:val="00D31AEA"/>
    <w:rPr>
      <w:vertAlign w:val="superscript"/>
    </w:rPr>
  </w:style>
  <w:style w:type="paragraph" w:customStyle="1" w:styleId="Char2">
    <w:name w:val="Char2"/>
    <w:basedOn w:val="Normal"/>
    <w:link w:val="FootnoteReference"/>
    <w:uiPriority w:val="99"/>
    <w:rsid w:val="00D31AEA"/>
    <w:pPr>
      <w:spacing w:line="240" w:lineRule="exact"/>
    </w:pPr>
    <w:rPr>
      <w:vertAlign w:val="superscript"/>
    </w:rPr>
  </w:style>
  <w:style w:type="paragraph" w:styleId="Header">
    <w:name w:val="header"/>
    <w:basedOn w:val="Normal"/>
    <w:link w:val="HeaderChar"/>
    <w:uiPriority w:val="99"/>
    <w:semiHidden/>
    <w:unhideWhenUsed/>
    <w:rsid w:val="0010362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0362F"/>
  </w:style>
  <w:style w:type="paragraph" w:styleId="Footer">
    <w:name w:val="footer"/>
    <w:basedOn w:val="Normal"/>
    <w:link w:val="FooterChar"/>
    <w:uiPriority w:val="99"/>
    <w:semiHidden/>
    <w:unhideWhenUsed/>
    <w:rsid w:val="0010362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036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AF0FCE55C1E451E994E48B8DAF9318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88</Nr_x002e__x0020_akti>
    <Data_x0020_e_x0020_Krijimit xmlns="0e656187-b300-4fb0-8bf4-3a50f872073c">2020-04-15T07:24:15Z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2020-04-08T22:00:00Z</Date_x0020_protokolli>
    <Titulli xmlns="0e656187-b300-4fb0-8bf4-3a50f872073c">Për shpalljen e ndryshimeve të përkthimeve të standardit ndërkombëtar të raportimit financiar nr.9 "Instrumentet financiare" (SNRF 9), të standardit ndërkombëtar të kontabilitetit nr.39 "Instrumentet financiare" (SNK 39) si dhe të standardit ndërkombëtar të raportimit financiar nr.7 "Instrumentet financiare" (SNRF 7)</Titulli>
    <Modifikuesi xmlns="0e656187-b300-4fb0-8bf4-3a50f872073c">gladiola.cicako</Modifikuesi>
    <Nr_x002e__x0020_prot_x0020_QBZ xmlns="0e656187-b300-4fb0-8bf4-3a50f872073c">587/1</Nr_x002e__x0020_prot_x0020_QBZ>
    <Data_x0020_e_x0020_Modifikimit xmlns="0e656187-b300-4fb0-8bf4-3a50f872073c">2020-04-15T08:36:30Z</Data_x0020_e_x0020_Modifikimit>
    <Dekretuar xmlns="0e656187-b300-4fb0-8bf4-3a50f872073c">false</Dekretuar>
    <Data xmlns="0e656187-b300-4fb0-8bf4-3a50f872073c">2020-04-02T22:00:00Z</Data>
    <Nr_x002e__x0020_protokolli_x0020_i_x0020_aktit xmlns="0e656187-b300-4fb0-8bf4-3a50f872073c">4212/1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AF0FCE55C1E451E994E48B8DAF9318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7E127D-587F-4E39-B1A4-E1749F7C91D7}">
  <ds:schemaRefs>
    <ds:schemaRef ds:uri="http://schemas.microsoft.com/sharepoint/v3/contenttype/forms"/>
  </ds:schemaRefs>
</ds:datastoreItem>
</file>

<file path=customXml/itemProps2.xml><?xml version="1.0" encoding="utf-8"?>
<ds:datastoreItem xmlns:ds="http://schemas.openxmlformats.org/officeDocument/2006/customXml" ds:itemID="{B3B81561-6DF7-4024-B53C-283AC0B2E3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1E41A5B-0441-4058-93B5-6620C245C0D2}">
  <ds:schemaRefs>
    <ds:schemaRef ds:uri="http://purl.org/dc/terms/"/>
    <ds:schemaRef ds:uri="http://schemas.microsoft.com/office/2006/metadata/properties"/>
    <ds:schemaRef ds:uri="0e656187-b300-4fb0-8bf4-3a50f872073c"/>
    <ds:schemaRef ds:uri="http://purl.org/dc/elements/1.1/"/>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32CC9AA4-A112-469E-AFE0-E2BC5412918D}">
  <ds:schemaRefs>
    <ds:schemaRef ds:uri="http://schemas.microsoft.com/sharepoint/v3/contenttype/forms"/>
  </ds:schemaRefs>
</ds:datastoreItem>
</file>

<file path=customXml/itemProps5.xml><?xml version="1.0" encoding="utf-8"?>
<ds:datastoreItem xmlns:ds="http://schemas.openxmlformats.org/officeDocument/2006/customXml" ds:itemID="{68ADD4D6-C3E1-4E56-9340-075BBBC5FE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2CCE2D2-7F0F-4B97-9C5C-CDB09162A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3290</Words>
  <Characters>18754</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Për shpalljen e ndryshimeve të përkthimeve të standardit ndërkombëtar të raportimit financiar nr.9 "Instrumentet financiare" (SNRF 9), të standardit ndërkombëtar të kontabilitetit nr.39 "Instrumentet financiare" (SNK 39) si dhe të standardit ndërkombëtar </vt:lpstr>
    </vt:vector>
  </TitlesOfParts>
  <Company/>
  <LinksUpToDate>false</LinksUpToDate>
  <CharactersWithSpaces>22001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shpalljen e ndryshimeve të përkthimeve të standardit ndërkombëtar të raportimit financiar nr.9 "Instrumentet financiare" (SNRF 9), të standardit ndërkombëtar të kontabilitetit nr.39 "Instrumentet financiare" (SNK 39) si dhe të standardit ndërkombëtar të raportimit financiar nr.7 "Instrumentet financiare" (SNRF 7)</dc:title>
  <dc:creator>Entela Suli</dc:creator>
  <cp:lastModifiedBy>Entela Suli</cp:lastModifiedBy>
  <cp:revision>8</cp:revision>
  <dcterms:created xsi:type="dcterms:W3CDTF">2020-04-15T06:42:00Z</dcterms:created>
  <dcterms:modified xsi:type="dcterms:W3CDTF">2020-04-15T16:39:00Z</dcterms:modified>
</cp:coreProperties>
</file>