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B65E82" w14:textId="7E6A97A5" w:rsidR="000D773F" w:rsidRPr="00191E67" w:rsidRDefault="00ED65BF" w:rsidP="00B204E4">
      <w:pPr>
        <w:pStyle w:val="NoSpacing"/>
        <w:jc w:val="center"/>
        <w:rPr>
          <w:rFonts w:ascii="Garamond" w:hAnsi="Garamond"/>
          <w:b/>
        </w:rPr>
      </w:pPr>
      <w:r w:rsidRPr="00191E67">
        <w:rPr>
          <w:rFonts w:ascii="Garamond" w:hAnsi="Garamond"/>
          <w:b/>
        </w:rPr>
        <w:t>URDHËR</w:t>
      </w:r>
    </w:p>
    <w:p w14:paraId="4C17AB2F" w14:textId="687A76F5" w:rsidR="006F5277" w:rsidRPr="00B204E4" w:rsidRDefault="000D773F" w:rsidP="005423C5">
      <w:pPr>
        <w:spacing w:after="0" w:line="240" w:lineRule="auto"/>
        <w:ind w:firstLine="284"/>
        <w:jc w:val="center"/>
        <w:rPr>
          <w:rFonts w:ascii="Garamond" w:hAnsi="Garamond"/>
          <w:b/>
          <w:sz w:val="24"/>
          <w:szCs w:val="24"/>
        </w:rPr>
      </w:pPr>
      <w:r w:rsidRPr="00B204E4">
        <w:rPr>
          <w:rFonts w:ascii="Garamond" w:hAnsi="Garamond"/>
          <w:b/>
          <w:sz w:val="24"/>
          <w:szCs w:val="24"/>
        </w:rPr>
        <w:t>Nr</w:t>
      </w:r>
      <w:r w:rsidR="00EF11B8" w:rsidRPr="00B204E4">
        <w:rPr>
          <w:rFonts w:ascii="Garamond" w:hAnsi="Garamond"/>
          <w:b/>
          <w:sz w:val="24"/>
          <w:szCs w:val="24"/>
        </w:rPr>
        <w:t>.</w:t>
      </w:r>
      <w:r w:rsidR="00B204E4">
        <w:rPr>
          <w:rFonts w:ascii="Garamond" w:hAnsi="Garamond"/>
          <w:b/>
          <w:sz w:val="24"/>
          <w:szCs w:val="24"/>
        </w:rPr>
        <w:t xml:space="preserve"> </w:t>
      </w:r>
      <w:r w:rsidR="00EF11B8" w:rsidRPr="00B204E4">
        <w:rPr>
          <w:rFonts w:ascii="Garamond" w:hAnsi="Garamond"/>
          <w:b/>
          <w:sz w:val="24"/>
          <w:szCs w:val="24"/>
        </w:rPr>
        <w:t>177, dat</w:t>
      </w:r>
      <w:r w:rsidRPr="00B204E4">
        <w:rPr>
          <w:rFonts w:ascii="Garamond" w:hAnsi="Garamond"/>
          <w:b/>
          <w:sz w:val="24"/>
          <w:szCs w:val="24"/>
        </w:rPr>
        <w:t>ë</w:t>
      </w:r>
      <w:r w:rsidR="00EF11B8" w:rsidRPr="00B204E4">
        <w:rPr>
          <w:rFonts w:ascii="Garamond" w:hAnsi="Garamond"/>
          <w:b/>
          <w:sz w:val="24"/>
          <w:szCs w:val="24"/>
        </w:rPr>
        <w:t xml:space="preserve"> 2.8.2023</w:t>
      </w:r>
    </w:p>
    <w:p w14:paraId="6AA87277" w14:textId="5B3C2535" w:rsidR="00760E01" w:rsidRPr="00B204E4" w:rsidRDefault="00760E01" w:rsidP="005423C5">
      <w:pPr>
        <w:spacing w:after="0" w:line="240" w:lineRule="auto"/>
        <w:ind w:firstLine="284"/>
        <w:jc w:val="center"/>
        <w:rPr>
          <w:rFonts w:ascii="Garamond" w:hAnsi="Garamond"/>
          <w:b/>
          <w:sz w:val="24"/>
          <w:szCs w:val="24"/>
        </w:rPr>
      </w:pPr>
    </w:p>
    <w:p w14:paraId="2D6C4443" w14:textId="7BE6AD67" w:rsidR="00760E01" w:rsidRPr="00B204E4" w:rsidRDefault="005423C5" w:rsidP="005423C5">
      <w:pPr>
        <w:spacing w:after="0" w:line="240" w:lineRule="auto"/>
        <w:ind w:firstLine="284"/>
        <w:jc w:val="center"/>
        <w:rPr>
          <w:rFonts w:ascii="Garamond" w:hAnsi="Garamond"/>
          <w:b/>
          <w:sz w:val="24"/>
          <w:szCs w:val="24"/>
        </w:rPr>
      </w:pPr>
      <w:r w:rsidRPr="00B204E4">
        <w:rPr>
          <w:rFonts w:ascii="Garamond" w:hAnsi="Garamond"/>
          <w:b/>
          <w:sz w:val="24"/>
          <w:szCs w:val="24"/>
        </w:rPr>
        <w:t>PËR MIRATIMIN E PËRKTHIMIT</w:t>
      </w:r>
      <w:r w:rsidR="00B57074">
        <w:rPr>
          <w:rFonts w:ascii="Garamond" w:hAnsi="Garamond"/>
          <w:b/>
          <w:sz w:val="24"/>
          <w:szCs w:val="24"/>
        </w:rPr>
        <w:t xml:space="preserve"> </w:t>
      </w:r>
      <w:r w:rsidRPr="00B204E4">
        <w:rPr>
          <w:rFonts w:ascii="Garamond" w:hAnsi="Garamond"/>
          <w:b/>
          <w:sz w:val="24"/>
          <w:szCs w:val="24"/>
        </w:rPr>
        <w:t xml:space="preserve">NË GJUHËN SHQIPE TË NDRYSHIMEVE NË STANDARDIN NDËRKOMBËTAR TË KONTABILITETIT (SNK) 12 – </w:t>
      </w:r>
      <w:r w:rsidR="007604D0">
        <w:rPr>
          <w:rFonts w:ascii="Garamond" w:hAnsi="Garamond"/>
          <w:b/>
          <w:sz w:val="24"/>
          <w:szCs w:val="24"/>
        </w:rPr>
        <w:t>“</w:t>
      </w:r>
      <w:r w:rsidRPr="00B204E4">
        <w:rPr>
          <w:rFonts w:ascii="Garamond" w:hAnsi="Garamond"/>
          <w:b/>
          <w:sz w:val="24"/>
          <w:szCs w:val="24"/>
        </w:rPr>
        <w:t>TATIMI MBI TË ARDHURAT</w:t>
      </w:r>
      <w:r w:rsidR="007604D0">
        <w:rPr>
          <w:rFonts w:ascii="Garamond" w:hAnsi="Garamond"/>
          <w:b/>
          <w:sz w:val="24"/>
          <w:szCs w:val="24"/>
        </w:rPr>
        <w:t>”</w:t>
      </w:r>
    </w:p>
    <w:p w14:paraId="6689B249" w14:textId="4B897C60" w:rsidR="00D55C33" w:rsidRPr="00B204E4" w:rsidRDefault="00D55C33" w:rsidP="00620633">
      <w:pPr>
        <w:spacing w:after="0" w:line="240" w:lineRule="auto"/>
        <w:ind w:firstLine="284"/>
        <w:jc w:val="both"/>
        <w:rPr>
          <w:rFonts w:ascii="Garamond" w:hAnsi="Garamond"/>
          <w:sz w:val="24"/>
          <w:szCs w:val="24"/>
        </w:rPr>
      </w:pPr>
    </w:p>
    <w:p w14:paraId="74755141" w14:textId="26A2034E" w:rsidR="00D55C33" w:rsidRPr="00B204E4" w:rsidRDefault="00167255" w:rsidP="00620633">
      <w:pPr>
        <w:spacing w:after="0" w:line="240" w:lineRule="auto"/>
        <w:ind w:firstLine="284"/>
        <w:jc w:val="both"/>
        <w:rPr>
          <w:rFonts w:ascii="Garamond" w:hAnsi="Garamond"/>
          <w:sz w:val="24"/>
          <w:szCs w:val="24"/>
        </w:rPr>
      </w:pPr>
      <w:r w:rsidRPr="00B204E4">
        <w:rPr>
          <w:rFonts w:ascii="Garamond" w:hAnsi="Garamond"/>
          <w:sz w:val="24"/>
          <w:szCs w:val="24"/>
        </w:rPr>
        <w:t>N</w:t>
      </w:r>
      <w:r w:rsidR="00620633" w:rsidRPr="00B204E4">
        <w:rPr>
          <w:rFonts w:ascii="Garamond" w:hAnsi="Garamond"/>
          <w:sz w:val="24"/>
          <w:szCs w:val="24"/>
        </w:rPr>
        <w:t>ë</w:t>
      </w:r>
      <w:r w:rsidRPr="00B204E4">
        <w:rPr>
          <w:rFonts w:ascii="Garamond" w:hAnsi="Garamond"/>
          <w:sz w:val="24"/>
          <w:szCs w:val="24"/>
        </w:rPr>
        <w:t xml:space="preserve"> mb</w:t>
      </w:r>
      <w:r w:rsidR="00620633" w:rsidRPr="00B204E4">
        <w:rPr>
          <w:rFonts w:ascii="Garamond" w:hAnsi="Garamond"/>
          <w:sz w:val="24"/>
          <w:szCs w:val="24"/>
        </w:rPr>
        <w:t>ë</w:t>
      </w:r>
      <w:r w:rsidRPr="00B204E4">
        <w:rPr>
          <w:rFonts w:ascii="Garamond" w:hAnsi="Garamond"/>
          <w:sz w:val="24"/>
          <w:szCs w:val="24"/>
        </w:rPr>
        <w:t>shtetje t</w:t>
      </w:r>
      <w:r w:rsidR="00620633" w:rsidRPr="00B204E4">
        <w:rPr>
          <w:rFonts w:ascii="Garamond" w:hAnsi="Garamond"/>
          <w:sz w:val="24"/>
          <w:szCs w:val="24"/>
        </w:rPr>
        <w:t>ë</w:t>
      </w:r>
      <w:r w:rsidRPr="00B204E4">
        <w:rPr>
          <w:rFonts w:ascii="Garamond" w:hAnsi="Garamond"/>
          <w:sz w:val="24"/>
          <w:szCs w:val="24"/>
        </w:rPr>
        <w:t xml:space="preserve"> nenit 3, pika 4 dhe pika 5, t</w:t>
      </w:r>
      <w:r w:rsidR="00620633" w:rsidRPr="00B204E4">
        <w:rPr>
          <w:rFonts w:ascii="Garamond" w:hAnsi="Garamond"/>
          <w:sz w:val="24"/>
          <w:szCs w:val="24"/>
        </w:rPr>
        <w:t>ë</w:t>
      </w:r>
      <w:r w:rsidRPr="00B204E4">
        <w:rPr>
          <w:rFonts w:ascii="Garamond" w:hAnsi="Garamond"/>
          <w:sz w:val="24"/>
          <w:szCs w:val="24"/>
        </w:rPr>
        <w:t xml:space="preserve"> ligjit nr. 25, dat</w:t>
      </w:r>
      <w:r w:rsidR="00620633" w:rsidRPr="00B204E4">
        <w:rPr>
          <w:rFonts w:ascii="Garamond" w:hAnsi="Garamond"/>
          <w:sz w:val="24"/>
          <w:szCs w:val="24"/>
        </w:rPr>
        <w:t>ë</w:t>
      </w:r>
      <w:r w:rsidRPr="00B204E4">
        <w:rPr>
          <w:rFonts w:ascii="Garamond" w:hAnsi="Garamond"/>
          <w:sz w:val="24"/>
          <w:szCs w:val="24"/>
        </w:rPr>
        <w:t xml:space="preserve"> 10.5.2018</w:t>
      </w:r>
      <w:r w:rsidR="00B204E4">
        <w:rPr>
          <w:rFonts w:ascii="Garamond" w:hAnsi="Garamond"/>
          <w:sz w:val="24"/>
          <w:szCs w:val="24"/>
        </w:rPr>
        <w:t>,</w:t>
      </w:r>
      <w:r w:rsidRPr="00B204E4">
        <w:rPr>
          <w:rFonts w:ascii="Garamond" w:hAnsi="Garamond"/>
          <w:sz w:val="24"/>
          <w:szCs w:val="24"/>
        </w:rPr>
        <w:t xml:space="preserve"> “P</w:t>
      </w:r>
      <w:r w:rsidR="00620633" w:rsidRPr="00B204E4">
        <w:rPr>
          <w:rFonts w:ascii="Garamond" w:hAnsi="Garamond"/>
          <w:sz w:val="24"/>
          <w:szCs w:val="24"/>
        </w:rPr>
        <w:t>ë</w:t>
      </w:r>
      <w:r w:rsidRPr="00B204E4">
        <w:rPr>
          <w:rFonts w:ascii="Garamond" w:hAnsi="Garamond"/>
          <w:sz w:val="24"/>
          <w:szCs w:val="24"/>
        </w:rPr>
        <w:t>r kontabilitetin dhe pasqyrat financiare”</w:t>
      </w:r>
      <w:r w:rsidR="00B204E4">
        <w:rPr>
          <w:rFonts w:ascii="Garamond" w:hAnsi="Garamond"/>
          <w:sz w:val="24"/>
          <w:szCs w:val="24"/>
        </w:rPr>
        <w:t>;</w:t>
      </w:r>
      <w:r w:rsidRPr="00B204E4">
        <w:rPr>
          <w:rFonts w:ascii="Garamond" w:hAnsi="Garamond"/>
          <w:sz w:val="24"/>
          <w:szCs w:val="24"/>
        </w:rPr>
        <w:t xml:space="preserve"> t</w:t>
      </w:r>
      <w:r w:rsidR="00620633" w:rsidRPr="00B204E4">
        <w:rPr>
          <w:rFonts w:ascii="Garamond" w:hAnsi="Garamond"/>
          <w:sz w:val="24"/>
          <w:szCs w:val="24"/>
        </w:rPr>
        <w:t>ë</w:t>
      </w:r>
      <w:r w:rsidRPr="00B204E4">
        <w:rPr>
          <w:rFonts w:ascii="Garamond" w:hAnsi="Garamond"/>
          <w:sz w:val="24"/>
          <w:szCs w:val="24"/>
        </w:rPr>
        <w:t xml:space="preserve"> vendimit t</w:t>
      </w:r>
      <w:r w:rsidR="00620633" w:rsidRPr="00B204E4">
        <w:rPr>
          <w:rFonts w:ascii="Garamond" w:hAnsi="Garamond"/>
          <w:sz w:val="24"/>
          <w:szCs w:val="24"/>
        </w:rPr>
        <w:t>ë</w:t>
      </w:r>
      <w:r w:rsidRPr="00B204E4">
        <w:rPr>
          <w:rFonts w:ascii="Garamond" w:hAnsi="Garamond"/>
          <w:sz w:val="24"/>
          <w:szCs w:val="24"/>
        </w:rPr>
        <w:t xml:space="preserve"> K</w:t>
      </w:r>
      <w:r w:rsidR="00620633" w:rsidRPr="00B204E4">
        <w:rPr>
          <w:rFonts w:ascii="Garamond" w:hAnsi="Garamond"/>
          <w:sz w:val="24"/>
          <w:szCs w:val="24"/>
        </w:rPr>
        <w:t>ë</w:t>
      </w:r>
      <w:r w:rsidRPr="00B204E4">
        <w:rPr>
          <w:rFonts w:ascii="Garamond" w:hAnsi="Garamond"/>
          <w:sz w:val="24"/>
          <w:szCs w:val="24"/>
        </w:rPr>
        <w:t>shillit t</w:t>
      </w:r>
      <w:r w:rsidR="00620633" w:rsidRPr="00B204E4">
        <w:rPr>
          <w:rFonts w:ascii="Garamond" w:hAnsi="Garamond"/>
          <w:sz w:val="24"/>
          <w:szCs w:val="24"/>
        </w:rPr>
        <w:t>ë</w:t>
      </w:r>
      <w:r w:rsidRPr="00B204E4">
        <w:rPr>
          <w:rFonts w:ascii="Garamond" w:hAnsi="Garamond"/>
          <w:sz w:val="24"/>
          <w:szCs w:val="24"/>
        </w:rPr>
        <w:t xml:space="preserve"> Ministrave nr. 505, dat</w:t>
      </w:r>
      <w:r w:rsidR="00620633" w:rsidRPr="00B204E4">
        <w:rPr>
          <w:rFonts w:ascii="Garamond" w:hAnsi="Garamond"/>
          <w:sz w:val="24"/>
          <w:szCs w:val="24"/>
        </w:rPr>
        <w:t>ë</w:t>
      </w:r>
      <w:r w:rsidRPr="00B204E4">
        <w:rPr>
          <w:rFonts w:ascii="Garamond" w:hAnsi="Garamond"/>
          <w:sz w:val="24"/>
          <w:szCs w:val="24"/>
        </w:rPr>
        <w:t xml:space="preserve"> 17.7.2019</w:t>
      </w:r>
      <w:r w:rsidR="00B204E4">
        <w:rPr>
          <w:rFonts w:ascii="Garamond" w:hAnsi="Garamond"/>
          <w:sz w:val="24"/>
          <w:szCs w:val="24"/>
        </w:rPr>
        <w:t>,</w:t>
      </w:r>
      <w:r w:rsidRPr="00B204E4">
        <w:rPr>
          <w:rFonts w:ascii="Garamond" w:hAnsi="Garamond"/>
          <w:sz w:val="24"/>
          <w:szCs w:val="24"/>
        </w:rPr>
        <w:t xml:space="preserve"> “P</w:t>
      </w:r>
      <w:r w:rsidR="00620633" w:rsidRPr="00B204E4">
        <w:rPr>
          <w:rFonts w:ascii="Garamond" w:hAnsi="Garamond"/>
          <w:sz w:val="24"/>
          <w:szCs w:val="24"/>
        </w:rPr>
        <w:t>ë</w:t>
      </w:r>
      <w:r w:rsidRPr="00B204E4">
        <w:rPr>
          <w:rFonts w:ascii="Garamond" w:hAnsi="Garamond"/>
          <w:sz w:val="24"/>
          <w:szCs w:val="24"/>
        </w:rPr>
        <w:t xml:space="preserve">r </w:t>
      </w:r>
      <w:r w:rsidR="00B204E4" w:rsidRPr="00B204E4">
        <w:rPr>
          <w:rFonts w:ascii="Garamond" w:hAnsi="Garamond"/>
          <w:sz w:val="24"/>
          <w:szCs w:val="24"/>
        </w:rPr>
        <w:t>miratimin</w:t>
      </w:r>
      <w:r w:rsidRPr="00B204E4">
        <w:rPr>
          <w:rFonts w:ascii="Garamond" w:hAnsi="Garamond"/>
          <w:sz w:val="24"/>
          <w:szCs w:val="24"/>
        </w:rPr>
        <w:t xml:space="preserve"> e rregullores s</w:t>
      </w:r>
      <w:r w:rsidR="00620633" w:rsidRPr="00B204E4">
        <w:rPr>
          <w:rFonts w:ascii="Garamond" w:hAnsi="Garamond"/>
          <w:sz w:val="24"/>
          <w:szCs w:val="24"/>
        </w:rPr>
        <w:t>ë</w:t>
      </w:r>
      <w:r w:rsidRPr="00B204E4">
        <w:rPr>
          <w:rFonts w:ascii="Garamond" w:hAnsi="Garamond"/>
          <w:sz w:val="24"/>
          <w:szCs w:val="24"/>
        </w:rPr>
        <w:t xml:space="preserve"> brendshme t</w:t>
      </w:r>
      <w:r w:rsidR="00620633" w:rsidRPr="00B204E4">
        <w:rPr>
          <w:rFonts w:ascii="Garamond" w:hAnsi="Garamond"/>
          <w:sz w:val="24"/>
          <w:szCs w:val="24"/>
        </w:rPr>
        <w:t>ë</w:t>
      </w:r>
      <w:r w:rsidRPr="00B204E4">
        <w:rPr>
          <w:rFonts w:ascii="Garamond" w:hAnsi="Garamond"/>
          <w:sz w:val="24"/>
          <w:szCs w:val="24"/>
        </w:rPr>
        <w:t xml:space="preserve"> organizimit dhe funksionimit t</w:t>
      </w:r>
      <w:r w:rsidR="00620633" w:rsidRPr="00B204E4">
        <w:rPr>
          <w:rFonts w:ascii="Garamond" w:hAnsi="Garamond"/>
          <w:sz w:val="24"/>
          <w:szCs w:val="24"/>
        </w:rPr>
        <w:t>ë</w:t>
      </w:r>
      <w:r w:rsidRPr="00B204E4">
        <w:rPr>
          <w:rFonts w:ascii="Garamond" w:hAnsi="Garamond"/>
          <w:sz w:val="24"/>
          <w:szCs w:val="24"/>
        </w:rPr>
        <w:t xml:space="preserve"> K</w:t>
      </w:r>
      <w:r w:rsidR="00620633" w:rsidRPr="00B204E4">
        <w:rPr>
          <w:rFonts w:ascii="Garamond" w:hAnsi="Garamond"/>
          <w:sz w:val="24"/>
          <w:szCs w:val="24"/>
        </w:rPr>
        <w:t>ë</w:t>
      </w:r>
      <w:r w:rsidRPr="00B204E4">
        <w:rPr>
          <w:rFonts w:ascii="Garamond" w:hAnsi="Garamond"/>
          <w:sz w:val="24"/>
          <w:szCs w:val="24"/>
        </w:rPr>
        <w:t>shillit Komb</w:t>
      </w:r>
      <w:r w:rsidR="00620633" w:rsidRPr="00B204E4">
        <w:rPr>
          <w:rFonts w:ascii="Garamond" w:hAnsi="Garamond"/>
          <w:sz w:val="24"/>
          <w:szCs w:val="24"/>
        </w:rPr>
        <w:t>ë</w:t>
      </w:r>
      <w:r w:rsidRPr="00B204E4">
        <w:rPr>
          <w:rFonts w:ascii="Garamond" w:hAnsi="Garamond"/>
          <w:sz w:val="24"/>
          <w:szCs w:val="24"/>
        </w:rPr>
        <w:t>tar t</w:t>
      </w:r>
      <w:r w:rsidR="00620633" w:rsidRPr="00B204E4">
        <w:rPr>
          <w:rFonts w:ascii="Garamond" w:hAnsi="Garamond"/>
          <w:sz w:val="24"/>
          <w:szCs w:val="24"/>
        </w:rPr>
        <w:t>ë</w:t>
      </w:r>
      <w:r w:rsidRPr="00B204E4">
        <w:rPr>
          <w:rFonts w:ascii="Garamond" w:hAnsi="Garamond"/>
          <w:sz w:val="24"/>
          <w:szCs w:val="24"/>
        </w:rPr>
        <w:t xml:space="preserve"> Kontabilitetit</w:t>
      </w:r>
      <w:r w:rsidR="006E782D" w:rsidRPr="00B204E4">
        <w:rPr>
          <w:rFonts w:ascii="Garamond" w:hAnsi="Garamond"/>
          <w:sz w:val="24"/>
          <w:szCs w:val="24"/>
        </w:rPr>
        <w:t>”,</w:t>
      </w:r>
    </w:p>
    <w:p w14:paraId="7C762DFB" w14:textId="5CCF0332" w:rsidR="006E782D" w:rsidRPr="00B204E4" w:rsidRDefault="006E782D" w:rsidP="00620633">
      <w:pPr>
        <w:spacing w:after="0" w:line="240" w:lineRule="auto"/>
        <w:ind w:firstLine="284"/>
        <w:jc w:val="both"/>
        <w:rPr>
          <w:rFonts w:ascii="Garamond" w:hAnsi="Garamond"/>
          <w:sz w:val="24"/>
          <w:szCs w:val="24"/>
        </w:rPr>
      </w:pPr>
    </w:p>
    <w:p w14:paraId="0CBA8FAD" w14:textId="5DE403BD" w:rsidR="006E782D" w:rsidRPr="00B204E4" w:rsidRDefault="005423C5" w:rsidP="005423C5">
      <w:pPr>
        <w:spacing w:after="0" w:line="240" w:lineRule="auto"/>
        <w:ind w:firstLine="284"/>
        <w:jc w:val="center"/>
        <w:rPr>
          <w:rFonts w:ascii="Garamond" w:hAnsi="Garamond"/>
          <w:sz w:val="24"/>
          <w:szCs w:val="24"/>
        </w:rPr>
      </w:pPr>
      <w:r w:rsidRPr="00B204E4">
        <w:rPr>
          <w:rFonts w:ascii="Garamond" w:hAnsi="Garamond"/>
          <w:sz w:val="24"/>
          <w:szCs w:val="24"/>
        </w:rPr>
        <w:t>URDHËROJ:</w:t>
      </w:r>
    </w:p>
    <w:p w14:paraId="5AF8AE74" w14:textId="1149755B" w:rsidR="006E782D" w:rsidRPr="00B204E4" w:rsidRDefault="006E782D" w:rsidP="00620633">
      <w:pPr>
        <w:spacing w:after="0" w:line="240" w:lineRule="auto"/>
        <w:ind w:firstLine="284"/>
        <w:jc w:val="both"/>
        <w:rPr>
          <w:rFonts w:ascii="Garamond" w:hAnsi="Garamond"/>
          <w:sz w:val="24"/>
          <w:szCs w:val="24"/>
        </w:rPr>
      </w:pPr>
    </w:p>
    <w:p w14:paraId="4A27D609" w14:textId="603A2618" w:rsidR="006E782D" w:rsidRPr="00B204E4" w:rsidRDefault="006E782D" w:rsidP="00620633">
      <w:pPr>
        <w:spacing w:after="0" w:line="240" w:lineRule="auto"/>
        <w:ind w:firstLine="284"/>
        <w:jc w:val="both"/>
        <w:rPr>
          <w:rFonts w:ascii="Garamond" w:hAnsi="Garamond"/>
          <w:sz w:val="24"/>
          <w:szCs w:val="24"/>
        </w:rPr>
      </w:pPr>
      <w:r w:rsidRPr="00B204E4">
        <w:rPr>
          <w:rFonts w:ascii="Garamond" w:hAnsi="Garamond"/>
          <w:sz w:val="24"/>
          <w:szCs w:val="24"/>
        </w:rPr>
        <w:t>1.</w:t>
      </w:r>
      <w:r w:rsidR="00B204E4">
        <w:rPr>
          <w:rFonts w:ascii="Garamond" w:hAnsi="Garamond"/>
          <w:sz w:val="24"/>
          <w:szCs w:val="24"/>
        </w:rPr>
        <w:t xml:space="preserve"> </w:t>
      </w:r>
      <w:r w:rsidRPr="00B204E4">
        <w:rPr>
          <w:rFonts w:ascii="Garamond" w:hAnsi="Garamond"/>
          <w:sz w:val="24"/>
          <w:szCs w:val="24"/>
        </w:rPr>
        <w:t>Shpalljen e ndryshimeve n</w:t>
      </w:r>
      <w:r w:rsidR="00620633" w:rsidRPr="00B204E4">
        <w:rPr>
          <w:rFonts w:ascii="Garamond" w:hAnsi="Garamond"/>
          <w:sz w:val="24"/>
          <w:szCs w:val="24"/>
        </w:rPr>
        <w:t>ë</w:t>
      </w:r>
      <w:r w:rsidRPr="00B204E4">
        <w:rPr>
          <w:rFonts w:ascii="Garamond" w:hAnsi="Garamond"/>
          <w:sz w:val="24"/>
          <w:szCs w:val="24"/>
        </w:rPr>
        <w:t xml:space="preserve"> Standardin Nd</w:t>
      </w:r>
      <w:r w:rsidR="00620633" w:rsidRPr="00B204E4">
        <w:rPr>
          <w:rFonts w:ascii="Garamond" w:hAnsi="Garamond"/>
          <w:sz w:val="24"/>
          <w:szCs w:val="24"/>
        </w:rPr>
        <w:t>ë</w:t>
      </w:r>
      <w:r w:rsidRPr="00B204E4">
        <w:rPr>
          <w:rFonts w:ascii="Garamond" w:hAnsi="Garamond"/>
          <w:sz w:val="24"/>
          <w:szCs w:val="24"/>
        </w:rPr>
        <w:t>rkomb</w:t>
      </w:r>
      <w:r w:rsidR="00620633" w:rsidRPr="00B204E4">
        <w:rPr>
          <w:rFonts w:ascii="Garamond" w:hAnsi="Garamond"/>
          <w:sz w:val="24"/>
          <w:szCs w:val="24"/>
        </w:rPr>
        <w:t>ë</w:t>
      </w:r>
      <w:r w:rsidRPr="00B204E4">
        <w:rPr>
          <w:rFonts w:ascii="Garamond" w:hAnsi="Garamond"/>
          <w:sz w:val="24"/>
          <w:szCs w:val="24"/>
        </w:rPr>
        <w:t>tar t</w:t>
      </w:r>
      <w:r w:rsidR="00620633" w:rsidRPr="00B204E4">
        <w:rPr>
          <w:rFonts w:ascii="Garamond" w:hAnsi="Garamond"/>
          <w:sz w:val="24"/>
          <w:szCs w:val="24"/>
        </w:rPr>
        <w:t>ë</w:t>
      </w:r>
      <w:r w:rsidRPr="00B204E4">
        <w:rPr>
          <w:rFonts w:ascii="Garamond" w:hAnsi="Garamond"/>
          <w:sz w:val="24"/>
          <w:szCs w:val="24"/>
        </w:rPr>
        <w:t xml:space="preserve"> Kontabilitetit (SNK) 12 “Tatimi mbi t</w:t>
      </w:r>
      <w:r w:rsidR="00620633" w:rsidRPr="00B204E4">
        <w:rPr>
          <w:rFonts w:ascii="Garamond" w:hAnsi="Garamond"/>
          <w:sz w:val="24"/>
          <w:szCs w:val="24"/>
        </w:rPr>
        <w:t>ë</w:t>
      </w:r>
      <w:r w:rsidRPr="00B204E4">
        <w:rPr>
          <w:rFonts w:ascii="Garamond" w:hAnsi="Garamond"/>
          <w:sz w:val="24"/>
          <w:szCs w:val="24"/>
        </w:rPr>
        <w:t xml:space="preserve"> ardhurat”.</w:t>
      </w:r>
    </w:p>
    <w:p w14:paraId="28B73121" w14:textId="3769F7DD" w:rsidR="006E782D" w:rsidRPr="00B204E4" w:rsidRDefault="006E782D" w:rsidP="00620633">
      <w:pPr>
        <w:spacing w:after="0" w:line="240" w:lineRule="auto"/>
        <w:ind w:firstLine="284"/>
        <w:jc w:val="both"/>
        <w:rPr>
          <w:rFonts w:ascii="Garamond" w:hAnsi="Garamond"/>
          <w:sz w:val="24"/>
          <w:szCs w:val="24"/>
        </w:rPr>
      </w:pPr>
      <w:r w:rsidRPr="00B204E4">
        <w:rPr>
          <w:rFonts w:ascii="Garamond" w:hAnsi="Garamond"/>
          <w:sz w:val="24"/>
          <w:szCs w:val="24"/>
        </w:rPr>
        <w:t>2.</w:t>
      </w:r>
      <w:r w:rsidR="00B204E4">
        <w:rPr>
          <w:rFonts w:ascii="Garamond" w:hAnsi="Garamond"/>
          <w:sz w:val="24"/>
          <w:szCs w:val="24"/>
        </w:rPr>
        <w:t xml:space="preserve"> </w:t>
      </w:r>
      <w:r w:rsidR="00620633" w:rsidRPr="00B204E4">
        <w:rPr>
          <w:rFonts w:ascii="Garamond" w:hAnsi="Garamond"/>
          <w:sz w:val="24"/>
          <w:szCs w:val="24"/>
        </w:rPr>
        <w:t>Njësia ekonomike do të:</w:t>
      </w:r>
    </w:p>
    <w:p w14:paraId="4B229096" w14:textId="066E6BC8" w:rsidR="00620633" w:rsidRPr="00B204E4" w:rsidRDefault="00620633" w:rsidP="00620633">
      <w:pPr>
        <w:spacing w:after="0" w:line="240" w:lineRule="auto"/>
        <w:ind w:firstLine="284"/>
        <w:jc w:val="both"/>
        <w:rPr>
          <w:rFonts w:ascii="Garamond" w:hAnsi="Garamond"/>
          <w:sz w:val="24"/>
          <w:szCs w:val="24"/>
        </w:rPr>
      </w:pPr>
      <w:r w:rsidRPr="00B204E4">
        <w:rPr>
          <w:rFonts w:ascii="Garamond" w:hAnsi="Garamond"/>
          <w:sz w:val="24"/>
          <w:szCs w:val="24"/>
        </w:rPr>
        <w:t>a)</w:t>
      </w:r>
      <w:r w:rsidR="00B204E4">
        <w:rPr>
          <w:rFonts w:ascii="Garamond" w:hAnsi="Garamond"/>
          <w:sz w:val="24"/>
          <w:szCs w:val="24"/>
        </w:rPr>
        <w:t xml:space="preserve"> </w:t>
      </w:r>
      <w:r w:rsidRPr="00B204E4">
        <w:rPr>
          <w:rFonts w:ascii="Garamond" w:hAnsi="Garamond"/>
          <w:sz w:val="24"/>
          <w:szCs w:val="24"/>
        </w:rPr>
        <w:t xml:space="preserve">zbatojë paragrafët 4A dhe 88A menjëherë pas publikimit të këtyre </w:t>
      </w:r>
      <w:r w:rsidR="00B204E4" w:rsidRPr="00B204E4">
        <w:rPr>
          <w:rFonts w:ascii="Garamond" w:hAnsi="Garamond"/>
          <w:sz w:val="24"/>
          <w:szCs w:val="24"/>
        </w:rPr>
        <w:t>ndryshimeve</w:t>
      </w:r>
      <w:r w:rsidRPr="00B204E4">
        <w:rPr>
          <w:rFonts w:ascii="Garamond" w:hAnsi="Garamond"/>
          <w:sz w:val="24"/>
          <w:szCs w:val="24"/>
        </w:rPr>
        <w:t xml:space="preserve"> dhe në retrospektivë në përputhje me SNK8; dhe</w:t>
      </w:r>
    </w:p>
    <w:p w14:paraId="09C4C60D" w14:textId="636B838F" w:rsidR="00620633" w:rsidRPr="00B204E4" w:rsidRDefault="00620633" w:rsidP="00620633">
      <w:pPr>
        <w:spacing w:after="0" w:line="240" w:lineRule="auto"/>
        <w:ind w:firstLine="284"/>
        <w:jc w:val="both"/>
        <w:rPr>
          <w:rFonts w:ascii="Garamond" w:hAnsi="Garamond"/>
          <w:sz w:val="24"/>
          <w:szCs w:val="24"/>
        </w:rPr>
      </w:pPr>
      <w:r w:rsidRPr="00B204E4">
        <w:rPr>
          <w:rFonts w:ascii="Garamond" w:hAnsi="Garamond"/>
          <w:sz w:val="24"/>
          <w:szCs w:val="24"/>
        </w:rPr>
        <w:t>b)</w:t>
      </w:r>
      <w:r w:rsidR="00B204E4">
        <w:rPr>
          <w:rFonts w:ascii="Garamond" w:hAnsi="Garamond"/>
          <w:sz w:val="24"/>
          <w:szCs w:val="24"/>
        </w:rPr>
        <w:t xml:space="preserve"> </w:t>
      </w:r>
      <w:r w:rsidRPr="00B204E4">
        <w:rPr>
          <w:rFonts w:ascii="Garamond" w:hAnsi="Garamond"/>
          <w:sz w:val="24"/>
          <w:szCs w:val="24"/>
        </w:rPr>
        <w:t>zbatojë paragrafët 88B</w:t>
      </w:r>
      <w:r w:rsidR="00B204E4">
        <w:rPr>
          <w:rFonts w:ascii="Garamond" w:hAnsi="Garamond"/>
          <w:sz w:val="24"/>
          <w:szCs w:val="24"/>
        </w:rPr>
        <w:t>–</w:t>
      </w:r>
      <w:r w:rsidRPr="00B204E4">
        <w:rPr>
          <w:rFonts w:ascii="Garamond" w:hAnsi="Garamond"/>
          <w:sz w:val="24"/>
          <w:szCs w:val="24"/>
        </w:rPr>
        <w:t>88D për periudhat vjetore raportuese që fillojnë më 1 janar 2023 e në vijim. Nuk kërkohet që njësia ekonomike të japë informacionet shpjeguese të kërkuara nga këta paragrafë për periudha të ndërmjetme, që përfundojnë më 31 dhjetor 2023 apo më parë.</w:t>
      </w:r>
    </w:p>
    <w:p w14:paraId="63EE318C" w14:textId="2EA2E815" w:rsidR="00620633" w:rsidRPr="00B204E4" w:rsidRDefault="00620633" w:rsidP="00620633">
      <w:pPr>
        <w:spacing w:after="0" w:line="240" w:lineRule="auto"/>
        <w:ind w:firstLine="284"/>
        <w:jc w:val="both"/>
        <w:rPr>
          <w:rFonts w:ascii="Garamond" w:hAnsi="Garamond"/>
          <w:sz w:val="24"/>
          <w:szCs w:val="24"/>
        </w:rPr>
      </w:pPr>
      <w:r w:rsidRPr="00B204E4">
        <w:rPr>
          <w:rFonts w:ascii="Garamond" w:hAnsi="Garamond"/>
          <w:sz w:val="24"/>
          <w:szCs w:val="24"/>
        </w:rPr>
        <w:t>3.</w:t>
      </w:r>
      <w:r w:rsidR="00B204E4">
        <w:rPr>
          <w:rFonts w:ascii="Garamond" w:hAnsi="Garamond"/>
          <w:sz w:val="24"/>
          <w:szCs w:val="24"/>
        </w:rPr>
        <w:t xml:space="preserve"> </w:t>
      </w:r>
      <w:r w:rsidRPr="00B204E4">
        <w:rPr>
          <w:rFonts w:ascii="Garamond" w:hAnsi="Garamond"/>
          <w:sz w:val="24"/>
          <w:szCs w:val="24"/>
        </w:rPr>
        <w:t>Ky urdhër hyn në fuqi pas botimit në Fletoren Zyrtare.</w:t>
      </w:r>
    </w:p>
    <w:p w14:paraId="0DA617E0" w14:textId="37EEA9BE" w:rsidR="00620633" w:rsidRPr="00B204E4" w:rsidRDefault="00620633" w:rsidP="00620633">
      <w:pPr>
        <w:spacing w:after="0" w:line="240" w:lineRule="auto"/>
        <w:ind w:firstLine="284"/>
        <w:jc w:val="both"/>
        <w:rPr>
          <w:rFonts w:ascii="Garamond" w:hAnsi="Garamond"/>
          <w:sz w:val="24"/>
          <w:szCs w:val="24"/>
        </w:rPr>
      </w:pPr>
    </w:p>
    <w:p w14:paraId="59F2AECB" w14:textId="34F2CD10" w:rsidR="00620633" w:rsidRPr="00B204E4" w:rsidRDefault="005423C5" w:rsidP="005423C5">
      <w:pPr>
        <w:spacing w:after="0" w:line="240" w:lineRule="auto"/>
        <w:ind w:firstLine="284"/>
        <w:jc w:val="right"/>
        <w:rPr>
          <w:rFonts w:ascii="Garamond" w:hAnsi="Garamond"/>
          <w:sz w:val="24"/>
          <w:szCs w:val="24"/>
        </w:rPr>
      </w:pPr>
      <w:r w:rsidRPr="00B204E4">
        <w:rPr>
          <w:rFonts w:ascii="Garamond" w:hAnsi="Garamond"/>
          <w:sz w:val="24"/>
          <w:szCs w:val="24"/>
        </w:rPr>
        <w:t>MINISTËR I FINANCAVE DHE EKONOMISË</w:t>
      </w:r>
    </w:p>
    <w:p w14:paraId="2094C91F" w14:textId="5E001D52" w:rsidR="00620633" w:rsidRPr="00B204E4" w:rsidRDefault="00620633" w:rsidP="005423C5">
      <w:pPr>
        <w:spacing w:after="0" w:line="240" w:lineRule="auto"/>
        <w:ind w:firstLine="284"/>
        <w:jc w:val="right"/>
        <w:rPr>
          <w:rFonts w:ascii="Garamond" w:hAnsi="Garamond"/>
          <w:b/>
          <w:sz w:val="24"/>
          <w:szCs w:val="24"/>
        </w:rPr>
      </w:pPr>
      <w:r w:rsidRPr="00B204E4">
        <w:rPr>
          <w:rFonts w:ascii="Garamond" w:hAnsi="Garamond"/>
          <w:b/>
          <w:sz w:val="24"/>
          <w:szCs w:val="24"/>
        </w:rPr>
        <w:t>Delina Ibrahimaj</w:t>
      </w:r>
    </w:p>
    <w:p w14:paraId="4571BE29" w14:textId="07B50B75" w:rsidR="0099615C" w:rsidRPr="00B204E4" w:rsidRDefault="0099615C" w:rsidP="00620633">
      <w:pPr>
        <w:spacing w:after="0" w:line="240" w:lineRule="auto"/>
        <w:ind w:firstLine="284"/>
        <w:jc w:val="both"/>
        <w:rPr>
          <w:rFonts w:ascii="Garamond" w:hAnsi="Garamond"/>
          <w:sz w:val="24"/>
          <w:szCs w:val="24"/>
        </w:rPr>
      </w:pPr>
    </w:p>
    <w:p w14:paraId="4BB86707" w14:textId="77777777" w:rsidR="004077D3" w:rsidRPr="00B204E4" w:rsidRDefault="004077D3" w:rsidP="00620633">
      <w:pPr>
        <w:spacing w:after="0" w:line="240" w:lineRule="auto"/>
        <w:ind w:firstLine="284"/>
        <w:jc w:val="both"/>
        <w:rPr>
          <w:rFonts w:ascii="Garamond" w:hAnsi="Garamond"/>
          <w:b/>
          <w:sz w:val="24"/>
          <w:szCs w:val="24"/>
          <w:lang w:eastAsia="sq-AL"/>
        </w:rPr>
      </w:pPr>
    </w:p>
    <w:p w14:paraId="6F86B19B" w14:textId="7189BA2E" w:rsidR="005423C5" w:rsidRPr="00B204E4" w:rsidRDefault="005423C5" w:rsidP="00620633">
      <w:pPr>
        <w:spacing w:after="0" w:line="240" w:lineRule="auto"/>
        <w:ind w:firstLine="284"/>
        <w:jc w:val="both"/>
        <w:rPr>
          <w:rFonts w:ascii="Garamond" w:hAnsi="Garamond"/>
          <w:lang w:eastAsia="sq-AL"/>
        </w:rPr>
      </w:pPr>
      <w:r w:rsidRPr="00B204E4">
        <w:rPr>
          <w:rFonts w:ascii="Garamond" w:hAnsi="Garamond"/>
          <w:b/>
          <w:sz w:val="24"/>
          <w:szCs w:val="24"/>
          <w:lang w:eastAsia="sq-AL"/>
        </w:rPr>
        <w:t>Reforma Tatimore Ndërkombëtare—Modeli i Rregullave të Shtyllës së Dytë</w:t>
      </w:r>
    </w:p>
    <w:p w14:paraId="646B2B57" w14:textId="77777777" w:rsidR="005423C5" w:rsidRPr="00B204E4" w:rsidRDefault="005423C5" w:rsidP="00620633">
      <w:pPr>
        <w:spacing w:after="0" w:line="240" w:lineRule="auto"/>
        <w:ind w:firstLine="284"/>
        <w:jc w:val="both"/>
        <w:rPr>
          <w:rFonts w:ascii="Garamond" w:hAnsi="Garamond"/>
          <w:sz w:val="24"/>
          <w:szCs w:val="24"/>
          <w:lang w:eastAsia="sq-AL"/>
        </w:rPr>
      </w:pPr>
    </w:p>
    <w:p w14:paraId="47852EB1" w14:textId="353668B3" w:rsidR="00A82531" w:rsidRPr="00B204E4" w:rsidRDefault="005423C5" w:rsidP="00620633">
      <w:pPr>
        <w:spacing w:after="0" w:line="240" w:lineRule="auto"/>
        <w:ind w:firstLine="284"/>
        <w:jc w:val="both"/>
        <w:rPr>
          <w:rFonts w:ascii="Garamond" w:hAnsi="Garamond"/>
          <w:sz w:val="24"/>
          <w:szCs w:val="24"/>
        </w:rPr>
      </w:pPr>
      <w:r w:rsidRPr="00B204E4">
        <w:rPr>
          <w:rFonts w:ascii="Garamond" w:hAnsi="Garamond"/>
          <w:sz w:val="24"/>
          <w:szCs w:val="24"/>
          <w:lang w:eastAsia="sq-AL"/>
        </w:rPr>
        <w:t>Ndryshime në SNK 12</w:t>
      </w:r>
    </w:p>
    <w:p w14:paraId="3156A04C" w14:textId="77777777" w:rsidR="00A82531" w:rsidRPr="00B204E4" w:rsidRDefault="00A82531" w:rsidP="00A82531">
      <w:pPr>
        <w:rPr>
          <w:rFonts w:ascii="Garamond" w:hAnsi="Garamond"/>
          <w:sz w:val="24"/>
          <w:szCs w:val="24"/>
        </w:rPr>
      </w:pPr>
    </w:p>
    <w:p w14:paraId="18F3666F" w14:textId="77777777" w:rsidR="00A82531" w:rsidRPr="00B204E4" w:rsidRDefault="00A82531" w:rsidP="00A82531">
      <w:pPr>
        <w:rPr>
          <w:rFonts w:ascii="Garamond" w:hAnsi="Garamond"/>
          <w:sz w:val="24"/>
          <w:szCs w:val="24"/>
        </w:rPr>
      </w:pPr>
    </w:p>
    <w:p w14:paraId="31F1AB9F" w14:textId="77777777" w:rsidR="00A82531" w:rsidRPr="00B204E4" w:rsidRDefault="00A82531" w:rsidP="00A82531">
      <w:pPr>
        <w:rPr>
          <w:rFonts w:ascii="Garamond" w:hAnsi="Garamond"/>
          <w:sz w:val="24"/>
          <w:szCs w:val="24"/>
        </w:rPr>
      </w:pPr>
    </w:p>
    <w:p w14:paraId="1E59F62F" w14:textId="77777777" w:rsidR="00A82531" w:rsidRPr="00B204E4" w:rsidRDefault="00A82531" w:rsidP="00A82531">
      <w:pPr>
        <w:rPr>
          <w:rFonts w:ascii="Garamond" w:hAnsi="Garamond"/>
          <w:sz w:val="24"/>
          <w:szCs w:val="24"/>
        </w:rPr>
      </w:pPr>
    </w:p>
    <w:p w14:paraId="2926BA5F" w14:textId="77777777" w:rsidR="00A82531" w:rsidRPr="00B204E4" w:rsidRDefault="00A82531" w:rsidP="00A82531">
      <w:pPr>
        <w:rPr>
          <w:rFonts w:ascii="Garamond" w:hAnsi="Garamond"/>
          <w:sz w:val="24"/>
          <w:szCs w:val="24"/>
        </w:rPr>
      </w:pPr>
    </w:p>
    <w:p w14:paraId="2182C953" w14:textId="77777777" w:rsidR="00A82531" w:rsidRPr="00B204E4" w:rsidRDefault="00A82531" w:rsidP="00A82531">
      <w:pPr>
        <w:rPr>
          <w:rFonts w:ascii="Garamond" w:hAnsi="Garamond"/>
          <w:sz w:val="24"/>
          <w:szCs w:val="24"/>
        </w:rPr>
      </w:pPr>
    </w:p>
    <w:p w14:paraId="05596579" w14:textId="77777777" w:rsidR="00A82531" w:rsidRPr="00B204E4" w:rsidRDefault="00A82531" w:rsidP="00A82531">
      <w:pPr>
        <w:rPr>
          <w:rFonts w:ascii="Garamond" w:hAnsi="Garamond"/>
          <w:sz w:val="24"/>
          <w:szCs w:val="24"/>
        </w:rPr>
      </w:pPr>
    </w:p>
    <w:p w14:paraId="158AEF31" w14:textId="77777777" w:rsidR="00A82531" w:rsidRPr="00B204E4" w:rsidRDefault="00A82531" w:rsidP="00A82531">
      <w:pPr>
        <w:rPr>
          <w:rFonts w:ascii="Garamond" w:hAnsi="Garamond"/>
          <w:sz w:val="24"/>
          <w:szCs w:val="24"/>
        </w:rPr>
      </w:pPr>
    </w:p>
    <w:p w14:paraId="38399F16" w14:textId="77777777" w:rsidR="00A82531" w:rsidRPr="00B204E4" w:rsidRDefault="00A82531" w:rsidP="00A82531">
      <w:pPr>
        <w:rPr>
          <w:rFonts w:ascii="Garamond" w:hAnsi="Garamond"/>
          <w:sz w:val="24"/>
          <w:szCs w:val="24"/>
        </w:rPr>
      </w:pPr>
    </w:p>
    <w:p w14:paraId="26234550" w14:textId="77777777" w:rsidR="00A82531" w:rsidRPr="00B204E4" w:rsidRDefault="00A82531" w:rsidP="00A82531">
      <w:pPr>
        <w:rPr>
          <w:rFonts w:ascii="Garamond" w:hAnsi="Garamond"/>
          <w:sz w:val="24"/>
          <w:szCs w:val="24"/>
        </w:rPr>
      </w:pPr>
    </w:p>
    <w:p w14:paraId="15068F5C" w14:textId="77777777" w:rsidR="00A82531" w:rsidRPr="00B204E4" w:rsidRDefault="00A82531" w:rsidP="00A82531">
      <w:pPr>
        <w:rPr>
          <w:rFonts w:ascii="Garamond" w:hAnsi="Garamond"/>
          <w:sz w:val="24"/>
          <w:szCs w:val="24"/>
        </w:rPr>
      </w:pPr>
    </w:p>
    <w:p w14:paraId="6BE16861" w14:textId="77777777" w:rsidR="00A82531" w:rsidRPr="00B204E4" w:rsidRDefault="00A82531" w:rsidP="00A82531">
      <w:pPr>
        <w:rPr>
          <w:rFonts w:ascii="Garamond" w:hAnsi="Garamond"/>
          <w:sz w:val="24"/>
          <w:szCs w:val="24"/>
        </w:rPr>
      </w:pPr>
    </w:p>
    <w:p w14:paraId="035B624A" w14:textId="7033EA21" w:rsidR="005423C5" w:rsidRPr="00B204E4" w:rsidRDefault="005423C5" w:rsidP="00A82531">
      <w:pPr>
        <w:rPr>
          <w:rFonts w:ascii="Garamond" w:hAnsi="Garamond"/>
          <w:sz w:val="24"/>
          <w:szCs w:val="24"/>
        </w:rPr>
      </w:pPr>
    </w:p>
    <w:p w14:paraId="12A9DC5E" w14:textId="1977B6AD" w:rsidR="00A82531" w:rsidRPr="00B204E4" w:rsidRDefault="00A82531" w:rsidP="00A82531">
      <w:pPr>
        <w:rPr>
          <w:rFonts w:ascii="Garamond" w:hAnsi="Garamond"/>
          <w:sz w:val="24"/>
          <w:szCs w:val="24"/>
        </w:rPr>
      </w:pPr>
    </w:p>
    <w:p w14:paraId="1525992E" w14:textId="77777777" w:rsidR="00A82531" w:rsidRPr="00B204E4" w:rsidRDefault="00A82531" w:rsidP="00A82531">
      <w:pPr>
        <w:pStyle w:val="IASBSectionTitle1NonInd"/>
        <w:spacing w:before="0" w:after="0"/>
        <w:ind w:firstLine="284"/>
        <w:rPr>
          <w:rFonts w:ascii="Garamond" w:hAnsi="Garamond"/>
          <w:sz w:val="24"/>
          <w:szCs w:val="24"/>
        </w:rPr>
      </w:pPr>
      <w:r w:rsidRPr="00B204E4">
        <w:rPr>
          <w:rFonts w:ascii="Garamond" w:hAnsi="Garamond"/>
          <w:sz w:val="24"/>
          <w:szCs w:val="24"/>
        </w:rPr>
        <w:t>Ndryshime në</w:t>
      </w:r>
    </w:p>
    <w:p w14:paraId="72A82000" w14:textId="79F3B2F7" w:rsidR="00A82531" w:rsidRPr="00B204E4" w:rsidRDefault="00A82531" w:rsidP="00A82531">
      <w:pPr>
        <w:pStyle w:val="IASBSectionTitle1NonInd"/>
        <w:spacing w:before="0" w:after="0"/>
        <w:ind w:firstLine="284"/>
        <w:rPr>
          <w:rFonts w:ascii="Garamond" w:hAnsi="Garamond"/>
          <w:sz w:val="24"/>
          <w:szCs w:val="24"/>
        </w:rPr>
      </w:pPr>
      <w:r w:rsidRPr="00B204E4">
        <w:rPr>
          <w:rFonts w:ascii="Garamond" w:hAnsi="Garamond"/>
          <w:sz w:val="24"/>
          <w:szCs w:val="24"/>
        </w:rPr>
        <w:t xml:space="preserve">SNK 12 </w:t>
      </w:r>
      <w:r w:rsidRPr="00B204E4">
        <w:rPr>
          <w:rFonts w:ascii="Garamond" w:hAnsi="Garamond"/>
          <w:i/>
          <w:sz w:val="24"/>
          <w:szCs w:val="24"/>
        </w:rPr>
        <w:t>Tatimet mbi të ardhurat</w:t>
      </w:r>
    </w:p>
    <w:p w14:paraId="36E09471" w14:textId="77777777" w:rsidR="00A82531" w:rsidRPr="00B204E4" w:rsidRDefault="00A82531" w:rsidP="00A82531">
      <w:pPr>
        <w:pStyle w:val="IASBNormalnpara"/>
        <w:spacing w:before="0"/>
        <w:ind w:left="0" w:firstLine="284"/>
        <w:rPr>
          <w:rFonts w:ascii="Garamond" w:hAnsi="Garamond"/>
          <w:sz w:val="24"/>
          <w:szCs w:val="24"/>
        </w:rPr>
      </w:pPr>
    </w:p>
    <w:tbl>
      <w:tblPr>
        <w:tblW w:w="0" w:type="auto"/>
        <w:tblBorders>
          <w:top w:val="single" w:sz="4" w:space="0" w:color="auto"/>
        </w:tblBorders>
        <w:tblLook w:val="04A0" w:firstRow="1" w:lastRow="0" w:firstColumn="1" w:lastColumn="0" w:noHBand="0" w:noVBand="1"/>
      </w:tblPr>
      <w:tblGrid>
        <w:gridCol w:w="8505"/>
      </w:tblGrid>
      <w:tr w:rsidR="00A82531" w:rsidRPr="00B204E4" w14:paraId="2C1B889C" w14:textId="77777777" w:rsidTr="00A82531">
        <w:tc>
          <w:tcPr>
            <w:tcW w:w="50" w:type="pct"/>
          </w:tcPr>
          <w:p w14:paraId="60AB7104" w14:textId="77777777" w:rsidR="00A82531" w:rsidRPr="00B204E4" w:rsidRDefault="00A82531" w:rsidP="00A82531">
            <w:pPr>
              <w:pStyle w:val="IASBTableNormal"/>
              <w:spacing w:before="0" w:after="0"/>
              <w:jc w:val="both"/>
              <w:rPr>
                <w:rFonts w:ascii="Garamond" w:hAnsi="Garamond"/>
                <w:sz w:val="24"/>
                <w:szCs w:val="24"/>
              </w:rPr>
            </w:pPr>
            <w:r w:rsidRPr="00B204E4">
              <w:rPr>
                <w:rFonts w:ascii="Garamond" w:hAnsi="Garamond"/>
                <w:sz w:val="24"/>
                <w:szCs w:val="24"/>
              </w:rPr>
              <w:t xml:space="preserve">Janë shtuar paragrafët 4A, 88A–88D (përfshirë titujt përkatës dhe shembulli pas paragrafit 88D) dhe 98M. </w:t>
            </w:r>
          </w:p>
        </w:tc>
      </w:tr>
    </w:tbl>
    <w:p w14:paraId="3754A090" w14:textId="77777777" w:rsidR="00A82531" w:rsidRPr="00B204E4" w:rsidRDefault="00A82531" w:rsidP="00A82531">
      <w:pPr>
        <w:pStyle w:val="IASBNormalnpara"/>
        <w:spacing w:before="0"/>
        <w:ind w:left="0" w:firstLine="284"/>
        <w:rPr>
          <w:rFonts w:ascii="Garamond" w:hAnsi="Garamond"/>
          <w:sz w:val="24"/>
          <w:szCs w:val="24"/>
        </w:rPr>
      </w:pPr>
    </w:p>
    <w:p w14:paraId="44A090A0" w14:textId="77777777" w:rsidR="00A82531" w:rsidRPr="00B204E4" w:rsidRDefault="00A82531" w:rsidP="00A82531">
      <w:pPr>
        <w:pStyle w:val="IASBSectionTitle1NonInd"/>
        <w:spacing w:before="0" w:after="0"/>
        <w:ind w:firstLine="284"/>
        <w:rPr>
          <w:rFonts w:ascii="Garamond" w:hAnsi="Garamond"/>
          <w:sz w:val="24"/>
          <w:szCs w:val="24"/>
        </w:rPr>
      </w:pPr>
      <w:r w:rsidRPr="00B204E4">
        <w:rPr>
          <w:rFonts w:ascii="Garamond" w:hAnsi="Garamond"/>
          <w:sz w:val="24"/>
          <w:szCs w:val="24"/>
        </w:rPr>
        <w:t>Objekti</w:t>
      </w:r>
    </w:p>
    <w:p w14:paraId="5ED91B92" w14:textId="2FC9E0C7"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 xml:space="preserve"> ...</w:t>
      </w:r>
    </w:p>
    <w:p w14:paraId="4A039AE3" w14:textId="35106207"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 xml:space="preserve">4A Ky Standard zbatohet për tatimet mbi të ardhurat që rrjedhin nga legjislacioni tatimor i miratuar ose pothuajse i miratuar për zbatimin e modelit të rregullave të Shtyllës së Dytë të publikuar nga Organizata për Bashkëpunimin dhe Zhvillimin Ekonomik (OBZHE), duke përfshirë legjislacionin tatimor që zbaton tatime plotësuese minimale kombëtare të përshkruara në ato rregulla. Ky legjislacion tatimor dhe tatimet mbi të ardhurat që rrjedhin prej tij, cilësohen këtu e në vijim si </w:t>
      </w:r>
      <w:r w:rsidR="00B204E4">
        <w:rPr>
          <w:rFonts w:ascii="Garamond" w:hAnsi="Garamond"/>
          <w:sz w:val="24"/>
          <w:szCs w:val="24"/>
        </w:rPr>
        <w:t>‘</w:t>
      </w:r>
      <w:r w:rsidRPr="00B204E4">
        <w:rPr>
          <w:rFonts w:ascii="Garamond" w:hAnsi="Garamond"/>
          <w:sz w:val="24"/>
          <w:szCs w:val="24"/>
        </w:rPr>
        <w:t>Legjislacioni i Shtyllës së Dytë</w:t>
      </w:r>
      <w:r w:rsidR="00B204E4">
        <w:rPr>
          <w:rFonts w:ascii="Garamond" w:hAnsi="Garamond"/>
          <w:sz w:val="24"/>
          <w:szCs w:val="24"/>
        </w:rPr>
        <w:t>’</w:t>
      </w:r>
      <w:r w:rsidRPr="00B204E4">
        <w:rPr>
          <w:rFonts w:ascii="Garamond" w:hAnsi="Garamond"/>
          <w:sz w:val="24"/>
          <w:szCs w:val="24"/>
        </w:rPr>
        <w:t xml:space="preserve"> dhe </w:t>
      </w:r>
      <w:r w:rsidR="00B204E4">
        <w:rPr>
          <w:rFonts w:ascii="Garamond" w:hAnsi="Garamond"/>
          <w:sz w:val="24"/>
          <w:szCs w:val="24"/>
        </w:rPr>
        <w:t>‘</w:t>
      </w:r>
      <w:r w:rsidRPr="00B204E4">
        <w:rPr>
          <w:rFonts w:ascii="Garamond" w:hAnsi="Garamond"/>
          <w:sz w:val="24"/>
          <w:szCs w:val="24"/>
        </w:rPr>
        <w:t>Tatimet mbi të ardhurat e Shtyllës së Dytë</w:t>
      </w:r>
      <w:r w:rsidR="00B204E4">
        <w:rPr>
          <w:rFonts w:ascii="Garamond" w:hAnsi="Garamond"/>
          <w:sz w:val="24"/>
          <w:szCs w:val="24"/>
        </w:rPr>
        <w:t>’</w:t>
      </w:r>
      <w:r w:rsidRPr="00B204E4">
        <w:rPr>
          <w:rFonts w:ascii="Garamond" w:hAnsi="Garamond"/>
          <w:sz w:val="24"/>
          <w:szCs w:val="24"/>
        </w:rPr>
        <w:t>. Njësia ekonomike nuk do të njohë dhe nuk do të japë informacion shpjegues mbi aktivet dhe detyrimet për tatime të shtyra të lidhura me legjislacionin e Shtyllës së Dytë, si përjashtim nga kërkesat e këtij Standardi.</w:t>
      </w:r>
    </w:p>
    <w:p w14:paraId="0759D10F" w14:textId="735AD8D1"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 xml:space="preserve"> ...</w:t>
      </w:r>
    </w:p>
    <w:p w14:paraId="1BB5D0B8" w14:textId="77777777" w:rsidR="00A82531" w:rsidRPr="00B204E4" w:rsidRDefault="00A82531" w:rsidP="00A82531">
      <w:pPr>
        <w:pStyle w:val="IASBSectionTitle1NonInd"/>
        <w:spacing w:before="0" w:after="0"/>
        <w:ind w:firstLine="284"/>
        <w:rPr>
          <w:rFonts w:ascii="Garamond" w:hAnsi="Garamond"/>
          <w:sz w:val="24"/>
          <w:szCs w:val="24"/>
        </w:rPr>
      </w:pPr>
      <w:r w:rsidRPr="00B204E4">
        <w:rPr>
          <w:rFonts w:ascii="Garamond" w:hAnsi="Garamond"/>
          <w:sz w:val="24"/>
          <w:szCs w:val="24"/>
        </w:rPr>
        <w:t>Dhënia e informacioneve shpjeguese</w:t>
      </w:r>
    </w:p>
    <w:p w14:paraId="2914D306" w14:textId="56DEAB4B"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 xml:space="preserve"> ...</w:t>
      </w:r>
    </w:p>
    <w:p w14:paraId="1EF05F27" w14:textId="77777777" w:rsidR="00A82531" w:rsidRPr="00B204E4" w:rsidRDefault="00A82531" w:rsidP="00A82531">
      <w:pPr>
        <w:pStyle w:val="IASBSectionTitle2Ind"/>
        <w:spacing w:before="0" w:after="0"/>
        <w:ind w:left="0" w:firstLine="284"/>
        <w:rPr>
          <w:rFonts w:ascii="Garamond" w:hAnsi="Garamond"/>
          <w:sz w:val="24"/>
          <w:szCs w:val="24"/>
        </w:rPr>
      </w:pPr>
      <w:r w:rsidRPr="00B204E4">
        <w:rPr>
          <w:rFonts w:ascii="Garamond" w:hAnsi="Garamond"/>
          <w:sz w:val="24"/>
          <w:szCs w:val="24"/>
        </w:rPr>
        <w:t>Reforma tatimore ndërkombëtare—modeli i rregullave të Shtyllës së Dytë</w:t>
      </w:r>
    </w:p>
    <w:p w14:paraId="227A6D2E" w14:textId="77777777" w:rsidR="00B845C5" w:rsidRPr="00B204E4" w:rsidRDefault="00B845C5" w:rsidP="00A82531">
      <w:pPr>
        <w:pStyle w:val="IASBNormalnpara"/>
        <w:spacing w:before="0"/>
        <w:ind w:left="0" w:firstLine="284"/>
        <w:rPr>
          <w:rFonts w:ascii="Garamond" w:hAnsi="Garamond"/>
          <w:b/>
          <w:sz w:val="24"/>
          <w:szCs w:val="24"/>
        </w:rPr>
      </w:pPr>
    </w:p>
    <w:p w14:paraId="067F2A12" w14:textId="6F824363"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b/>
          <w:sz w:val="24"/>
          <w:szCs w:val="24"/>
        </w:rPr>
        <w:t>88A</w:t>
      </w:r>
      <w:r w:rsidR="00B57074">
        <w:rPr>
          <w:rFonts w:ascii="Garamond" w:hAnsi="Garamond"/>
          <w:sz w:val="24"/>
          <w:szCs w:val="24"/>
        </w:rPr>
        <w:t xml:space="preserve"> </w:t>
      </w:r>
      <w:r w:rsidRPr="00B204E4">
        <w:rPr>
          <w:rFonts w:ascii="Garamond" w:hAnsi="Garamond"/>
          <w:b/>
          <w:sz w:val="24"/>
          <w:szCs w:val="24"/>
        </w:rPr>
        <w:t>Njësia ekonomike duhet të paraqesë që ka zbatuar përjashtimin në njohjen dhe dhënien e informacioneve shpjeguese mbi aktivet dhe detyrimet për tatime të shtyra të lidhura me tatimet mbi të ardhurat e Shtyllës së Dytë (shih paragrafin 4A).</w:t>
      </w:r>
    </w:p>
    <w:p w14:paraId="577DB247" w14:textId="4C6C73E3"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b/>
          <w:sz w:val="24"/>
          <w:szCs w:val="24"/>
        </w:rPr>
        <w:t>88B</w:t>
      </w:r>
      <w:r w:rsidR="00B57074">
        <w:rPr>
          <w:rFonts w:ascii="Garamond" w:hAnsi="Garamond"/>
          <w:sz w:val="24"/>
          <w:szCs w:val="24"/>
        </w:rPr>
        <w:t xml:space="preserve"> </w:t>
      </w:r>
      <w:r w:rsidRPr="00B204E4">
        <w:rPr>
          <w:rFonts w:ascii="Garamond" w:hAnsi="Garamond"/>
          <w:b/>
          <w:sz w:val="24"/>
          <w:szCs w:val="24"/>
        </w:rPr>
        <w:t>Njësia ekonomike duhet të paraqesë veçmas shpenzimet (të ardhurat) aktuale tatimore të saj lidhur me tatimet mbi të ardhurat e Shtyllës së Dytë.</w:t>
      </w:r>
    </w:p>
    <w:p w14:paraId="0C2D4169" w14:textId="4F2BF27D"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b/>
          <w:sz w:val="24"/>
          <w:szCs w:val="24"/>
        </w:rPr>
        <w:t>88C</w:t>
      </w:r>
      <w:r w:rsidR="00B57074">
        <w:rPr>
          <w:rFonts w:ascii="Garamond" w:hAnsi="Garamond"/>
          <w:sz w:val="24"/>
          <w:szCs w:val="24"/>
        </w:rPr>
        <w:t xml:space="preserve"> </w:t>
      </w:r>
      <w:r w:rsidRPr="00B204E4">
        <w:rPr>
          <w:rFonts w:ascii="Garamond" w:hAnsi="Garamond"/>
          <w:b/>
          <w:sz w:val="24"/>
          <w:szCs w:val="24"/>
        </w:rPr>
        <w:t>Në periudhat kur legjislacioni i Shtyllës së Dytë është i miratuar ose thuajse i miratuar por jo ende në fuqi, njësia ekonomike duhet të japë informacion shpjegues të njohur ose të vlerësuar në mënyrë të arsyeshme, që ndihmon përdoruesit e pasqyrave financiare të kuptojnë ekspozimin e njësisë ekonomike ndaj tatimeve mbi të ardhurat e Shtyllës së Dytë, pasojë e atij legjislacioni.</w:t>
      </w:r>
    </w:p>
    <w:p w14:paraId="3F331709" w14:textId="521466AD"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88D</w:t>
      </w:r>
      <w:r w:rsidR="00B57074">
        <w:rPr>
          <w:rFonts w:ascii="Garamond" w:hAnsi="Garamond"/>
          <w:sz w:val="24"/>
          <w:szCs w:val="24"/>
        </w:rPr>
        <w:t xml:space="preserve"> </w:t>
      </w:r>
      <w:r w:rsidRPr="00B204E4">
        <w:rPr>
          <w:rFonts w:ascii="Garamond" w:hAnsi="Garamond"/>
          <w:sz w:val="24"/>
          <w:szCs w:val="24"/>
        </w:rPr>
        <w:t>Për të plotësuar objektivin e paraqitjes në paragrafin 88C, njësia ekonomike duhet të japë informacion shpjegues cilësor dhe sasior mbi ekspozimin e saj ndaj tatimeve mbi të ardhurat e Shtyllës së Dytë në fund të periudhës raportuese. Ky informacion mund të mos pasqyrojë të gjitha kërkesat specifike të legjislacionit të Shtyllës së Dytë dhe mund të jepet në formën e një intervali tregues. Në masën që informacioni nuk është i njohur apo i vlerësuar në mënyrë të arsyeshme, njësia ekonomike duhet të deklarojë atë efekt dhe të japë informacion shpjegues në lidhje me progresin e njësisë ekonomike në vlerësimin e ekspozimit të saj.</w:t>
      </w:r>
    </w:p>
    <w:p w14:paraId="26078F76" w14:textId="77777777" w:rsidR="00A82531" w:rsidRPr="00B204E4" w:rsidRDefault="00A82531" w:rsidP="00A82531">
      <w:pPr>
        <w:pStyle w:val="IASBNormalnpara"/>
        <w:spacing w:before="0"/>
        <w:ind w:left="0" w:firstLine="284"/>
        <w:rPr>
          <w:rFonts w:ascii="Garamond" w:hAnsi="Garamond"/>
          <w:sz w:val="24"/>
          <w:szCs w:val="24"/>
        </w:rPr>
      </w:pPr>
    </w:p>
    <w:tbl>
      <w:tblPr>
        <w:tblW w:w="0" w:type="auto"/>
        <w:tblBorders>
          <w:top w:val="single" w:sz="0" w:space="0" w:color="auto"/>
          <w:left w:val="single" w:sz="0" w:space="0" w:color="auto"/>
          <w:bottom w:val="single" w:sz="0" w:space="0" w:color="auto"/>
          <w:right w:val="single" w:sz="0" w:space="0" w:color="auto"/>
        </w:tblBorders>
        <w:tblLook w:val="04A0" w:firstRow="1" w:lastRow="0" w:firstColumn="1" w:lastColumn="0" w:noHBand="0" w:noVBand="1"/>
      </w:tblPr>
      <w:tblGrid>
        <w:gridCol w:w="8505"/>
      </w:tblGrid>
      <w:tr w:rsidR="00A82531" w:rsidRPr="00B204E4" w14:paraId="19853EE5" w14:textId="77777777" w:rsidTr="00B845C5">
        <w:trPr>
          <w:tblHeader/>
        </w:trPr>
        <w:tc>
          <w:tcPr>
            <w:tcW w:w="50" w:type="pct"/>
            <w:tcBorders>
              <w:bottom w:val="single" w:sz="4" w:space="0" w:color="auto"/>
              <w:right w:val="single" w:sz="0" w:space="0" w:color="auto"/>
            </w:tcBorders>
          </w:tcPr>
          <w:p w14:paraId="0B175785" w14:textId="77777777" w:rsidR="00A82531" w:rsidRPr="00B204E4" w:rsidRDefault="00A82531" w:rsidP="00B845C5">
            <w:pPr>
              <w:pStyle w:val="IASBTableHeaderArial"/>
              <w:spacing w:before="0" w:after="0"/>
              <w:rPr>
                <w:rFonts w:ascii="Garamond" w:hAnsi="Garamond"/>
                <w:sz w:val="24"/>
                <w:szCs w:val="24"/>
              </w:rPr>
            </w:pPr>
            <w:r w:rsidRPr="00B204E4">
              <w:rPr>
                <w:rFonts w:ascii="Garamond" w:hAnsi="Garamond"/>
                <w:sz w:val="24"/>
                <w:szCs w:val="24"/>
              </w:rPr>
              <w:t>Shembuj që ilustrojnë paragrafët 88C–88D</w:t>
            </w:r>
          </w:p>
        </w:tc>
      </w:tr>
      <w:tr w:rsidR="00A82531" w:rsidRPr="00B204E4" w14:paraId="3AF6EC65" w14:textId="77777777" w:rsidTr="00B845C5">
        <w:tc>
          <w:tcPr>
            <w:tcW w:w="50" w:type="pct"/>
            <w:tcBorders>
              <w:top w:val="single" w:sz="4" w:space="0" w:color="auto"/>
              <w:left w:val="nil"/>
              <w:bottom w:val="single" w:sz="4" w:space="0" w:color="auto"/>
              <w:right w:val="nil"/>
            </w:tcBorders>
          </w:tcPr>
          <w:p w14:paraId="27CA85CC" w14:textId="77777777" w:rsidR="00A82531" w:rsidRPr="00B204E4" w:rsidRDefault="00A82531" w:rsidP="00B845C5">
            <w:pPr>
              <w:pStyle w:val="IASBTableNormal"/>
              <w:spacing w:before="0" w:after="0"/>
              <w:jc w:val="both"/>
              <w:rPr>
                <w:rFonts w:ascii="Garamond" w:hAnsi="Garamond"/>
                <w:sz w:val="24"/>
                <w:szCs w:val="24"/>
              </w:rPr>
            </w:pPr>
            <w:r w:rsidRPr="00B204E4">
              <w:rPr>
                <w:rFonts w:ascii="Garamond" w:hAnsi="Garamond"/>
                <w:sz w:val="24"/>
                <w:szCs w:val="24"/>
              </w:rPr>
              <w:t>Shembuj të informacionit që njësia ekonomike mund të paraqesë në plotësim të objektivit dhe kërkesave në paragrafët 88C–88D përfshijnë:</w:t>
            </w:r>
          </w:p>
          <w:p w14:paraId="1F7BBC34" w14:textId="5E940A45" w:rsidR="00A82531" w:rsidRPr="00B204E4" w:rsidRDefault="00A82531" w:rsidP="00B845C5">
            <w:pPr>
              <w:pStyle w:val="IASBNormalL1"/>
              <w:spacing w:before="0"/>
              <w:ind w:left="0" w:firstLine="0"/>
              <w:rPr>
                <w:rFonts w:ascii="Garamond" w:hAnsi="Garamond"/>
                <w:sz w:val="24"/>
                <w:szCs w:val="24"/>
              </w:rPr>
            </w:pPr>
            <w:r w:rsidRPr="00B204E4">
              <w:rPr>
                <w:rFonts w:ascii="Garamond" w:hAnsi="Garamond"/>
                <w:sz w:val="24"/>
                <w:szCs w:val="24"/>
              </w:rPr>
              <w:t>(a) informacionin cilësor si informacionin sesi njësia ekonomike është ndikuar nga legjislacioni i Shtyllës së Dytë dhe juridiksionet kryesore në të cilat mund të ekzistojnë ekspozimet ndaj tatimeve mbi të ardhurat e Shtyllës së Dytë; dhe</w:t>
            </w:r>
          </w:p>
          <w:p w14:paraId="68EFC93E" w14:textId="68CF8F23" w:rsidR="00A82531" w:rsidRPr="00B204E4" w:rsidRDefault="00A82531" w:rsidP="00B845C5">
            <w:pPr>
              <w:pStyle w:val="IASBNormalL1"/>
              <w:spacing w:before="0"/>
              <w:rPr>
                <w:rFonts w:ascii="Garamond" w:hAnsi="Garamond"/>
                <w:sz w:val="24"/>
                <w:szCs w:val="24"/>
              </w:rPr>
            </w:pPr>
            <w:r w:rsidRPr="00B204E4">
              <w:rPr>
                <w:rFonts w:ascii="Garamond" w:hAnsi="Garamond"/>
                <w:sz w:val="24"/>
                <w:szCs w:val="24"/>
              </w:rPr>
              <w:t>(b) informacionin sasior të tillë si:</w:t>
            </w:r>
          </w:p>
          <w:p w14:paraId="52082BC2" w14:textId="5EB1547D" w:rsidR="00A82531" w:rsidRPr="00B204E4" w:rsidRDefault="00A82531" w:rsidP="00B845C5">
            <w:pPr>
              <w:pStyle w:val="IASBNormalL2"/>
              <w:spacing w:before="0"/>
              <w:ind w:left="0" w:firstLine="0"/>
              <w:rPr>
                <w:rFonts w:ascii="Garamond" w:hAnsi="Garamond"/>
                <w:sz w:val="24"/>
                <w:szCs w:val="24"/>
              </w:rPr>
            </w:pPr>
            <w:r w:rsidRPr="00B204E4">
              <w:rPr>
                <w:rFonts w:ascii="Garamond" w:hAnsi="Garamond"/>
                <w:sz w:val="24"/>
                <w:szCs w:val="24"/>
              </w:rPr>
              <w:t>(i) një tregues i pjesës së fitimeve të njësisë ekonomike, që mund të jenë objekt i tatimeve mbi të ardhurat e Shtyllës së Dytë dhe normën mesatare efektive tatimore të zbatueshme mbi këto fitime; ose</w:t>
            </w:r>
          </w:p>
          <w:p w14:paraId="1E83A252" w14:textId="19F74F5E" w:rsidR="00A82531" w:rsidRPr="00B204E4" w:rsidRDefault="00A82531" w:rsidP="00B845C5">
            <w:pPr>
              <w:pStyle w:val="IASBNormalL2"/>
              <w:spacing w:before="0"/>
              <w:ind w:left="0" w:firstLine="0"/>
              <w:rPr>
                <w:rFonts w:ascii="Garamond" w:hAnsi="Garamond"/>
                <w:sz w:val="24"/>
                <w:szCs w:val="24"/>
              </w:rPr>
            </w:pPr>
            <w:r w:rsidRPr="00B204E4">
              <w:rPr>
                <w:rFonts w:ascii="Garamond" w:hAnsi="Garamond"/>
                <w:sz w:val="24"/>
                <w:szCs w:val="24"/>
              </w:rPr>
              <w:lastRenderedPageBreak/>
              <w:t>(ii) një tregues sesi norma mesata</w:t>
            </w:r>
            <w:bookmarkStart w:id="0" w:name="_GoBack"/>
            <w:bookmarkEnd w:id="0"/>
            <w:r w:rsidRPr="00B204E4">
              <w:rPr>
                <w:rFonts w:ascii="Garamond" w:hAnsi="Garamond"/>
                <w:sz w:val="24"/>
                <w:szCs w:val="24"/>
              </w:rPr>
              <w:t>re efektive tatimore e njësisë ekonomike do të ndryshonte nëse legjislacioni i Shtyllës së Dytë do të ishte në fuqi.</w:t>
            </w:r>
          </w:p>
        </w:tc>
      </w:tr>
    </w:tbl>
    <w:p w14:paraId="47DD6A6E" w14:textId="590782D8"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lastRenderedPageBreak/>
        <w:t xml:space="preserve"> ...</w:t>
      </w:r>
    </w:p>
    <w:p w14:paraId="1448E91D" w14:textId="77777777" w:rsidR="00A82531" w:rsidRPr="00B204E4" w:rsidRDefault="00A82531" w:rsidP="00A82531">
      <w:pPr>
        <w:pStyle w:val="IASBSectionTitle1NonInd"/>
        <w:spacing w:before="0" w:after="0"/>
        <w:ind w:firstLine="284"/>
        <w:rPr>
          <w:rFonts w:ascii="Garamond" w:hAnsi="Garamond"/>
          <w:sz w:val="24"/>
          <w:szCs w:val="24"/>
        </w:rPr>
      </w:pPr>
      <w:r w:rsidRPr="00B204E4">
        <w:rPr>
          <w:rFonts w:ascii="Garamond" w:hAnsi="Garamond"/>
          <w:sz w:val="24"/>
          <w:szCs w:val="24"/>
        </w:rPr>
        <w:t>Data e hyrjes në fuqi</w:t>
      </w:r>
    </w:p>
    <w:p w14:paraId="4C23A745" w14:textId="7B07CFA5"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 xml:space="preserve"> ...</w:t>
      </w:r>
    </w:p>
    <w:p w14:paraId="0ED4E294" w14:textId="553DF23F" w:rsidR="00A82531" w:rsidRPr="00B204E4" w:rsidRDefault="00A82531" w:rsidP="00A82531">
      <w:pPr>
        <w:pStyle w:val="IASBNormalnpara"/>
        <w:spacing w:before="0"/>
        <w:ind w:left="0" w:firstLine="284"/>
        <w:rPr>
          <w:rFonts w:ascii="Garamond" w:hAnsi="Garamond"/>
          <w:sz w:val="24"/>
          <w:szCs w:val="24"/>
        </w:rPr>
      </w:pPr>
      <w:r w:rsidRPr="00B204E4">
        <w:rPr>
          <w:rFonts w:ascii="Garamond" w:hAnsi="Garamond"/>
          <w:sz w:val="24"/>
          <w:szCs w:val="24"/>
        </w:rPr>
        <w:t>98M</w:t>
      </w:r>
      <w:r w:rsidR="00B57074">
        <w:rPr>
          <w:rFonts w:ascii="Garamond" w:hAnsi="Garamond"/>
          <w:sz w:val="24"/>
          <w:szCs w:val="24"/>
        </w:rPr>
        <w:t xml:space="preserve"> </w:t>
      </w:r>
      <w:r w:rsidRPr="00B204E4">
        <w:rPr>
          <w:rFonts w:ascii="Garamond" w:hAnsi="Garamond"/>
          <w:i/>
          <w:sz w:val="24"/>
          <w:szCs w:val="24"/>
        </w:rPr>
        <w:t>Reforma Tatimore Ndërkombëtare—Modeli i Rregullave të Shtyllës së Dytë</w:t>
      </w:r>
      <w:r w:rsidRPr="00B204E4">
        <w:rPr>
          <w:rFonts w:ascii="Garamond" w:hAnsi="Garamond"/>
          <w:sz w:val="24"/>
          <w:szCs w:val="24"/>
        </w:rPr>
        <w:t>, i publikuar në maj 2023, shtoi paragrafët 4A dhe 88A–88D. Njësia ekonomike do të:</w:t>
      </w:r>
    </w:p>
    <w:p w14:paraId="1804F972" w14:textId="79AA084E" w:rsidR="00A82531" w:rsidRPr="00B204E4" w:rsidRDefault="00A82531" w:rsidP="00A82531">
      <w:pPr>
        <w:pStyle w:val="IASBNormalnparaL1"/>
        <w:spacing w:before="0"/>
        <w:ind w:left="0" w:firstLine="284"/>
        <w:rPr>
          <w:rFonts w:ascii="Garamond" w:hAnsi="Garamond"/>
          <w:sz w:val="24"/>
          <w:szCs w:val="24"/>
        </w:rPr>
      </w:pPr>
      <w:r w:rsidRPr="00B204E4">
        <w:rPr>
          <w:rFonts w:ascii="Garamond" w:hAnsi="Garamond"/>
          <w:sz w:val="24"/>
          <w:szCs w:val="24"/>
        </w:rPr>
        <w:t>(a)</w:t>
      </w:r>
      <w:r w:rsidR="00B57074">
        <w:rPr>
          <w:rFonts w:ascii="Garamond" w:hAnsi="Garamond"/>
          <w:sz w:val="24"/>
          <w:szCs w:val="24"/>
        </w:rPr>
        <w:t xml:space="preserve"> </w:t>
      </w:r>
      <w:r w:rsidRPr="00B204E4">
        <w:rPr>
          <w:rFonts w:ascii="Garamond" w:hAnsi="Garamond"/>
          <w:sz w:val="24"/>
          <w:szCs w:val="24"/>
        </w:rPr>
        <w:t>zbatojë paragrafët 4A dhe 88A menjëherë pas publikimit të këtyre ndryshimeve dhe në retrospektivë në përputhje me SNK8; dhe</w:t>
      </w:r>
    </w:p>
    <w:p w14:paraId="11E24E4D" w14:textId="250BE796" w:rsidR="00A82531" w:rsidRPr="00B204E4" w:rsidRDefault="00A82531" w:rsidP="00A82531">
      <w:pPr>
        <w:pStyle w:val="IASBNormalnparaL1"/>
        <w:spacing w:before="0"/>
        <w:ind w:left="0" w:firstLine="284"/>
        <w:rPr>
          <w:rFonts w:ascii="Garamond" w:hAnsi="Garamond"/>
          <w:sz w:val="24"/>
          <w:szCs w:val="24"/>
        </w:rPr>
      </w:pPr>
      <w:r w:rsidRPr="00B204E4">
        <w:rPr>
          <w:rFonts w:ascii="Garamond" w:hAnsi="Garamond"/>
          <w:sz w:val="24"/>
          <w:szCs w:val="24"/>
        </w:rPr>
        <w:t>(b)</w:t>
      </w:r>
      <w:r w:rsidR="00B57074">
        <w:rPr>
          <w:rFonts w:ascii="Garamond" w:hAnsi="Garamond"/>
          <w:sz w:val="24"/>
          <w:szCs w:val="24"/>
        </w:rPr>
        <w:t xml:space="preserve"> </w:t>
      </w:r>
      <w:r w:rsidRPr="00B204E4">
        <w:rPr>
          <w:rFonts w:ascii="Garamond" w:hAnsi="Garamond"/>
          <w:sz w:val="24"/>
          <w:szCs w:val="24"/>
        </w:rPr>
        <w:t>zbatojë paragrafët 88B–88D për periudhat vjetore raportuese që fillojnë më 1 janar 2023 e në vijim. Nuk kërkohet që njësia ekonomike të japë informacionet shpjeguese të kërkuara nga këta paragrafë për periudha të ndërmjetme, që përfundojnë më 31 dhjetor 2023 apo më parë.</w:t>
      </w:r>
    </w:p>
    <w:p w14:paraId="31E2A92E" w14:textId="77777777" w:rsidR="00A82531" w:rsidRPr="00B204E4" w:rsidRDefault="00A82531" w:rsidP="00A82531">
      <w:pPr>
        <w:spacing w:after="0" w:line="240" w:lineRule="auto"/>
        <w:ind w:firstLine="284"/>
        <w:rPr>
          <w:rFonts w:ascii="Garamond" w:hAnsi="Garamond"/>
          <w:sz w:val="24"/>
          <w:szCs w:val="24"/>
        </w:rPr>
      </w:pPr>
    </w:p>
    <w:p w14:paraId="20A7CAFD" w14:textId="750C53C0" w:rsidR="00A82531" w:rsidRPr="00B204E4" w:rsidRDefault="00A82531" w:rsidP="00A82531">
      <w:pPr>
        <w:spacing w:after="0" w:line="240" w:lineRule="auto"/>
        <w:ind w:firstLine="284"/>
        <w:rPr>
          <w:rFonts w:ascii="Garamond" w:hAnsi="Garamond"/>
          <w:sz w:val="24"/>
          <w:szCs w:val="24"/>
        </w:rPr>
      </w:pPr>
    </w:p>
    <w:p w14:paraId="74F5E335" w14:textId="181A6F34" w:rsidR="004077D3" w:rsidRPr="00B204E4" w:rsidRDefault="004077D3" w:rsidP="00A82531">
      <w:pPr>
        <w:spacing w:after="0" w:line="240" w:lineRule="auto"/>
        <w:ind w:firstLine="284"/>
        <w:rPr>
          <w:rFonts w:ascii="Garamond" w:hAnsi="Garamond"/>
          <w:sz w:val="24"/>
          <w:szCs w:val="24"/>
        </w:rPr>
      </w:pPr>
    </w:p>
    <w:p w14:paraId="4928D69C" w14:textId="02517AB6" w:rsidR="004077D3" w:rsidRPr="00B204E4" w:rsidRDefault="004077D3" w:rsidP="00A82531">
      <w:pPr>
        <w:spacing w:after="0" w:line="240" w:lineRule="auto"/>
        <w:ind w:firstLine="284"/>
        <w:rPr>
          <w:rFonts w:ascii="Garamond" w:hAnsi="Garamond"/>
          <w:sz w:val="24"/>
          <w:szCs w:val="24"/>
        </w:rPr>
      </w:pPr>
    </w:p>
    <w:p w14:paraId="1BD64A07" w14:textId="06E2B0A2" w:rsidR="004077D3" w:rsidRPr="00B204E4" w:rsidRDefault="004077D3" w:rsidP="00A82531">
      <w:pPr>
        <w:spacing w:after="0" w:line="240" w:lineRule="auto"/>
        <w:ind w:firstLine="284"/>
        <w:rPr>
          <w:rFonts w:ascii="Garamond" w:hAnsi="Garamond"/>
          <w:sz w:val="24"/>
          <w:szCs w:val="24"/>
        </w:rPr>
      </w:pPr>
    </w:p>
    <w:p w14:paraId="419EF245" w14:textId="09C11C7C" w:rsidR="004077D3" w:rsidRPr="00B204E4" w:rsidRDefault="004077D3" w:rsidP="00A82531">
      <w:pPr>
        <w:spacing w:after="0" w:line="240" w:lineRule="auto"/>
        <w:ind w:firstLine="284"/>
        <w:rPr>
          <w:rFonts w:ascii="Garamond" w:hAnsi="Garamond"/>
          <w:sz w:val="24"/>
          <w:szCs w:val="24"/>
        </w:rPr>
      </w:pPr>
    </w:p>
    <w:p w14:paraId="0864DDD1" w14:textId="684C55D9" w:rsidR="004077D3" w:rsidRPr="00B204E4" w:rsidRDefault="004077D3" w:rsidP="00A82531">
      <w:pPr>
        <w:spacing w:after="0" w:line="240" w:lineRule="auto"/>
        <w:ind w:firstLine="284"/>
        <w:rPr>
          <w:rFonts w:ascii="Garamond" w:hAnsi="Garamond"/>
          <w:sz w:val="24"/>
          <w:szCs w:val="24"/>
        </w:rPr>
      </w:pPr>
      <w:r w:rsidRPr="00B204E4">
        <w:rPr>
          <w:rFonts w:ascii="Garamond" w:hAnsi="Garamond"/>
          <w:noProof/>
          <w:sz w:val="24"/>
          <w:szCs w:val="24"/>
        </w:rPr>
        <w:drawing>
          <wp:inline distT="0" distB="0" distL="0" distR="0" wp14:anchorId="6C0E5F60" wp14:editId="5F7E10A5">
            <wp:extent cx="5530425" cy="10734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N_GVT_International Tax Reform_Pillar Two Model Rules (Amendments to IAS 12)_May 2023_Page_1.jpg"/>
                    <pic:cNvPicPr/>
                  </pic:nvPicPr>
                  <pic:blipFill rotWithShape="1">
                    <a:blip r:embed="rId13" cstate="print">
                      <a:extLst>
                        <a:ext uri="{28A0092B-C50C-407E-A947-70E740481C1C}">
                          <a14:useLocalDpi xmlns:a14="http://schemas.microsoft.com/office/drawing/2010/main" val="0"/>
                        </a:ext>
                      </a:extLst>
                    </a:blip>
                    <a:srcRect l="8981" t="7905" r="6791" b="80548"/>
                    <a:stretch/>
                  </pic:blipFill>
                  <pic:spPr bwMode="auto">
                    <a:xfrm>
                      <a:off x="0" y="0"/>
                      <a:ext cx="5581166" cy="1083275"/>
                    </a:xfrm>
                    <a:prstGeom prst="rect">
                      <a:avLst/>
                    </a:prstGeom>
                    <a:ln>
                      <a:noFill/>
                    </a:ln>
                    <a:extLst>
                      <a:ext uri="{53640926-AAD7-44D8-BBD7-CCE9431645EC}">
                        <a14:shadowObscured xmlns:a14="http://schemas.microsoft.com/office/drawing/2010/main"/>
                      </a:ext>
                    </a:extLst>
                  </pic:spPr>
                </pic:pic>
              </a:graphicData>
            </a:graphic>
          </wp:inline>
        </w:drawing>
      </w:r>
    </w:p>
    <w:p w14:paraId="53864D3B" w14:textId="40F1CC33" w:rsidR="004077D3" w:rsidRPr="00B204E4" w:rsidRDefault="004077D3" w:rsidP="00A82531">
      <w:pPr>
        <w:spacing w:after="0" w:line="240" w:lineRule="auto"/>
        <w:ind w:firstLine="284"/>
        <w:rPr>
          <w:rFonts w:ascii="Garamond" w:hAnsi="Garamond"/>
          <w:sz w:val="24"/>
          <w:szCs w:val="24"/>
        </w:rPr>
      </w:pPr>
    </w:p>
    <w:p w14:paraId="1733A2E9" w14:textId="32FD8B14" w:rsidR="004077D3" w:rsidRPr="00B204E4" w:rsidRDefault="004077D3" w:rsidP="00A82531">
      <w:pPr>
        <w:spacing w:after="0" w:line="240" w:lineRule="auto"/>
        <w:ind w:firstLine="284"/>
        <w:rPr>
          <w:rFonts w:ascii="Garamond" w:hAnsi="Garamond"/>
          <w:sz w:val="24"/>
          <w:szCs w:val="24"/>
        </w:rPr>
      </w:pPr>
    </w:p>
    <w:p w14:paraId="43CD4E37" w14:textId="363E668D" w:rsidR="004077D3" w:rsidRPr="00B204E4" w:rsidRDefault="004077D3" w:rsidP="00A82531">
      <w:pPr>
        <w:spacing w:after="0" w:line="240" w:lineRule="auto"/>
        <w:ind w:firstLine="284"/>
        <w:rPr>
          <w:rFonts w:ascii="Garamond" w:hAnsi="Garamond"/>
          <w:sz w:val="24"/>
          <w:szCs w:val="24"/>
        </w:rPr>
      </w:pPr>
    </w:p>
    <w:p w14:paraId="12F10F82" w14:textId="44ECB15D" w:rsidR="004077D3" w:rsidRPr="00B204E4" w:rsidRDefault="004077D3" w:rsidP="00A82531">
      <w:pPr>
        <w:spacing w:after="0" w:line="240" w:lineRule="auto"/>
        <w:ind w:firstLine="284"/>
        <w:rPr>
          <w:rFonts w:ascii="Garamond" w:hAnsi="Garamond"/>
          <w:sz w:val="24"/>
          <w:szCs w:val="24"/>
        </w:rPr>
      </w:pPr>
    </w:p>
    <w:p w14:paraId="475D0D09" w14:textId="57C9DA59" w:rsidR="004077D3" w:rsidRPr="00B204E4" w:rsidRDefault="004077D3" w:rsidP="00A82531">
      <w:pPr>
        <w:spacing w:after="0" w:line="240" w:lineRule="auto"/>
        <w:ind w:firstLine="284"/>
        <w:rPr>
          <w:rFonts w:ascii="Garamond" w:hAnsi="Garamond"/>
          <w:sz w:val="24"/>
          <w:szCs w:val="24"/>
        </w:rPr>
      </w:pPr>
    </w:p>
    <w:p w14:paraId="75CA7E7E" w14:textId="746392C5" w:rsidR="004077D3" w:rsidRPr="00B204E4" w:rsidRDefault="004077D3" w:rsidP="00A82531">
      <w:pPr>
        <w:spacing w:after="0" w:line="240" w:lineRule="auto"/>
        <w:ind w:firstLine="284"/>
        <w:rPr>
          <w:rFonts w:ascii="Garamond" w:hAnsi="Garamond"/>
          <w:sz w:val="24"/>
          <w:szCs w:val="24"/>
        </w:rPr>
      </w:pPr>
    </w:p>
    <w:p w14:paraId="2B027818" w14:textId="18C5F32F" w:rsidR="004077D3" w:rsidRPr="00B204E4" w:rsidRDefault="004077D3" w:rsidP="00A82531">
      <w:pPr>
        <w:spacing w:after="0" w:line="240" w:lineRule="auto"/>
        <w:ind w:firstLine="284"/>
        <w:rPr>
          <w:rFonts w:ascii="Garamond" w:hAnsi="Garamond"/>
          <w:sz w:val="24"/>
          <w:szCs w:val="24"/>
        </w:rPr>
      </w:pPr>
    </w:p>
    <w:p w14:paraId="7D0F09F8" w14:textId="44FE5C44" w:rsidR="004077D3" w:rsidRPr="00B204E4" w:rsidRDefault="004077D3" w:rsidP="00A82531">
      <w:pPr>
        <w:spacing w:after="0" w:line="240" w:lineRule="auto"/>
        <w:ind w:firstLine="284"/>
        <w:rPr>
          <w:rFonts w:ascii="Garamond" w:hAnsi="Garamond"/>
          <w:sz w:val="24"/>
          <w:szCs w:val="24"/>
        </w:rPr>
      </w:pPr>
    </w:p>
    <w:p w14:paraId="6D266934" w14:textId="759EDB2F" w:rsidR="004077D3" w:rsidRPr="00B204E4" w:rsidRDefault="004077D3" w:rsidP="00A82531">
      <w:pPr>
        <w:spacing w:after="0" w:line="240" w:lineRule="auto"/>
        <w:ind w:firstLine="284"/>
        <w:rPr>
          <w:rFonts w:ascii="Garamond" w:hAnsi="Garamond"/>
          <w:sz w:val="24"/>
          <w:szCs w:val="24"/>
        </w:rPr>
      </w:pPr>
    </w:p>
    <w:p w14:paraId="6A4B9E78" w14:textId="720B604B" w:rsidR="004077D3" w:rsidRPr="00B204E4" w:rsidRDefault="004077D3" w:rsidP="00A82531">
      <w:pPr>
        <w:spacing w:after="0" w:line="240" w:lineRule="auto"/>
        <w:ind w:firstLine="284"/>
        <w:rPr>
          <w:rFonts w:ascii="Garamond" w:hAnsi="Garamond"/>
          <w:sz w:val="24"/>
          <w:szCs w:val="24"/>
        </w:rPr>
      </w:pPr>
    </w:p>
    <w:p w14:paraId="397A235E" w14:textId="1DABAC62" w:rsidR="004077D3" w:rsidRPr="00B204E4" w:rsidRDefault="004077D3" w:rsidP="00A82531">
      <w:pPr>
        <w:spacing w:after="0" w:line="240" w:lineRule="auto"/>
        <w:ind w:firstLine="284"/>
        <w:rPr>
          <w:rFonts w:ascii="Garamond" w:hAnsi="Garamond"/>
          <w:sz w:val="24"/>
          <w:szCs w:val="24"/>
        </w:rPr>
      </w:pPr>
    </w:p>
    <w:p w14:paraId="5E010045" w14:textId="67743AA5" w:rsidR="004077D3" w:rsidRPr="00B204E4" w:rsidRDefault="004077D3" w:rsidP="00A82531">
      <w:pPr>
        <w:spacing w:after="0" w:line="240" w:lineRule="auto"/>
        <w:ind w:firstLine="284"/>
        <w:rPr>
          <w:rFonts w:ascii="Garamond" w:hAnsi="Garamond"/>
          <w:sz w:val="24"/>
          <w:szCs w:val="24"/>
        </w:rPr>
      </w:pPr>
    </w:p>
    <w:p w14:paraId="70FAB523" w14:textId="5D0400D1" w:rsidR="004077D3" w:rsidRPr="00B204E4" w:rsidRDefault="004077D3" w:rsidP="00A82531">
      <w:pPr>
        <w:spacing w:after="0" w:line="240" w:lineRule="auto"/>
        <w:ind w:firstLine="284"/>
        <w:rPr>
          <w:rFonts w:ascii="Garamond" w:hAnsi="Garamond"/>
          <w:sz w:val="24"/>
          <w:szCs w:val="24"/>
        </w:rPr>
      </w:pPr>
    </w:p>
    <w:p w14:paraId="7DA02A90" w14:textId="048DD1F3" w:rsidR="004077D3" w:rsidRPr="00B204E4" w:rsidRDefault="004077D3" w:rsidP="00A82531">
      <w:pPr>
        <w:spacing w:after="0" w:line="240" w:lineRule="auto"/>
        <w:ind w:firstLine="284"/>
        <w:rPr>
          <w:rFonts w:ascii="Garamond" w:hAnsi="Garamond"/>
          <w:sz w:val="24"/>
          <w:szCs w:val="24"/>
        </w:rPr>
      </w:pPr>
    </w:p>
    <w:p w14:paraId="4FBBFFAA" w14:textId="7A4BF2EC" w:rsidR="004077D3" w:rsidRPr="00B204E4" w:rsidRDefault="004077D3" w:rsidP="00A82531">
      <w:pPr>
        <w:spacing w:after="0" w:line="240" w:lineRule="auto"/>
        <w:ind w:firstLine="284"/>
        <w:rPr>
          <w:rFonts w:ascii="Garamond" w:hAnsi="Garamond"/>
          <w:sz w:val="24"/>
          <w:szCs w:val="24"/>
        </w:rPr>
      </w:pPr>
    </w:p>
    <w:p w14:paraId="4EB34397" w14:textId="4E34DB6F" w:rsidR="004077D3" w:rsidRPr="00B204E4" w:rsidRDefault="004077D3" w:rsidP="00A82531">
      <w:pPr>
        <w:spacing w:after="0" w:line="240" w:lineRule="auto"/>
        <w:ind w:firstLine="284"/>
        <w:rPr>
          <w:rFonts w:ascii="Garamond" w:hAnsi="Garamond"/>
          <w:sz w:val="24"/>
          <w:szCs w:val="24"/>
        </w:rPr>
      </w:pPr>
    </w:p>
    <w:p w14:paraId="5CD31A86" w14:textId="29AD616B" w:rsidR="004077D3" w:rsidRPr="00B204E4" w:rsidRDefault="004077D3" w:rsidP="00A82531">
      <w:pPr>
        <w:spacing w:after="0" w:line="240" w:lineRule="auto"/>
        <w:ind w:firstLine="284"/>
        <w:rPr>
          <w:rFonts w:ascii="Garamond" w:hAnsi="Garamond"/>
          <w:sz w:val="24"/>
          <w:szCs w:val="24"/>
        </w:rPr>
      </w:pPr>
    </w:p>
    <w:p w14:paraId="7B7F1E6F" w14:textId="77777777" w:rsidR="004077D3" w:rsidRPr="00B204E4" w:rsidRDefault="004077D3" w:rsidP="00A82531">
      <w:pPr>
        <w:spacing w:after="0" w:line="240" w:lineRule="auto"/>
        <w:ind w:firstLine="284"/>
        <w:rPr>
          <w:rFonts w:ascii="Garamond" w:hAnsi="Garamond"/>
          <w:sz w:val="24"/>
          <w:szCs w:val="24"/>
        </w:rPr>
      </w:pPr>
    </w:p>
    <w:p w14:paraId="6A9C854D" w14:textId="11B2DC14" w:rsidR="004077D3" w:rsidRPr="00B204E4" w:rsidRDefault="004077D3" w:rsidP="004077D3">
      <w:pPr>
        <w:spacing w:after="0" w:line="240" w:lineRule="auto"/>
        <w:jc w:val="center"/>
        <w:rPr>
          <w:rFonts w:ascii="Garamond" w:hAnsi="Garamond"/>
          <w:sz w:val="24"/>
          <w:szCs w:val="24"/>
        </w:rPr>
      </w:pPr>
      <w:r w:rsidRPr="00B204E4">
        <w:rPr>
          <w:rFonts w:ascii="Garamond" w:hAnsi="Garamond"/>
          <w:noProof/>
          <w:sz w:val="24"/>
          <w:szCs w:val="24"/>
        </w:rPr>
        <w:lastRenderedPageBreak/>
        <w:drawing>
          <wp:inline distT="0" distB="0" distL="0" distR="0" wp14:anchorId="15B19D78" wp14:editId="4BE3AED2">
            <wp:extent cx="5782310" cy="7903596"/>
            <wp:effectExtent l="0" t="0" r="889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N_GVT_International Tax Reform_Pillar Two Model Rules (Amendments to IAS 12)_May 2023_Page_2.jpg"/>
                    <pic:cNvPicPr/>
                  </pic:nvPicPr>
                  <pic:blipFill rotWithShape="1">
                    <a:blip r:embed="rId14">
                      <a:extLst>
                        <a:ext uri="{28A0092B-C50C-407E-A947-70E740481C1C}">
                          <a14:useLocalDpi xmlns:a14="http://schemas.microsoft.com/office/drawing/2010/main" val="0"/>
                        </a:ext>
                      </a:extLst>
                    </a:blip>
                    <a:srcRect l="7951" t="10087" r="7973" b="12421"/>
                    <a:stretch/>
                  </pic:blipFill>
                  <pic:spPr bwMode="auto">
                    <a:xfrm>
                      <a:off x="0" y="0"/>
                      <a:ext cx="5793491" cy="7918879"/>
                    </a:xfrm>
                    <a:prstGeom prst="rect">
                      <a:avLst/>
                    </a:prstGeom>
                    <a:ln>
                      <a:noFill/>
                    </a:ln>
                    <a:extLst>
                      <a:ext uri="{53640926-AAD7-44D8-BBD7-CCE9431645EC}">
                        <a14:shadowObscured xmlns:a14="http://schemas.microsoft.com/office/drawing/2010/main"/>
                      </a:ext>
                    </a:extLst>
                  </pic:spPr>
                </pic:pic>
              </a:graphicData>
            </a:graphic>
          </wp:inline>
        </w:drawing>
      </w:r>
    </w:p>
    <w:p w14:paraId="75F302E9" w14:textId="351456A2" w:rsidR="004077D3" w:rsidRPr="00B204E4" w:rsidRDefault="004077D3" w:rsidP="004077D3">
      <w:pPr>
        <w:spacing w:after="0" w:line="240" w:lineRule="auto"/>
        <w:jc w:val="center"/>
        <w:rPr>
          <w:rFonts w:ascii="Garamond" w:hAnsi="Garamond"/>
          <w:sz w:val="24"/>
          <w:szCs w:val="24"/>
        </w:rPr>
      </w:pPr>
      <w:r w:rsidRPr="00B204E4">
        <w:rPr>
          <w:rFonts w:ascii="Garamond" w:hAnsi="Garamond"/>
          <w:noProof/>
          <w:sz w:val="24"/>
          <w:szCs w:val="24"/>
        </w:rPr>
        <w:lastRenderedPageBreak/>
        <w:drawing>
          <wp:inline distT="0" distB="0" distL="0" distR="0" wp14:anchorId="4E70C89A" wp14:editId="22A6BC12">
            <wp:extent cx="5716988" cy="174870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_GVT_International Tax Reform_Pillar Two Model Rules (Amendments to IAS 12)_May 2023_Page_3.jpg"/>
                    <pic:cNvPicPr/>
                  </pic:nvPicPr>
                  <pic:blipFill rotWithShape="1">
                    <a:blip r:embed="rId15">
                      <a:extLst>
                        <a:ext uri="{28A0092B-C50C-407E-A947-70E740481C1C}">
                          <a14:useLocalDpi xmlns:a14="http://schemas.microsoft.com/office/drawing/2010/main" val="0"/>
                        </a:ext>
                      </a:extLst>
                    </a:blip>
                    <a:srcRect l="9428" t="7800" r="9690" b="74725"/>
                    <a:stretch/>
                  </pic:blipFill>
                  <pic:spPr bwMode="auto">
                    <a:xfrm>
                      <a:off x="0" y="0"/>
                      <a:ext cx="5778891" cy="1767635"/>
                    </a:xfrm>
                    <a:prstGeom prst="rect">
                      <a:avLst/>
                    </a:prstGeom>
                    <a:ln>
                      <a:noFill/>
                    </a:ln>
                    <a:extLst>
                      <a:ext uri="{53640926-AAD7-44D8-BBD7-CCE9431645EC}">
                        <a14:shadowObscured xmlns:a14="http://schemas.microsoft.com/office/drawing/2010/main"/>
                      </a:ext>
                    </a:extLst>
                  </pic:spPr>
                </pic:pic>
              </a:graphicData>
            </a:graphic>
          </wp:inline>
        </w:drawing>
      </w:r>
    </w:p>
    <w:sectPr w:rsidR="004077D3" w:rsidRPr="00B204E4" w:rsidSect="006F5277">
      <w:pgSz w:w="11907" w:h="16840" w:code="9"/>
      <w:pgMar w:top="1134"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4F3A9" w14:textId="77777777" w:rsidR="007604D0" w:rsidRDefault="007604D0" w:rsidP="00247C35">
      <w:pPr>
        <w:spacing w:after="0" w:line="240" w:lineRule="auto"/>
      </w:pPr>
      <w:r>
        <w:separator/>
      </w:r>
    </w:p>
  </w:endnote>
  <w:endnote w:type="continuationSeparator" w:id="0">
    <w:p w14:paraId="2441E920" w14:textId="77777777" w:rsidR="007604D0" w:rsidRDefault="007604D0" w:rsidP="00247C35">
      <w:pPr>
        <w:spacing w:after="0" w:line="240" w:lineRule="auto"/>
      </w:pPr>
      <w:r>
        <w:continuationSeparator/>
      </w:r>
    </w:p>
  </w:endnote>
  <w:endnote w:type="continuationNotice" w:id="1">
    <w:p w14:paraId="034F70FF" w14:textId="77777777" w:rsidR="007604D0" w:rsidRDefault="007604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D301A" w14:textId="77777777" w:rsidR="007604D0" w:rsidRDefault="007604D0" w:rsidP="00247C35">
      <w:pPr>
        <w:spacing w:after="0" w:line="240" w:lineRule="auto"/>
      </w:pPr>
      <w:r>
        <w:separator/>
      </w:r>
    </w:p>
  </w:footnote>
  <w:footnote w:type="continuationSeparator" w:id="0">
    <w:p w14:paraId="18591EF4" w14:textId="77777777" w:rsidR="007604D0" w:rsidRDefault="007604D0" w:rsidP="00247C35">
      <w:pPr>
        <w:spacing w:after="0" w:line="240" w:lineRule="auto"/>
      </w:pPr>
      <w:r>
        <w:continuationSeparator/>
      </w:r>
    </w:p>
  </w:footnote>
  <w:footnote w:type="continuationNotice" w:id="1">
    <w:p w14:paraId="177B2F15" w14:textId="77777777" w:rsidR="007604D0" w:rsidRDefault="007604D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B6E69"/>
    <w:multiLevelType w:val="hybridMultilevel"/>
    <w:tmpl w:val="B23E69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0B5731"/>
    <w:multiLevelType w:val="hybridMultilevel"/>
    <w:tmpl w:val="979266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DF5E00"/>
    <w:multiLevelType w:val="hybridMultilevel"/>
    <w:tmpl w:val="D228D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E5506C"/>
    <w:multiLevelType w:val="hybridMultilevel"/>
    <w:tmpl w:val="36665E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4517CC"/>
    <w:multiLevelType w:val="hybridMultilevel"/>
    <w:tmpl w:val="5F222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D9B69BC"/>
    <w:multiLevelType w:val="hybridMultilevel"/>
    <w:tmpl w:val="C2C6D0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E46"/>
    <w:rsid w:val="00011BA6"/>
    <w:rsid w:val="00036DBD"/>
    <w:rsid w:val="000A688A"/>
    <w:rsid w:val="000B15AA"/>
    <w:rsid w:val="000C125D"/>
    <w:rsid w:val="000D773F"/>
    <w:rsid w:val="00125E5F"/>
    <w:rsid w:val="00165193"/>
    <w:rsid w:val="00167255"/>
    <w:rsid w:val="00191E67"/>
    <w:rsid w:val="001A1480"/>
    <w:rsid w:val="001B1EFB"/>
    <w:rsid w:val="001E68AF"/>
    <w:rsid w:val="001F7B5D"/>
    <w:rsid w:val="00223730"/>
    <w:rsid w:val="0022639D"/>
    <w:rsid w:val="002350DF"/>
    <w:rsid w:val="00247C35"/>
    <w:rsid w:val="0025374B"/>
    <w:rsid w:val="002A200E"/>
    <w:rsid w:val="002A451D"/>
    <w:rsid w:val="002D36F1"/>
    <w:rsid w:val="0031558B"/>
    <w:rsid w:val="00343AFA"/>
    <w:rsid w:val="0039107A"/>
    <w:rsid w:val="00391BFE"/>
    <w:rsid w:val="003C19B1"/>
    <w:rsid w:val="003F53BF"/>
    <w:rsid w:val="004011FF"/>
    <w:rsid w:val="004077D3"/>
    <w:rsid w:val="00423645"/>
    <w:rsid w:val="00481295"/>
    <w:rsid w:val="00490C94"/>
    <w:rsid w:val="004A34A0"/>
    <w:rsid w:val="004B2FAA"/>
    <w:rsid w:val="004C6EDE"/>
    <w:rsid w:val="004E5121"/>
    <w:rsid w:val="0051289B"/>
    <w:rsid w:val="00527A8A"/>
    <w:rsid w:val="005423C5"/>
    <w:rsid w:val="0056232F"/>
    <w:rsid w:val="00574B6C"/>
    <w:rsid w:val="005920AF"/>
    <w:rsid w:val="005B5688"/>
    <w:rsid w:val="005C4958"/>
    <w:rsid w:val="005D3B93"/>
    <w:rsid w:val="006153A1"/>
    <w:rsid w:val="00617781"/>
    <w:rsid w:val="00620633"/>
    <w:rsid w:val="0063790E"/>
    <w:rsid w:val="006502B9"/>
    <w:rsid w:val="00685242"/>
    <w:rsid w:val="00690078"/>
    <w:rsid w:val="006A6CCA"/>
    <w:rsid w:val="006E782D"/>
    <w:rsid w:val="006F5277"/>
    <w:rsid w:val="00705E8C"/>
    <w:rsid w:val="00716E46"/>
    <w:rsid w:val="0072517F"/>
    <w:rsid w:val="0072746D"/>
    <w:rsid w:val="0073508D"/>
    <w:rsid w:val="00750885"/>
    <w:rsid w:val="00753F28"/>
    <w:rsid w:val="007604D0"/>
    <w:rsid w:val="00760E01"/>
    <w:rsid w:val="00783F88"/>
    <w:rsid w:val="00795DDD"/>
    <w:rsid w:val="0079735C"/>
    <w:rsid w:val="007C6CA0"/>
    <w:rsid w:val="00812F5A"/>
    <w:rsid w:val="00844F4A"/>
    <w:rsid w:val="00863633"/>
    <w:rsid w:val="00867031"/>
    <w:rsid w:val="00874981"/>
    <w:rsid w:val="008A29BF"/>
    <w:rsid w:val="008A7C5A"/>
    <w:rsid w:val="008C5C3B"/>
    <w:rsid w:val="008D4581"/>
    <w:rsid w:val="00900044"/>
    <w:rsid w:val="009510AF"/>
    <w:rsid w:val="0095468E"/>
    <w:rsid w:val="00985E4D"/>
    <w:rsid w:val="00992EE9"/>
    <w:rsid w:val="0099615C"/>
    <w:rsid w:val="009C21DF"/>
    <w:rsid w:val="009C3C76"/>
    <w:rsid w:val="009E6018"/>
    <w:rsid w:val="00A14BC4"/>
    <w:rsid w:val="00A26A1E"/>
    <w:rsid w:val="00A72365"/>
    <w:rsid w:val="00A77675"/>
    <w:rsid w:val="00A82531"/>
    <w:rsid w:val="00A82B8B"/>
    <w:rsid w:val="00A94AB4"/>
    <w:rsid w:val="00AD0F40"/>
    <w:rsid w:val="00AD2D6F"/>
    <w:rsid w:val="00AE5C03"/>
    <w:rsid w:val="00B204E4"/>
    <w:rsid w:val="00B308DC"/>
    <w:rsid w:val="00B53187"/>
    <w:rsid w:val="00B5463F"/>
    <w:rsid w:val="00B57074"/>
    <w:rsid w:val="00B70ECB"/>
    <w:rsid w:val="00B845C5"/>
    <w:rsid w:val="00BA3D60"/>
    <w:rsid w:val="00C07767"/>
    <w:rsid w:val="00C156FD"/>
    <w:rsid w:val="00C3465F"/>
    <w:rsid w:val="00C45405"/>
    <w:rsid w:val="00C46FE3"/>
    <w:rsid w:val="00C53802"/>
    <w:rsid w:val="00CB4227"/>
    <w:rsid w:val="00CD7E6C"/>
    <w:rsid w:val="00D039E1"/>
    <w:rsid w:val="00D221F9"/>
    <w:rsid w:val="00D32F96"/>
    <w:rsid w:val="00D33F18"/>
    <w:rsid w:val="00D55C33"/>
    <w:rsid w:val="00D742CF"/>
    <w:rsid w:val="00D75F6C"/>
    <w:rsid w:val="00D80E5D"/>
    <w:rsid w:val="00D877D2"/>
    <w:rsid w:val="00D96E82"/>
    <w:rsid w:val="00DD38DF"/>
    <w:rsid w:val="00DE1FA2"/>
    <w:rsid w:val="00E02AD7"/>
    <w:rsid w:val="00E24059"/>
    <w:rsid w:val="00E2522B"/>
    <w:rsid w:val="00E278E7"/>
    <w:rsid w:val="00E339CC"/>
    <w:rsid w:val="00E53EC3"/>
    <w:rsid w:val="00E90E30"/>
    <w:rsid w:val="00E94D53"/>
    <w:rsid w:val="00EA2633"/>
    <w:rsid w:val="00EA58A1"/>
    <w:rsid w:val="00ED4A03"/>
    <w:rsid w:val="00ED65BF"/>
    <w:rsid w:val="00EE0B4E"/>
    <w:rsid w:val="00EF11B8"/>
    <w:rsid w:val="00F16F09"/>
    <w:rsid w:val="00F34469"/>
    <w:rsid w:val="00F365DB"/>
    <w:rsid w:val="00F424A7"/>
    <w:rsid w:val="00F73B6F"/>
    <w:rsid w:val="00F82632"/>
    <w:rsid w:val="00F92494"/>
    <w:rsid w:val="00FF3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BCD612C"/>
  <w15:chartTrackingRefBased/>
  <w15:docId w15:val="{B66A7D04-4543-4918-A18D-74AC858B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2365"/>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72365"/>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uiPriority w:val="1"/>
    <w:rsid w:val="00A72365"/>
    <w:rPr>
      <w:rFonts w:ascii="Times New Roman" w:eastAsia="Times New Roman" w:hAnsi="Times New Roman" w:cs="Times New Roman"/>
      <w:sz w:val="24"/>
      <w:szCs w:val="24"/>
      <w:lang w:val="sq-AL"/>
    </w:rPr>
  </w:style>
  <w:style w:type="paragraph" w:styleId="ListParagraph">
    <w:name w:val="List Paragraph"/>
    <w:basedOn w:val="Normal"/>
    <w:link w:val="ListParagraphChar"/>
    <w:uiPriority w:val="34"/>
    <w:qFormat/>
    <w:rsid w:val="00BA3D60"/>
    <w:pPr>
      <w:ind w:left="720"/>
      <w:contextualSpacing/>
    </w:pPr>
  </w:style>
  <w:style w:type="character" w:customStyle="1" w:styleId="ListParagraphChar">
    <w:name w:val="List Paragraph Char"/>
    <w:link w:val="ListParagraph"/>
    <w:uiPriority w:val="34"/>
    <w:locked/>
    <w:rsid w:val="00E90E30"/>
    <w:rPr>
      <w:noProof/>
      <w:lang w:val="sq-AL"/>
    </w:rPr>
  </w:style>
  <w:style w:type="paragraph" w:styleId="Revision">
    <w:name w:val="Revision"/>
    <w:hidden/>
    <w:uiPriority w:val="99"/>
    <w:semiHidden/>
    <w:rsid w:val="0073508D"/>
    <w:pPr>
      <w:spacing w:after="0" w:line="240" w:lineRule="auto"/>
    </w:pPr>
    <w:rPr>
      <w:noProof/>
      <w:lang w:val="sq-AL"/>
    </w:rPr>
  </w:style>
  <w:style w:type="character" w:styleId="CommentReference">
    <w:name w:val="annotation reference"/>
    <w:basedOn w:val="DefaultParagraphFont"/>
    <w:uiPriority w:val="99"/>
    <w:semiHidden/>
    <w:unhideWhenUsed/>
    <w:rsid w:val="0073508D"/>
    <w:rPr>
      <w:sz w:val="16"/>
      <w:szCs w:val="16"/>
    </w:rPr>
  </w:style>
  <w:style w:type="paragraph" w:styleId="CommentText">
    <w:name w:val="annotation text"/>
    <w:basedOn w:val="Normal"/>
    <w:link w:val="CommentTextChar"/>
    <w:uiPriority w:val="99"/>
    <w:unhideWhenUsed/>
    <w:rsid w:val="0073508D"/>
    <w:pPr>
      <w:spacing w:line="240" w:lineRule="auto"/>
    </w:pPr>
    <w:rPr>
      <w:sz w:val="20"/>
      <w:szCs w:val="20"/>
    </w:rPr>
  </w:style>
  <w:style w:type="character" w:customStyle="1" w:styleId="CommentTextChar">
    <w:name w:val="Comment Text Char"/>
    <w:basedOn w:val="DefaultParagraphFont"/>
    <w:link w:val="CommentText"/>
    <w:uiPriority w:val="99"/>
    <w:rsid w:val="0073508D"/>
    <w:rPr>
      <w:noProof/>
      <w:sz w:val="20"/>
      <w:szCs w:val="20"/>
      <w:lang w:val="sq-AL"/>
    </w:rPr>
  </w:style>
  <w:style w:type="paragraph" w:styleId="CommentSubject">
    <w:name w:val="annotation subject"/>
    <w:basedOn w:val="CommentText"/>
    <w:next w:val="CommentText"/>
    <w:link w:val="CommentSubjectChar"/>
    <w:uiPriority w:val="99"/>
    <w:semiHidden/>
    <w:unhideWhenUsed/>
    <w:rsid w:val="0073508D"/>
    <w:rPr>
      <w:b/>
      <w:bCs/>
    </w:rPr>
  </w:style>
  <w:style w:type="character" w:customStyle="1" w:styleId="CommentSubjectChar">
    <w:name w:val="Comment Subject Char"/>
    <w:basedOn w:val="CommentTextChar"/>
    <w:link w:val="CommentSubject"/>
    <w:uiPriority w:val="99"/>
    <w:semiHidden/>
    <w:rsid w:val="0073508D"/>
    <w:rPr>
      <w:b/>
      <w:bCs/>
      <w:noProof/>
      <w:sz w:val="20"/>
      <w:szCs w:val="20"/>
      <w:lang w:val="sq-AL"/>
    </w:rPr>
  </w:style>
  <w:style w:type="paragraph" w:styleId="Header">
    <w:name w:val="header"/>
    <w:basedOn w:val="Normal"/>
    <w:link w:val="HeaderChar"/>
    <w:uiPriority w:val="99"/>
    <w:unhideWhenUsed/>
    <w:rsid w:val="00247C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C35"/>
    <w:rPr>
      <w:noProof/>
      <w:lang w:val="sq-AL"/>
    </w:rPr>
  </w:style>
  <w:style w:type="paragraph" w:styleId="Footer">
    <w:name w:val="footer"/>
    <w:basedOn w:val="Normal"/>
    <w:link w:val="FooterChar"/>
    <w:uiPriority w:val="99"/>
    <w:unhideWhenUsed/>
    <w:rsid w:val="00247C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C35"/>
    <w:rPr>
      <w:noProof/>
      <w:lang w:val="sq-AL"/>
    </w:rPr>
  </w:style>
  <w:style w:type="paragraph" w:customStyle="1" w:styleId="IASBNormalnpara">
    <w:name w:val="IASB Normal npara"/>
    <w:basedOn w:val="Normal"/>
    <w:rsid w:val="00A82531"/>
    <w:pPr>
      <w:spacing w:before="100" w:after="0" w:line="240" w:lineRule="auto"/>
      <w:ind w:left="782" w:hanging="782"/>
      <w:jc w:val="both"/>
    </w:pPr>
    <w:rPr>
      <w:rFonts w:ascii="Times New Roman" w:eastAsia="Times New Roman" w:hAnsi="Times New Roman" w:cs="Times New Roman"/>
      <w:sz w:val="19"/>
      <w:szCs w:val="20"/>
      <w:lang w:eastAsia="sq-AL"/>
    </w:rPr>
  </w:style>
  <w:style w:type="paragraph" w:customStyle="1" w:styleId="IASBSectionTitle1NonInd">
    <w:name w:val="IASB Section Title 1 NonInd"/>
    <w:basedOn w:val="Normal"/>
    <w:rsid w:val="00A82531"/>
    <w:pPr>
      <w:keepNext/>
      <w:keepLines/>
      <w:pBdr>
        <w:bottom w:val="single" w:sz="4" w:space="0" w:color="auto"/>
      </w:pBdr>
      <w:spacing w:before="400" w:after="200" w:line="240" w:lineRule="auto"/>
    </w:pPr>
    <w:rPr>
      <w:rFonts w:ascii="Arial" w:eastAsia="Times New Roman" w:hAnsi="Arial" w:cs="Arial"/>
      <w:b/>
      <w:sz w:val="26"/>
      <w:szCs w:val="20"/>
      <w:lang w:eastAsia="sq-AL"/>
    </w:rPr>
  </w:style>
  <w:style w:type="paragraph" w:customStyle="1" w:styleId="IASBSectionTitle2Ind">
    <w:name w:val="IASB Section Title 2 Ind"/>
    <w:basedOn w:val="Normal"/>
    <w:rsid w:val="00A82531"/>
    <w:pPr>
      <w:keepNext/>
      <w:keepLines/>
      <w:spacing w:before="240" w:after="200" w:line="240" w:lineRule="auto"/>
      <w:ind w:left="782"/>
    </w:pPr>
    <w:rPr>
      <w:rFonts w:ascii="Arial" w:eastAsia="Times New Roman" w:hAnsi="Arial" w:cs="Arial"/>
      <w:b/>
      <w:sz w:val="26"/>
      <w:szCs w:val="20"/>
      <w:lang w:eastAsia="sq-AL"/>
    </w:rPr>
  </w:style>
  <w:style w:type="paragraph" w:customStyle="1" w:styleId="IASBNormalnparaL1">
    <w:name w:val="IASB Normal nparaL1"/>
    <w:basedOn w:val="IASBNormalnpara"/>
    <w:rsid w:val="00A82531"/>
    <w:pPr>
      <w:ind w:left="1564"/>
    </w:pPr>
  </w:style>
  <w:style w:type="paragraph" w:customStyle="1" w:styleId="IASBNormalL1">
    <w:name w:val="IASB Normal L1"/>
    <w:basedOn w:val="IASBNormalnpara"/>
    <w:rsid w:val="00A82531"/>
  </w:style>
  <w:style w:type="paragraph" w:customStyle="1" w:styleId="IASBNormalL2">
    <w:name w:val="IASB Normal L2"/>
    <w:basedOn w:val="IASBNormalL1"/>
    <w:rsid w:val="00A82531"/>
    <w:pPr>
      <w:ind w:left="1564"/>
    </w:pPr>
  </w:style>
  <w:style w:type="paragraph" w:customStyle="1" w:styleId="IASBTableNormal">
    <w:name w:val="IASB Table Normal"/>
    <w:basedOn w:val="Normal"/>
    <w:rsid w:val="00A82531"/>
    <w:pPr>
      <w:spacing w:before="80" w:after="60" w:line="240" w:lineRule="auto"/>
    </w:pPr>
    <w:rPr>
      <w:rFonts w:ascii="Times New Roman" w:eastAsia="Times New Roman" w:hAnsi="Times New Roman" w:cs="Times New Roman"/>
      <w:sz w:val="19"/>
      <w:szCs w:val="20"/>
      <w:lang w:eastAsia="sq-AL"/>
    </w:rPr>
  </w:style>
  <w:style w:type="paragraph" w:customStyle="1" w:styleId="IASBTableHeaderArial">
    <w:name w:val="IASB Table Header Arial"/>
    <w:basedOn w:val="Normal"/>
    <w:qFormat/>
    <w:rsid w:val="00A82531"/>
    <w:pPr>
      <w:keepNext/>
      <w:spacing w:before="120" w:after="100" w:line="240" w:lineRule="auto"/>
    </w:pPr>
    <w:rPr>
      <w:rFonts w:ascii="Arial" w:eastAsia="Times New Roman" w:hAnsi="Arial" w:cs="Times New Roman"/>
      <w:b/>
      <w:sz w:val="18"/>
      <w:szCs w:val="20"/>
      <w:lang w:eastAsia="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177</Nr_x002e__x0020_akti>
    <Data_x0020_e_x0020_Krijimit xmlns="0e656187-b300-4fb0-8bf4-3a50f872073c">2023-08-16T08:31:06Z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2023-08-15T22:00:00Z</Date_x0020_protokolli>
    <Titulli xmlns="0e656187-b300-4fb0-8bf4-3a50f872073c">Për miratimin e përkthimit në gjuhën shqipe të ndryshimeve në standardin ndërkombëtar të kontabilitetit (SNK) 12 "Tatim mbi të ardhurat"</Titulli>
    <Modifikuesi xmlns="0e656187-b300-4fb0-8bf4-3a50f872073c">Fjora.Cahani</Modifikuesi>
    <Nr_x002e__x0020_prot_x0020_QBZ xmlns="0e656187-b300-4fb0-8bf4-3a50f872073c">1274/1</Nr_x002e__x0020_prot_x0020_QBZ>
    <Data_x0020_e_x0020_Modifikimit xmlns="0e656187-b300-4fb0-8bf4-3a50f872073c">2023-08-16T10:42:21Z</Data_x0020_e_x0020_Modifikimit>
    <Dekretuar xmlns="0e656187-b300-4fb0-8bf4-3a50f872073c">false</Dekretuar>
    <Data xmlns="0e656187-b300-4fb0-8bf4-3a50f872073c">2023-08-01T22:00:00Z</Data>
    <Nr_x002e__x0020_protokolli_x0020_i_x0020_aktit xmlns="0e656187-b300-4fb0-8bf4-3a50f872073c">10714/2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1055CDDB3FE4A1D8A8C1C5D923677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1055CDDB3FE4A1D8A8C1C5D923677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DA294-0477-4C67-8797-9243B1186767}">
  <ds:schemaRefs>
    <ds:schemaRef ds:uri="http://schemas.microsoft.com/office/2006/documentManagement/types"/>
    <ds:schemaRef ds:uri="http://purl.org/dc/elements/1.1/"/>
    <ds:schemaRef ds:uri="http://schemas.microsoft.com/office/2006/metadata/properties"/>
    <ds:schemaRef ds:uri="http://www.w3.org/XML/1998/namespace"/>
    <ds:schemaRef ds:uri="http://schemas.openxmlformats.org/package/2006/metadata/core-properties"/>
    <ds:schemaRef ds:uri="0e656187-b300-4fb0-8bf4-3a50f872073c"/>
    <ds:schemaRef ds:uri="http://purl.org/dc/dcmitype/"/>
    <ds:schemaRef ds:uri="http://purl.org/dc/terms/"/>
  </ds:schemaRefs>
</ds:datastoreItem>
</file>

<file path=customXml/itemProps2.xml><?xml version="1.0" encoding="utf-8"?>
<ds:datastoreItem xmlns:ds="http://schemas.openxmlformats.org/officeDocument/2006/customXml" ds:itemID="{308B583C-BACD-4C7B-B283-F02F207C52CC}">
  <ds:schemaRefs>
    <ds:schemaRef ds:uri="http://schemas.microsoft.com/sharepoint/v3/contenttype/forms"/>
  </ds:schemaRefs>
</ds:datastoreItem>
</file>

<file path=customXml/itemProps3.xml><?xml version="1.0" encoding="utf-8"?>
<ds:datastoreItem xmlns:ds="http://schemas.openxmlformats.org/officeDocument/2006/customXml" ds:itemID="{6012F680-3F72-4FD5-95E0-3A1EC7ABA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4CA40BF-44B7-4AB1-931D-46D66EFFBC41}">
  <ds:schemaRefs>
    <ds:schemaRef ds:uri="http://schemas.microsoft.com/sharepoint/v3/contenttype/forms"/>
  </ds:schemaRefs>
</ds:datastoreItem>
</file>

<file path=customXml/itemProps5.xml><?xml version="1.0" encoding="utf-8"?>
<ds:datastoreItem xmlns:ds="http://schemas.openxmlformats.org/officeDocument/2006/customXml" ds:itemID="{CA355083-63F9-4C0C-BF1D-816451F45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AF70372-C7FC-4F78-AD2C-5E60ACEB0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Për miratimin e përkthimit në gjuhën shqipe të ndryshimeve në standardin ndërkombëtar të kontabilitetit (SNK) 12 "Tatim mbi të ardhurat"</vt:lpstr>
    </vt:vector>
  </TitlesOfParts>
  <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përkthimit në gjuhën shqipe të ndryshimeve në standardin ndërkombëtar të kontabilitetit (SNK) 12 "Tatim mbi të ardhurat"</dc:title>
  <dc:creator>Andrea Gjoka</dc:creator>
  <cp:lastModifiedBy>Amarilda Muja</cp:lastModifiedBy>
  <cp:revision>18</cp:revision>
  <cp:lastPrinted>2023-08-11T06:41:00Z</cp:lastPrinted>
  <dcterms:created xsi:type="dcterms:W3CDTF">2023-08-16T08:35:00Z</dcterms:created>
  <dcterms:modified xsi:type="dcterms:W3CDTF">2023-08-17T08:38:00Z</dcterms:modified>
</cp:coreProperties>
</file>