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E615E" w14:textId="193D297A" w:rsidR="00B96BDF" w:rsidRPr="00093D2E" w:rsidRDefault="00B96BDF" w:rsidP="00DE6D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3D2E">
        <w:rPr>
          <w:rFonts w:ascii="Garamond" w:hAnsi="Garamond"/>
          <w:b/>
          <w:sz w:val="24"/>
          <w:szCs w:val="24"/>
          <w:lang w:val="sq-AL"/>
        </w:rPr>
        <w:t>URDH</w:t>
      </w:r>
      <w:r w:rsidR="007D031A" w:rsidRPr="00093D2E">
        <w:rPr>
          <w:rFonts w:ascii="Garamond" w:hAnsi="Garamond"/>
          <w:b/>
          <w:sz w:val="24"/>
          <w:szCs w:val="24"/>
          <w:lang w:val="sq-AL"/>
        </w:rPr>
        <w:t>Ë</w:t>
      </w:r>
      <w:r w:rsidRPr="00093D2E">
        <w:rPr>
          <w:rFonts w:ascii="Garamond" w:hAnsi="Garamond"/>
          <w:b/>
          <w:sz w:val="24"/>
          <w:szCs w:val="24"/>
          <w:lang w:val="sq-AL"/>
        </w:rPr>
        <w:t>R</w:t>
      </w:r>
    </w:p>
    <w:p w14:paraId="2073F66B" w14:textId="0A2431A2" w:rsidR="000F74B6" w:rsidRPr="00093D2E" w:rsidRDefault="007D031A" w:rsidP="00DE6D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3D2E">
        <w:rPr>
          <w:rFonts w:ascii="Garamond" w:hAnsi="Garamond"/>
          <w:b/>
          <w:sz w:val="24"/>
          <w:szCs w:val="24"/>
          <w:lang w:val="sq-AL"/>
        </w:rPr>
        <w:t>Nr</w:t>
      </w:r>
      <w:r w:rsidR="006C77BE" w:rsidRPr="00093D2E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E073E" w:rsidRPr="00093D2E">
        <w:rPr>
          <w:rFonts w:ascii="Garamond" w:hAnsi="Garamond"/>
          <w:b/>
          <w:sz w:val="24"/>
          <w:szCs w:val="24"/>
          <w:lang w:val="sq-AL"/>
        </w:rPr>
        <w:t>300</w:t>
      </w:r>
      <w:r w:rsidR="00984200" w:rsidRPr="00093D2E">
        <w:rPr>
          <w:rFonts w:ascii="Garamond" w:hAnsi="Garamond"/>
          <w:b/>
          <w:sz w:val="24"/>
          <w:szCs w:val="24"/>
          <w:lang w:val="sq-AL"/>
        </w:rPr>
        <w:t>, dat</w:t>
      </w:r>
      <w:r w:rsidR="00241BA7" w:rsidRPr="00093D2E">
        <w:rPr>
          <w:rFonts w:ascii="Garamond" w:hAnsi="Garamond"/>
          <w:b/>
          <w:sz w:val="24"/>
          <w:szCs w:val="24"/>
          <w:lang w:val="sq-AL"/>
        </w:rPr>
        <w:t>ë</w:t>
      </w:r>
      <w:r w:rsidR="00984200" w:rsidRPr="00093D2E">
        <w:rPr>
          <w:rFonts w:ascii="Garamond" w:hAnsi="Garamond"/>
          <w:b/>
          <w:sz w:val="24"/>
          <w:szCs w:val="24"/>
          <w:lang w:val="sq-AL"/>
        </w:rPr>
        <w:t xml:space="preserve"> 27</w:t>
      </w:r>
      <w:r w:rsidR="00C13469" w:rsidRPr="00093D2E">
        <w:rPr>
          <w:rFonts w:ascii="Garamond" w:hAnsi="Garamond"/>
          <w:b/>
          <w:sz w:val="24"/>
          <w:szCs w:val="24"/>
          <w:lang w:val="sq-AL"/>
        </w:rPr>
        <w:t>.11</w:t>
      </w:r>
      <w:r w:rsidR="0037184D" w:rsidRPr="00093D2E">
        <w:rPr>
          <w:rFonts w:ascii="Garamond" w:hAnsi="Garamond"/>
          <w:b/>
          <w:sz w:val="24"/>
          <w:szCs w:val="24"/>
          <w:lang w:val="sq-AL"/>
        </w:rPr>
        <w:t>.2024</w:t>
      </w:r>
    </w:p>
    <w:p w14:paraId="4A4EBF26" w14:textId="4A07FEAE" w:rsidR="007D031A" w:rsidRPr="00093D2E" w:rsidRDefault="007D031A" w:rsidP="00DE6D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F7EA9C" w14:textId="0BDBC0B2" w:rsidR="00DC1246" w:rsidRPr="00093D2E" w:rsidRDefault="00DC1246" w:rsidP="00DC12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sz w:val="24"/>
          <w:szCs w:val="24"/>
          <w:lang w:val="sq-AL"/>
        </w:rPr>
      </w:pPr>
      <w:r w:rsidRPr="00093D2E">
        <w:rPr>
          <w:rFonts w:ascii="Garamond" w:eastAsia="Calibri" w:hAnsi="Garamond"/>
          <w:b/>
          <w:bCs/>
          <w:sz w:val="24"/>
          <w:szCs w:val="24"/>
          <w:lang w:val="sq-AL"/>
        </w:rPr>
        <w:t xml:space="preserve">PËR MIRATIMIN E RREGULLORES </w:t>
      </w:r>
      <w:bookmarkStart w:id="0" w:name="_Hlk145945308"/>
      <w:r w:rsidRPr="00093D2E">
        <w:rPr>
          <w:rFonts w:ascii="Garamond" w:eastAsia="Calibri" w:hAnsi="Garamond"/>
          <w:b/>
          <w:bCs/>
          <w:sz w:val="24"/>
          <w:szCs w:val="24"/>
          <w:lang w:val="sq-AL"/>
        </w:rPr>
        <w:t>“</w:t>
      </w:r>
      <w:bookmarkEnd w:id="0"/>
      <w:r w:rsidRPr="00093D2E">
        <w:rPr>
          <w:rFonts w:ascii="Garamond" w:eastAsia="Calibri" w:hAnsi="Garamond"/>
          <w:b/>
          <w:sz w:val="24"/>
          <w:szCs w:val="24"/>
          <w:lang w:val="sq-AL"/>
        </w:rPr>
        <w:t>PËR KRITERET E KËRKUESVE PËR KAPACITETE TË INFRASTRUKTURËS HEKURUDHORE”</w:t>
      </w:r>
      <w:r w:rsidRPr="00093D2E">
        <w:rPr>
          <w:rStyle w:val="FootnoteReference"/>
          <w:rFonts w:ascii="Garamond" w:eastAsia="Calibri" w:hAnsi="Garamond"/>
          <w:b/>
          <w:sz w:val="24"/>
          <w:szCs w:val="24"/>
          <w:lang w:val="sq-AL"/>
        </w:rPr>
        <w:footnoteReference w:id="2"/>
      </w:r>
    </w:p>
    <w:p w14:paraId="41F00BE2" w14:textId="77777777" w:rsidR="00DC1246" w:rsidRPr="00093D2E" w:rsidRDefault="00DC1246" w:rsidP="00DC1246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3104B332" w14:textId="71C1C8AC" w:rsidR="00DC1246" w:rsidRPr="00093D2E" w:rsidRDefault="00DC1246" w:rsidP="00DC1246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093D2E">
        <w:rPr>
          <w:rFonts w:ascii="Garamond" w:eastAsia="Calibri" w:hAnsi="Garamond"/>
          <w:sz w:val="24"/>
          <w:szCs w:val="24"/>
          <w:lang w:val="sq-AL"/>
        </w:rPr>
        <w:t>Në zbatim të pikës 4, të nenit 102, të Kushtetutës, n</w:t>
      </w:r>
      <w:r w:rsidRPr="00093D2E">
        <w:rPr>
          <w:rFonts w:ascii="Garamond" w:eastAsia="Calibri" w:hAnsi="Garamond"/>
          <w:color w:val="000000"/>
          <w:sz w:val="24"/>
          <w:szCs w:val="24"/>
          <w:lang w:val="sq-AL"/>
        </w:rPr>
        <w:t>eneve 39, 40, 41 dhe 42, të ligjit nr. 142/2016, datë 22.12.2016, “Kodi Hekurudhor i Republikës së Shqipërisë”</w:t>
      </w:r>
      <w:r w:rsidRPr="00093D2E">
        <w:rPr>
          <w:rFonts w:ascii="Garamond" w:eastAsia="Calibri" w:hAnsi="Garamond"/>
          <w:sz w:val="24"/>
          <w:szCs w:val="24"/>
          <w:lang w:val="sq-AL"/>
        </w:rPr>
        <w:t xml:space="preserve">, të nenit 70, të ligjit nr. 9590, datë 27.7.2006, “Për ratifikimin e </w:t>
      </w:r>
      <w:r w:rsidR="00093D2E">
        <w:rPr>
          <w:rFonts w:ascii="Garamond" w:eastAsia="Calibri" w:hAnsi="Garamond"/>
          <w:sz w:val="24"/>
          <w:szCs w:val="24"/>
          <w:lang w:val="sq-AL"/>
        </w:rPr>
        <w:t>‘</w:t>
      </w:r>
      <w:r w:rsidRPr="00093D2E">
        <w:rPr>
          <w:rFonts w:ascii="Garamond" w:eastAsia="Calibri" w:hAnsi="Garamond"/>
          <w:sz w:val="24"/>
          <w:szCs w:val="24"/>
          <w:lang w:val="sq-AL"/>
        </w:rPr>
        <w:t>Marrëveshjes së Stabilizim</w:t>
      </w:r>
      <w:r w:rsidR="00093D2E">
        <w:rPr>
          <w:rFonts w:ascii="Garamond" w:eastAsia="Calibri" w:hAnsi="Garamond"/>
          <w:sz w:val="24"/>
          <w:szCs w:val="24"/>
          <w:lang w:val="sq-AL"/>
        </w:rPr>
        <w:t>-</w:t>
      </w:r>
      <w:proofErr w:type="spellStart"/>
      <w:r w:rsidRPr="00093D2E">
        <w:rPr>
          <w:rFonts w:ascii="Garamond" w:eastAsia="Calibri" w:hAnsi="Garamond"/>
          <w:sz w:val="24"/>
          <w:szCs w:val="24"/>
          <w:lang w:val="sq-AL"/>
        </w:rPr>
        <w:t>Asociimit</w:t>
      </w:r>
      <w:proofErr w:type="spellEnd"/>
      <w:r w:rsidRPr="00093D2E">
        <w:rPr>
          <w:rFonts w:ascii="Garamond" w:eastAsia="Calibri" w:hAnsi="Garamond"/>
          <w:sz w:val="24"/>
          <w:szCs w:val="24"/>
          <w:lang w:val="sq-AL"/>
        </w:rPr>
        <w:t xml:space="preserve"> ndërmjet Republikës së Shqipërisë dhe Komuniteteve E</w:t>
      </w:r>
      <w:r w:rsidR="00093D2E">
        <w:rPr>
          <w:rFonts w:ascii="Garamond" w:eastAsia="Calibri" w:hAnsi="Garamond"/>
          <w:sz w:val="24"/>
          <w:szCs w:val="24"/>
          <w:lang w:val="sq-AL"/>
        </w:rPr>
        <w:t>v</w:t>
      </w:r>
      <w:r w:rsidRPr="00093D2E">
        <w:rPr>
          <w:rFonts w:ascii="Garamond" w:eastAsia="Calibri" w:hAnsi="Garamond"/>
          <w:sz w:val="24"/>
          <w:szCs w:val="24"/>
          <w:lang w:val="sq-AL"/>
        </w:rPr>
        <w:t>ropiane e shteteve të tyre anëtare</w:t>
      </w:r>
      <w:r w:rsidR="00093D2E">
        <w:rPr>
          <w:rFonts w:ascii="Garamond" w:eastAsia="Calibri" w:hAnsi="Garamond"/>
          <w:sz w:val="24"/>
          <w:szCs w:val="24"/>
          <w:lang w:val="sq-AL"/>
        </w:rPr>
        <w:t>’</w:t>
      </w:r>
      <w:r w:rsidRPr="00093D2E">
        <w:rPr>
          <w:rFonts w:ascii="Garamond" w:eastAsia="Calibri" w:hAnsi="Garamond"/>
          <w:sz w:val="24"/>
          <w:szCs w:val="24"/>
          <w:lang w:val="sq-AL"/>
        </w:rPr>
        <w:t>”,</w:t>
      </w:r>
    </w:p>
    <w:p w14:paraId="1C5B5F28" w14:textId="77777777" w:rsidR="00DC1246" w:rsidRPr="00093D2E" w:rsidRDefault="00DC1246" w:rsidP="00DC1246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</w:p>
    <w:p w14:paraId="785E3AC6" w14:textId="54F04EAF" w:rsidR="00DC1246" w:rsidRPr="00093D2E" w:rsidRDefault="00DC1246" w:rsidP="00DC1246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  <w:r w:rsidRPr="00093D2E">
        <w:rPr>
          <w:rFonts w:ascii="Garamond" w:eastAsia="Calibri" w:hAnsi="Garamond"/>
          <w:sz w:val="24"/>
          <w:szCs w:val="24"/>
          <w:lang w:val="sq-AL"/>
        </w:rPr>
        <w:t>URDHËROJ:</w:t>
      </w:r>
    </w:p>
    <w:p w14:paraId="220774A8" w14:textId="77777777" w:rsidR="00DC1246" w:rsidRPr="00093D2E" w:rsidRDefault="00DC1246" w:rsidP="00DC1246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</w:p>
    <w:p w14:paraId="5201B571" w14:textId="4B99981A" w:rsidR="00DC1246" w:rsidRPr="00093D2E" w:rsidRDefault="00DC1246" w:rsidP="00DC1246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093D2E">
        <w:rPr>
          <w:rFonts w:ascii="Garamond" w:eastAsia="Calibri" w:hAnsi="Garamond"/>
          <w:sz w:val="24"/>
          <w:szCs w:val="24"/>
          <w:lang w:val="sq-AL"/>
        </w:rPr>
        <w:t xml:space="preserve"> 1. Miratimin e rregullores “Për kriteret e kërkuesve për kapacitete të infrastrukturës   hekurudhore</w:t>
      </w:r>
      <w:r w:rsidRPr="00093D2E">
        <w:rPr>
          <w:rFonts w:ascii="Garamond" w:eastAsia="Calibri" w:hAnsi="Garamond"/>
          <w:bCs/>
          <w:sz w:val="24"/>
          <w:szCs w:val="24"/>
          <w:lang w:val="sq-AL"/>
        </w:rPr>
        <w:t>”</w:t>
      </w:r>
      <w:r w:rsidRPr="00093D2E">
        <w:rPr>
          <w:rFonts w:ascii="Garamond" w:eastAsia="Calibri" w:hAnsi="Garamond"/>
          <w:sz w:val="24"/>
          <w:szCs w:val="24"/>
          <w:lang w:val="sq-AL"/>
        </w:rPr>
        <w:t>, sipas tekstit që i bashkëlidhet këtij urdhri dhe është pjesë përbërëse e tij.</w:t>
      </w:r>
    </w:p>
    <w:p w14:paraId="269A7F1A" w14:textId="41FA0E47" w:rsidR="00DC1246" w:rsidRPr="00093D2E" w:rsidRDefault="00DC1246" w:rsidP="00DC1246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093D2E">
        <w:rPr>
          <w:rFonts w:ascii="Garamond" w:eastAsia="Calibri" w:hAnsi="Garamond"/>
          <w:sz w:val="24"/>
          <w:szCs w:val="24"/>
          <w:lang w:val="sq-AL"/>
        </w:rPr>
        <w:t xml:space="preserve"> 2. Ngarkohen administratorët e infrastrukturës dhe sipërmarrësit hekurudhor për ndjekjen dhe zbatimin e këtij urdhri.</w:t>
      </w:r>
    </w:p>
    <w:p w14:paraId="100AD420" w14:textId="77777777" w:rsidR="00DC1246" w:rsidRPr="00093D2E" w:rsidRDefault="00DC1246" w:rsidP="00DC1246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093D2E">
        <w:rPr>
          <w:rFonts w:ascii="Garamond" w:eastAsia="Calibri" w:hAnsi="Garamond"/>
          <w:sz w:val="24"/>
          <w:szCs w:val="24"/>
          <w:lang w:val="sq-AL"/>
        </w:rPr>
        <w:t>Ky urdhër hyn në fuqi menjëherë dhe botohet në Fletoren Zyrtare.</w:t>
      </w:r>
    </w:p>
    <w:p w14:paraId="1F91851D" w14:textId="77777777" w:rsidR="00DC1246" w:rsidRPr="00093D2E" w:rsidRDefault="00DC1246" w:rsidP="00DE6D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169DC4A" w14:textId="1415B370" w:rsidR="007D031A" w:rsidRPr="00093D2E" w:rsidRDefault="007D031A" w:rsidP="00DE6D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3D2E">
        <w:rPr>
          <w:rFonts w:ascii="Garamond" w:hAnsi="Garamond"/>
          <w:sz w:val="24"/>
          <w:szCs w:val="24"/>
          <w:lang w:val="sq-AL"/>
        </w:rPr>
        <w:t>ZËV</w:t>
      </w:r>
      <w:r w:rsidR="00241BA7" w:rsidRPr="00093D2E">
        <w:rPr>
          <w:rFonts w:ascii="Garamond" w:hAnsi="Garamond"/>
          <w:sz w:val="24"/>
          <w:szCs w:val="24"/>
          <w:lang w:val="sq-AL"/>
        </w:rPr>
        <w:t>E</w:t>
      </w:r>
      <w:r w:rsidRPr="00093D2E">
        <w:rPr>
          <w:rFonts w:ascii="Garamond" w:hAnsi="Garamond"/>
          <w:sz w:val="24"/>
          <w:szCs w:val="24"/>
          <w:lang w:val="sq-AL"/>
        </w:rPr>
        <w:t xml:space="preserve">NDËSKRYEMINISTËR </w:t>
      </w:r>
    </w:p>
    <w:p w14:paraId="3B99A665" w14:textId="22F28D98" w:rsidR="007D031A" w:rsidRPr="00093D2E" w:rsidRDefault="007D031A" w:rsidP="00DE6D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3D2E">
        <w:rPr>
          <w:rFonts w:ascii="Garamond" w:hAnsi="Garamond"/>
          <w:sz w:val="24"/>
          <w:szCs w:val="24"/>
          <w:lang w:val="sq-AL"/>
        </w:rPr>
        <w:t xml:space="preserve">DHE MINISTËR I </w:t>
      </w:r>
      <w:r w:rsidR="00241BA7" w:rsidRPr="00093D2E">
        <w:rPr>
          <w:rFonts w:ascii="Garamond" w:hAnsi="Garamond"/>
          <w:sz w:val="24"/>
          <w:szCs w:val="24"/>
          <w:lang w:val="sq-AL"/>
        </w:rPr>
        <w:t>INFRASTRUKTURËS</w:t>
      </w:r>
      <w:r w:rsidRPr="00093D2E">
        <w:rPr>
          <w:rFonts w:ascii="Garamond" w:hAnsi="Garamond"/>
          <w:sz w:val="24"/>
          <w:szCs w:val="24"/>
          <w:lang w:val="sq-AL"/>
        </w:rPr>
        <w:t xml:space="preserve"> </w:t>
      </w:r>
    </w:p>
    <w:p w14:paraId="3B5A3078" w14:textId="4E6BB455" w:rsidR="007D031A" w:rsidRPr="00093D2E" w:rsidRDefault="007D031A" w:rsidP="00DE6D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3D2E">
        <w:rPr>
          <w:rFonts w:ascii="Garamond" w:hAnsi="Garamond"/>
          <w:sz w:val="24"/>
          <w:szCs w:val="24"/>
          <w:lang w:val="sq-AL"/>
        </w:rPr>
        <w:t xml:space="preserve">DHE </w:t>
      </w:r>
      <w:r w:rsidR="00241BA7" w:rsidRPr="00093D2E">
        <w:rPr>
          <w:rFonts w:ascii="Garamond" w:hAnsi="Garamond"/>
          <w:sz w:val="24"/>
          <w:szCs w:val="24"/>
          <w:lang w:val="sq-AL"/>
        </w:rPr>
        <w:t>ENERGJISË</w:t>
      </w:r>
    </w:p>
    <w:p w14:paraId="0E0248A8" w14:textId="70CD9A37" w:rsidR="007D031A" w:rsidRPr="00093D2E" w:rsidRDefault="007D031A" w:rsidP="00DE6D0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93D2E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093D2E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23764D5D" w14:textId="77777777" w:rsidR="00DE6D03" w:rsidRPr="00093D2E" w:rsidRDefault="00DE6D03" w:rsidP="00DE6D03">
      <w:pPr>
        <w:autoSpaceDE w:val="0"/>
        <w:autoSpaceDN w:val="0"/>
        <w:adjustRightInd w:val="0"/>
        <w:spacing w:after="0" w:line="310" w:lineRule="atLeast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E083D78" w14:textId="2CB7D515" w:rsidR="00DE6D03" w:rsidRPr="00093D2E" w:rsidRDefault="00DE6D03" w:rsidP="00DE6D03">
      <w:pPr>
        <w:autoSpaceDE w:val="0"/>
        <w:autoSpaceDN w:val="0"/>
        <w:adjustRightInd w:val="0"/>
        <w:spacing w:after="0" w:line="310" w:lineRule="atLeast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RREGULLORE</w:t>
      </w:r>
    </w:p>
    <w:p w14:paraId="537B907F" w14:textId="60FB0017" w:rsidR="00DE6D03" w:rsidRPr="00093D2E" w:rsidRDefault="00DE6D03" w:rsidP="005A461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bookmarkStart w:id="1" w:name="_GoBack"/>
      <w:bookmarkEnd w:id="1"/>
      <w:r w:rsidRPr="00093D2E">
        <w:rPr>
          <w:rFonts w:ascii="Garamond" w:hAnsi="Garamond" w:cs="Garamond"/>
          <w:bCs/>
          <w:color w:val="000000"/>
          <w:sz w:val="24"/>
          <w:szCs w:val="24"/>
          <w:lang w:val="sq-AL"/>
        </w:rPr>
        <w:t>PËR KRITERET E KËRKUESVE PËR KAPACITETE TË INFRASTRUKTURËS HEKURUDHORE</w:t>
      </w:r>
    </w:p>
    <w:p w14:paraId="46634C0D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A69687C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Neni 1</w:t>
      </w:r>
    </w:p>
    <w:p w14:paraId="68DA4E1D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Objekti </w:t>
      </w:r>
    </w:p>
    <w:p w14:paraId="19F38C0C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F507636" w14:textId="430F73D6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1. Objekti i kësaj rregulloreje është përcaktimi:</w:t>
      </w:r>
    </w:p>
    <w:p w14:paraId="3CD3C4E4" w14:textId="02B4E06A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a) i kërkesave për garancitë financiare që kërkon një administrator infrastrukture për të siguruar që </w:t>
      </w:r>
      <w:proofErr w:type="spellStart"/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pritshmëritë</w:t>
      </w:r>
      <w:proofErr w:type="spellEnd"/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 e të ardhurave nga shfrytëzimi i infrastrukturës të jetë i garantuar të cilat nuk tejkalojnë një nivel proporcional me nivelin e aktiviteteve të parashikuara nga kërkuesi për kapacitet infrastrukture hekurudhore, në vijim kërkuesi;</w:t>
      </w:r>
    </w:p>
    <w:p w14:paraId="23353F6A" w14:textId="7D4468A3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b) i kushteve kur kërkohet një garanci ose një paradhënie dhe nivelin dhe kohëzgjatjen e një garancie financiare;</w:t>
      </w:r>
    </w:p>
    <w:p w14:paraId="4CCE7E27" w14:textId="7B27472E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c) i disa detajeve në lidhje me kriteret për të vlerësuar aftësinë e një kërkuesi për të përgatitur oferta në përputhje me kapacitetin e infrastrukturës.</w:t>
      </w:r>
    </w:p>
    <w:p w14:paraId="28CA844C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C422130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Neni 2</w:t>
      </w:r>
    </w:p>
    <w:p w14:paraId="10001684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Qëllimi</w:t>
      </w:r>
    </w:p>
    <w:p w14:paraId="6E6C84F7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435EEB7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Qëllimi i kësaj rregulloreje është përmirësimi i performancën së shfrytëzimit të rrjetit hekurudhor nëpërmjet përfshirjes së garancive financiare dhe sanksioneve për veprimet që ndërpresin shfrytëzimin e rrjetit.</w:t>
      </w:r>
    </w:p>
    <w:p w14:paraId="3413CD67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6BBC9F9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Neni 3</w:t>
      </w:r>
    </w:p>
    <w:p w14:paraId="1D404255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Përkufizimet</w:t>
      </w:r>
    </w:p>
    <w:p w14:paraId="453D6782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5FB8BBA5" w14:textId="10A5C89F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1. Për qëllim të kësaj rregulloreje, zbatohet përkufizimi i mëposhtëm:</w:t>
      </w:r>
    </w:p>
    <w:p w14:paraId="4D03857A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“garanci financiare” që nënkupton: </w:t>
      </w:r>
    </w:p>
    <w:p w14:paraId="1B247FAD" w14:textId="2FE130F6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a) pagesa paradhënie për të reduktuar dhe parashikuar detyrimet e ardhshme për të paguar tarifat e infrastrukturës</w:t>
      </w:r>
      <w:r w:rsidR="00F923FF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 ose </w:t>
      </w:r>
    </w:p>
    <w:p w14:paraId="6242C7F8" w14:textId="6D201F30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b) marrëveshjet kontraktuale me të cilat një institucion financiar</w:t>
      </w:r>
      <w:r w:rsidR="00F923FF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banka, angazhohet të sigurojë që pagesat e tilla të kryhen në afat.</w:t>
      </w:r>
    </w:p>
    <w:p w14:paraId="36FE50CF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56ED543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Neni 4</w:t>
      </w:r>
    </w:p>
    <w:p w14:paraId="17F850CC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Kushtet për garanci financiare</w:t>
      </w:r>
    </w:p>
    <w:p w14:paraId="2C405357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AC9F10B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1. Kërkuesi zgjedh të përmbushë një kërkesë për garanci financiare me anë të pagesës paradhënie ose marrëveshjes kontraktuale në kuptimin e nenit 3. Nëse një kërkues ofron një pagesë paradhënie për tarifat e infrastrukturës, administratori i infrastrukturës nuk kërkon në të njëjtën kohë garanci të tjera financiare, për të njëjtat aktivitete të parashikuara.</w:t>
      </w:r>
    </w:p>
    <w:p w14:paraId="703114ED" w14:textId="77DB62D0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2.</w:t>
      </w:r>
      <w:r w:rsidR="00241BA7"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Administratori i infrastrukturës kërkon garanci financiare kur vlerësimi i gjendjes financiare të kërkuesit sugjeron se ai mund të ketë vështirësi në kryerjen e pagesave të rregullta për tarifat e infrastrukturës. Administratori i infrastrukturës përmend vlerësimet e tilla të gjendjes financiare në seksionin mbi parimet e </w:t>
      </w:r>
      <w:proofErr w:type="spellStart"/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tarifimit</w:t>
      </w:r>
      <w:proofErr w:type="spellEnd"/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deklaratës së rrjetit të tij, nëse është e aplikueshme. Administratori i infrastrukturës e bazon kërkesën e tij për një garanci financiare në vlerësimet jo më të vjetra se dy vjet të ofruara nga një agjenci vlerësimi financiar ose një ent tjetër vlerësimi profesional.</w:t>
      </w:r>
    </w:p>
    <w:p w14:paraId="25FCB173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3. Kërkuesit paraqesin vërtetim mbi vlerësimin e gjendjes financiare (bilanci vjetor, fondet që disponon, përfshirë dispozitat bankare, kapacitetin huamarrës, kreditë; </w:t>
      </w:r>
      <w:proofErr w:type="spellStart"/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asetet</w:t>
      </w:r>
      <w:proofErr w:type="spellEnd"/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 duke përfshirë dhe pronat, të cilat personi juridik mund t’i lerë peng si garanci, kapitalin në përdorim, kostot e blerjeve dhe paradhëniet për mjetet, tokën, ndërtesat, instalimet dhe mjetet hekurudhore, detyrimet që rëndojnë mbi </w:t>
      </w:r>
      <w:proofErr w:type="spellStart"/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asetet</w:t>
      </w:r>
      <w:proofErr w:type="spellEnd"/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 e ndërmarrjes.</w:t>
      </w:r>
    </w:p>
    <w:p w14:paraId="6A304B3D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4. Administratori i infrastrukturës nuk kërkon garanci financiare:</w:t>
      </w:r>
    </w:p>
    <w:p w14:paraId="59C3416B" w14:textId="13031FA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a) nga sipërmarrja hekurudhore nëse një garanci financiare tashmë është dhënë ose paguar nga kërkuesi, i cili nuk është një sipërmarrje hekurudhore, për të mbuluar pagesat e ardhshme për të njëjtat aktivitete të parashikuara;</w:t>
      </w:r>
    </w:p>
    <w:p w14:paraId="32B1930B" w14:textId="5C85460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b) nëse tarifa e infrastrukturës duhet t’i paguhet drejtpërdrejt administratorit të infrastrukturës nga një autoritet kompetent në përputhje me udhëzimin nr.</w:t>
      </w:r>
      <w:r w:rsidR="003B498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15, datë 14.12.2023, “Për shërbimet publike të transportit hekurudhor të udhëtarëve”.</w:t>
      </w:r>
    </w:p>
    <w:p w14:paraId="6162D96C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83BE891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Neni 5</w:t>
      </w:r>
    </w:p>
    <w:p w14:paraId="1D55BE79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Niveli dhe kohëzgjatja e garancive financiare</w:t>
      </w:r>
    </w:p>
    <w:p w14:paraId="7D78D97B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03C465C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1. Niveli i garancive financiare për një kërkues nuk e kalon shumën e parashikuar të tarifave që krijohen si rrjedhojë e operimit të trenit të kërkuar gjatë dy muajve.</w:t>
      </w:r>
    </w:p>
    <w:p w14:paraId="436408DE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2. Një administrator infrastrukture kërkon që një garanci financiare që mbulon tarifat e infrastrukturës të hyjë në fuqi ose të paguhet më pak se 10 ditë përpara datës së parë të muajit në të cilin sipërmarrja hekurudhore fillon operimin e trenave.</w:t>
      </w:r>
    </w:p>
    <w:p w14:paraId="6FB5177E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3. Nëse kapaciteti ndahet pas kësaj periudhe kohore, administratori i infrastrukturës kërkon garancinë financiare me një njoftim të shkurtër.</w:t>
      </w:r>
    </w:p>
    <w:p w14:paraId="11533DBA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173D346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Neni 6</w:t>
      </w:r>
    </w:p>
    <w:p w14:paraId="137D01F1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Aftësia për të përgatitur oferta në përputhje për kapacitetin e infrastrukturës</w:t>
      </w:r>
    </w:p>
    <w:p w14:paraId="3DC04867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4A666B2" w14:textId="4410D49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1. Administratori i infrastrukturës nuk refuzon një kërkesë për një linjë specifike treni, për arsye se kërkuesi, nuk ofron siguri për përgatitjen e ofertës në përputhje me kapacitetin e infrastrukturës, sipas kuptimit të nenit 42</w:t>
      </w:r>
      <w:r w:rsidR="003B498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ligjit nr.</w:t>
      </w:r>
      <w:r w:rsidR="003B498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142/2016, datë 22.12.2016, “Kodi Hekurudhor i Republikës së Shqipërisë”, përveç nëse:</w:t>
      </w:r>
    </w:p>
    <w:p w14:paraId="4EBE74E2" w14:textId="45A4BB8B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a) aplikanti nuk i është përgjigjur dy kërkesave të mëparshme për dhënien e informacionit të kërkuar ose është përgjigjur vazhdimisht në një mënyrë që nuk plotëson kushtet e përcaktuara në deklaratën e rrjetit, të përmendur në nenin 28 të ligjit më sipër</w:t>
      </w:r>
      <w:r w:rsidR="003B4986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7B96E11B" w14:textId="374B5AD3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b) administratori i infrastrukturës është në gjendje të demonstrojë, me kërkesën e autoritetit rregullator, se ka marrë të gjitha hapat e arsyeshëm për të mbështetur dorëzimin korrekt dhe në kohë të kërkesave.</w:t>
      </w:r>
    </w:p>
    <w:p w14:paraId="6646D54C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4671B4A1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Neni 7</w:t>
      </w:r>
    </w:p>
    <w:p w14:paraId="132B4D2C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Dispozitat kalimtare</w:t>
      </w:r>
    </w:p>
    <w:p w14:paraId="7F3C4BCD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734E7DD" w14:textId="486B95C0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 xml:space="preserve">1. Kur është e nevojshme, administratorët e infrastrukturës i përafrojnë deklaratat e rrjetit me dispozitat e kësaj rregulloreje. </w:t>
      </w:r>
    </w:p>
    <w:p w14:paraId="53AFF4CE" w14:textId="570726E2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93D2E">
        <w:rPr>
          <w:rFonts w:ascii="Garamond" w:hAnsi="Garamond" w:cs="Garamond"/>
          <w:color w:val="000000"/>
          <w:sz w:val="24"/>
          <w:szCs w:val="24"/>
          <w:lang w:val="sq-AL"/>
        </w:rPr>
        <w:t>2. Kjo rregullore është e detyrueshme në tërësinë e saj dhe drejtpërdrejt e zbatueshme në të gjithë rrjetin hekurudhor.</w:t>
      </w:r>
    </w:p>
    <w:p w14:paraId="204F75C7" w14:textId="77777777" w:rsidR="00DE6D03" w:rsidRPr="00093D2E" w:rsidRDefault="00DE6D03" w:rsidP="00DE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461C8C0" w14:textId="77777777" w:rsidR="00DE6D03" w:rsidRPr="00093D2E" w:rsidRDefault="00DE6D03" w:rsidP="00DE6D03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DE6D03" w:rsidRPr="00093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7C8BE" w14:textId="77777777" w:rsidR="00241BA7" w:rsidRDefault="00241BA7" w:rsidP="007D031A">
      <w:pPr>
        <w:spacing w:after="0" w:line="240" w:lineRule="auto"/>
      </w:pPr>
      <w:r>
        <w:separator/>
      </w:r>
    </w:p>
  </w:endnote>
  <w:endnote w:type="continuationSeparator" w:id="0">
    <w:p w14:paraId="254CD4D3" w14:textId="77777777" w:rsidR="00241BA7" w:rsidRDefault="00241BA7" w:rsidP="007D031A">
      <w:pPr>
        <w:spacing w:after="0" w:line="240" w:lineRule="auto"/>
      </w:pPr>
      <w:r>
        <w:continuationSeparator/>
      </w:r>
    </w:p>
  </w:endnote>
  <w:endnote w:type="continuationNotice" w:id="1">
    <w:p w14:paraId="0B006590" w14:textId="77777777" w:rsidR="00FC264A" w:rsidRDefault="00FC26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6BF04" w14:textId="77777777" w:rsidR="00241BA7" w:rsidRDefault="00241BA7" w:rsidP="007D031A">
      <w:pPr>
        <w:spacing w:after="0" w:line="240" w:lineRule="auto"/>
      </w:pPr>
      <w:r>
        <w:separator/>
      </w:r>
    </w:p>
  </w:footnote>
  <w:footnote w:type="continuationSeparator" w:id="0">
    <w:p w14:paraId="687C494B" w14:textId="77777777" w:rsidR="00241BA7" w:rsidRDefault="00241BA7" w:rsidP="007D031A">
      <w:pPr>
        <w:spacing w:after="0" w:line="240" w:lineRule="auto"/>
      </w:pPr>
      <w:r>
        <w:continuationSeparator/>
      </w:r>
    </w:p>
  </w:footnote>
  <w:footnote w:type="continuationNotice" w:id="1">
    <w:p w14:paraId="155BFD4F" w14:textId="77777777" w:rsidR="00FC264A" w:rsidRDefault="00FC264A">
      <w:pPr>
        <w:spacing w:after="0" w:line="240" w:lineRule="auto"/>
      </w:pPr>
    </w:p>
  </w:footnote>
  <w:footnote w:id="2">
    <w:p w14:paraId="0A7894A3" w14:textId="2C8BC1A7" w:rsidR="00DC1246" w:rsidRPr="008303B4" w:rsidRDefault="00DC1246" w:rsidP="00DC1246">
      <w:pPr>
        <w:pStyle w:val="FootnoteText"/>
        <w:jc w:val="both"/>
        <w:rPr>
          <w:rFonts w:ascii="Garamond" w:hAnsi="Garamond"/>
          <w:lang w:val="en-US"/>
        </w:rPr>
      </w:pPr>
      <w:r w:rsidRPr="008303B4">
        <w:rPr>
          <w:rStyle w:val="FootnoteReference"/>
          <w:rFonts w:ascii="Garamond" w:hAnsi="Garamond"/>
        </w:rPr>
        <w:footnoteRef/>
      </w:r>
      <w:r w:rsidRPr="008303B4">
        <w:rPr>
          <w:rFonts w:ascii="Garamond" w:hAnsi="Garamond"/>
        </w:rPr>
        <w:t xml:space="preserve"> Kjo rregullore përafron plotësisht me </w:t>
      </w:r>
      <w:r w:rsidR="008303B4">
        <w:rPr>
          <w:rFonts w:ascii="Garamond" w:hAnsi="Garamond"/>
        </w:rPr>
        <w:t>r</w:t>
      </w:r>
      <w:r w:rsidRPr="008303B4">
        <w:rPr>
          <w:rFonts w:ascii="Garamond" w:hAnsi="Garamond"/>
        </w:rPr>
        <w:t>regulloren e Komisionit (BE) nr. 2015/10, datë 6 janar 2015, “</w:t>
      </w:r>
      <w:r w:rsidRPr="008303B4">
        <w:rPr>
          <w:rFonts w:ascii="Garamond" w:hAnsi="Garamond"/>
          <w:bCs/>
          <w:iCs/>
        </w:rPr>
        <w:t xml:space="preserve">Mbi kriteret për </w:t>
      </w:r>
      <w:proofErr w:type="spellStart"/>
      <w:r w:rsidRPr="008303B4">
        <w:rPr>
          <w:rFonts w:ascii="Garamond" w:hAnsi="Garamond"/>
          <w:bCs/>
          <w:iCs/>
        </w:rPr>
        <w:t>aplikantët</w:t>
      </w:r>
      <w:proofErr w:type="spellEnd"/>
      <w:r w:rsidRPr="008303B4">
        <w:rPr>
          <w:rFonts w:ascii="Garamond" w:hAnsi="Garamond"/>
          <w:bCs/>
          <w:iCs/>
        </w:rPr>
        <w:t xml:space="preserve"> për kapacitetin e infrastrukturës hekurudhore dhe shfuqizimin e </w:t>
      </w:r>
      <w:r w:rsidR="008303B4" w:rsidRPr="008303B4">
        <w:rPr>
          <w:rFonts w:ascii="Garamond" w:hAnsi="Garamond"/>
          <w:bCs/>
          <w:iCs/>
        </w:rPr>
        <w:t>rregullores zbatuese</w:t>
      </w:r>
      <w:r w:rsidRPr="008303B4">
        <w:rPr>
          <w:rFonts w:ascii="Garamond" w:hAnsi="Garamond"/>
          <w:bCs/>
          <w:iCs/>
        </w:rPr>
        <w:t xml:space="preserve"> (BE) </w:t>
      </w:r>
      <w:r w:rsidR="008303B4" w:rsidRPr="008303B4">
        <w:rPr>
          <w:rFonts w:ascii="Garamond" w:hAnsi="Garamond"/>
          <w:bCs/>
          <w:iCs/>
        </w:rPr>
        <w:t>nr</w:t>
      </w:r>
      <w:r w:rsidRPr="008303B4">
        <w:rPr>
          <w:rFonts w:ascii="Garamond" w:hAnsi="Garamond"/>
          <w:bCs/>
          <w:iCs/>
        </w:rPr>
        <w:t>. 870/2014</w:t>
      </w:r>
      <w:r w:rsidRPr="008303B4">
        <w:rPr>
          <w:rFonts w:ascii="Garamond" w:hAnsi="Garamond"/>
        </w:rPr>
        <w:t>”, Fletorja Zyrtare e Bashkimit Evropian OJ L 3, 7.1.2015, f. 34–36</w:t>
      </w:r>
      <w:r w:rsidR="008303B4">
        <w:rPr>
          <w:rFonts w:ascii="Garamond" w:hAnsi="Garamond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90D53"/>
    <w:multiLevelType w:val="hybridMultilevel"/>
    <w:tmpl w:val="B9E04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93D2E"/>
    <w:rsid w:val="000E4D33"/>
    <w:rsid w:val="000F74B6"/>
    <w:rsid w:val="00187A78"/>
    <w:rsid w:val="0019118E"/>
    <w:rsid w:val="00194B34"/>
    <w:rsid w:val="001C4F0B"/>
    <w:rsid w:val="00241BA7"/>
    <w:rsid w:val="002B0BE7"/>
    <w:rsid w:val="002E7E9C"/>
    <w:rsid w:val="0037184D"/>
    <w:rsid w:val="003B4986"/>
    <w:rsid w:val="003E073E"/>
    <w:rsid w:val="00420FCC"/>
    <w:rsid w:val="004268D6"/>
    <w:rsid w:val="00444A91"/>
    <w:rsid w:val="004758BC"/>
    <w:rsid w:val="00495544"/>
    <w:rsid w:val="004F279F"/>
    <w:rsid w:val="005A461B"/>
    <w:rsid w:val="005B5F43"/>
    <w:rsid w:val="005E4A03"/>
    <w:rsid w:val="0061636A"/>
    <w:rsid w:val="006C77BE"/>
    <w:rsid w:val="007A461B"/>
    <w:rsid w:val="007D031A"/>
    <w:rsid w:val="008303B4"/>
    <w:rsid w:val="008C7EE7"/>
    <w:rsid w:val="0094318E"/>
    <w:rsid w:val="00984200"/>
    <w:rsid w:val="00AD6F91"/>
    <w:rsid w:val="00B96BDF"/>
    <w:rsid w:val="00C13469"/>
    <w:rsid w:val="00D37714"/>
    <w:rsid w:val="00DB429B"/>
    <w:rsid w:val="00DC1246"/>
    <w:rsid w:val="00DD0478"/>
    <w:rsid w:val="00DE6D03"/>
    <w:rsid w:val="00E43129"/>
    <w:rsid w:val="00E64324"/>
    <w:rsid w:val="00E65359"/>
    <w:rsid w:val="00E70386"/>
    <w:rsid w:val="00F23FBB"/>
    <w:rsid w:val="00F923FF"/>
    <w:rsid w:val="00FC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3F66B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7D031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03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031A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7D0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C2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264A"/>
  </w:style>
  <w:style w:type="paragraph" w:styleId="Footer">
    <w:name w:val="footer"/>
    <w:basedOn w:val="Normal"/>
    <w:link w:val="FooterChar"/>
    <w:uiPriority w:val="99"/>
    <w:semiHidden/>
    <w:unhideWhenUsed/>
    <w:rsid w:val="00FC2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2024-12-27T11:23:44Z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2024-12-26T00:00:00Z</Date_x0020_protokolli>
    <Titulli xmlns="0e656187-b300-4fb0-8bf4-3a50f872073c">Për miratimin e rregullores "Për kriteret e kërkuesve për kapacitete të infrastrukturës hekurudhore"</Titulli>
    <Modifikuesi xmlns="0e656187-b300-4fb0-8bf4-3a50f872073c">ermira.bukaci</Modifikuesi>
    <Nr_x002e__x0020_prot_x0020_QBZ xmlns="0e656187-b300-4fb0-8bf4-3a50f872073c">2193/1</Nr_x002e__x0020_prot_x0020_QBZ>
    <Data_x0020_e_x0020_Modifikimit xmlns="0e656187-b300-4fb0-8bf4-3a50f872073c">2024-12-27T18:04:24Z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9380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1C0F8558AA4449831B166E80DE45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B4EA3A-A485-43F5-B892-ED33E366D6AA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300BE67-7E04-47FF-9127-99288AAD7D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7271C-8A77-458A-94A5-CEFB03A43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kriteret e kërkuesve për kapacitete të infrastrukturës hekurudhore"</vt:lpstr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kriteret e kërkuesve për kapacitete të infrastrukturës hekurudhore"</dc:title>
  <dc:creator>Entela Suli</dc:creator>
  <cp:lastModifiedBy>Jorina Kryeziu</cp:lastModifiedBy>
  <cp:revision>16</cp:revision>
  <dcterms:created xsi:type="dcterms:W3CDTF">2024-12-27T10:12:00Z</dcterms:created>
  <dcterms:modified xsi:type="dcterms:W3CDTF">2024-12-27T17:14:00Z</dcterms:modified>
</cp:coreProperties>
</file>