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F571C6" w14:textId="77777777" w:rsidR="009B0FB0" w:rsidRPr="00E15B09" w:rsidRDefault="009B0FB0" w:rsidP="00623CEE">
      <w:pPr>
        <w:spacing w:after="0" w:line="240" w:lineRule="auto"/>
        <w:ind w:firstLine="284"/>
        <w:jc w:val="center"/>
        <w:rPr>
          <w:rFonts w:ascii="Garamond" w:hAnsi="Garamond"/>
          <w:b/>
          <w:sz w:val="24"/>
          <w:szCs w:val="24"/>
        </w:rPr>
      </w:pPr>
    </w:p>
    <w:p w14:paraId="2D1A8A01" w14:textId="77777777" w:rsidR="009B0FB0" w:rsidRPr="00E15B09" w:rsidRDefault="009B0FB0" w:rsidP="00623CEE">
      <w:pPr>
        <w:spacing w:after="0" w:line="240" w:lineRule="auto"/>
        <w:ind w:firstLine="284"/>
        <w:jc w:val="center"/>
        <w:rPr>
          <w:rFonts w:ascii="Garamond" w:hAnsi="Garamond"/>
          <w:b/>
          <w:sz w:val="24"/>
          <w:szCs w:val="24"/>
        </w:rPr>
      </w:pPr>
      <w:r w:rsidRPr="00E15B09">
        <w:rPr>
          <w:rFonts w:ascii="Garamond" w:hAnsi="Garamond"/>
          <w:b/>
          <w:sz w:val="24"/>
          <w:szCs w:val="24"/>
        </w:rPr>
        <w:t>URDHËR</w:t>
      </w:r>
    </w:p>
    <w:p w14:paraId="6E2D105E" w14:textId="0F8C26A2" w:rsidR="009B0FB0" w:rsidRPr="00E15B09" w:rsidRDefault="00E15B09" w:rsidP="00623CEE">
      <w:pPr>
        <w:spacing w:after="0" w:line="240" w:lineRule="auto"/>
        <w:ind w:firstLine="284"/>
        <w:jc w:val="center"/>
        <w:rPr>
          <w:rFonts w:ascii="Garamond" w:hAnsi="Garamond"/>
          <w:b/>
          <w:sz w:val="24"/>
          <w:szCs w:val="24"/>
        </w:rPr>
      </w:pPr>
      <w:r w:rsidRPr="00E15B09">
        <w:rPr>
          <w:rFonts w:ascii="Garamond" w:hAnsi="Garamond"/>
          <w:b/>
          <w:sz w:val="24"/>
          <w:szCs w:val="24"/>
        </w:rPr>
        <w:t>Nr. 146, datë 30.</w:t>
      </w:r>
      <w:r w:rsidR="009B0FB0" w:rsidRPr="00E15B09">
        <w:rPr>
          <w:rFonts w:ascii="Garamond" w:hAnsi="Garamond"/>
          <w:b/>
          <w:sz w:val="24"/>
          <w:szCs w:val="24"/>
        </w:rPr>
        <w:t>6.2026</w:t>
      </w:r>
    </w:p>
    <w:p w14:paraId="51D9D557" w14:textId="77777777" w:rsidR="009B0FB0" w:rsidRPr="00E15B09" w:rsidRDefault="009B0FB0" w:rsidP="00623CEE">
      <w:pPr>
        <w:spacing w:after="0" w:line="240" w:lineRule="auto"/>
        <w:ind w:firstLine="284"/>
        <w:jc w:val="center"/>
        <w:rPr>
          <w:rFonts w:ascii="Garamond" w:hAnsi="Garamond"/>
          <w:b/>
          <w:sz w:val="24"/>
          <w:szCs w:val="24"/>
        </w:rPr>
      </w:pPr>
    </w:p>
    <w:p w14:paraId="4FB0F65B" w14:textId="7DE3F75A" w:rsidR="009B0FB0" w:rsidRPr="00E15B09" w:rsidRDefault="00E15B09" w:rsidP="00623CEE">
      <w:pPr>
        <w:spacing w:after="0" w:line="240" w:lineRule="auto"/>
        <w:ind w:firstLine="284"/>
        <w:jc w:val="center"/>
        <w:rPr>
          <w:rFonts w:ascii="Garamond" w:hAnsi="Garamond"/>
          <w:b/>
          <w:sz w:val="24"/>
          <w:szCs w:val="24"/>
        </w:rPr>
      </w:pPr>
      <w:r>
        <w:rPr>
          <w:rFonts w:ascii="Garamond" w:hAnsi="Garamond"/>
          <w:b/>
          <w:sz w:val="24"/>
          <w:szCs w:val="24"/>
        </w:rPr>
        <w:t>PËR</w:t>
      </w:r>
      <w:r w:rsidR="009B0FB0" w:rsidRPr="00E15B09">
        <w:rPr>
          <w:rFonts w:ascii="Garamond" w:hAnsi="Garamond"/>
          <w:b/>
          <w:sz w:val="24"/>
          <w:szCs w:val="24"/>
        </w:rPr>
        <w:t xml:space="preserve"> MIRATIMIN E RREGULLORES PËR LLOGARITJEN, PUBLIKIMIN DHE FORMATIN E PËRZIERJES SË MBETUR DHE TË STRUKTURËS SË BURIMEVE TË ENERGJISË ELEKTRIKE TË FURNIZUAR KLIENTËVE FUNDORË</w:t>
      </w:r>
    </w:p>
    <w:p w14:paraId="2F4FFBC1" w14:textId="77777777" w:rsidR="009B0FB0" w:rsidRPr="00E15B09" w:rsidRDefault="009B0FB0" w:rsidP="00623CEE">
      <w:pPr>
        <w:spacing w:after="0" w:line="240" w:lineRule="auto"/>
        <w:ind w:firstLine="284"/>
        <w:jc w:val="center"/>
        <w:rPr>
          <w:rFonts w:ascii="Garamond" w:hAnsi="Garamond"/>
          <w:b/>
          <w:sz w:val="24"/>
          <w:szCs w:val="24"/>
        </w:rPr>
      </w:pPr>
    </w:p>
    <w:p w14:paraId="52E7ED54" w14:textId="7C0DB2B2" w:rsidR="009B0FB0" w:rsidRPr="00E15B09" w:rsidRDefault="009B0FB0" w:rsidP="00623CEE">
      <w:pPr>
        <w:spacing w:after="0" w:line="240" w:lineRule="auto"/>
        <w:ind w:firstLine="284"/>
        <w:jc w:val="both"/>
        <w:rPr>
          <w:rFonts w:ascii="Garamond" w:hAnsi="Garamond"/>
          <w:sz w:val="24"/>
          <w:szCs w:val="24"/>
        </w:rPr>
      </w:pPr>
      <w:r w:rsidRPr="00E15B09">
        <w:rPr>
          <w:rFonts w:ascii="Garamond" w:hAnsi="Garamond"/>
          <w:sz w:val="24"/>
          <w:szCs w:val="24"/>
        </w:rPr>
        <w:t>Në mbështetje të pikës 4, të nenit 102, të Kushtetutës</w:t>
      </w:r>
      <w:r w:rsidR="00E15B09">
        <w:rPr>
          <w:rFonts w:ascii="Garamond" w:hAnsi="Garamond"/>
          <w:sz w:val="24"/>
          <w:szCs w:val="24"/>
        </w:rPr>
        <w:t>;</w:t>
      </w:r>
      <w:r w:rsidRPr="00E15B09">
        <w:rPr>
          <w:rFonts w:ascii="Garamond" w:hAnsi="Garamond"/>
          <w:sz w:val="24"/>
          <w:szCs w:val="24"/>
        </w:rPr>
        <w:t xml:space="preserve"> të nenit 22, pika 2</w:t>
      </w:r>
      <w:r w:rsidR="00E15B09">
        <w:rPr>
          <w:rFonts w:ascii="Garamond" w:hAnsi="Garamond"/>
          <w:sz w:val="24"/>
          <w:szCs w:val="24"/>
        </w:rPr>
        <w:t>,</w:t>
      </w:r>
      <w:r w:rsidRPr="00E15B09">
        <w:rPr>
          <w:rFonts w:ascii="Garamond" w:hAnsi="Garamond"/>
          <w:sz w:val="24"/>
          <w:szCs w:val="24"/>
        </w:rPr>
        <w:t xml:space="preserve"> të ligjit nr. 24/2023</w:t>
      </w:r>
      <w:r w:rsidR="00E15B09">
        <w:rPr>
          <w:rFonts w:ascii="Garamond" w:hAnsi="Garamond"/>
          <w:sz w:val="24"/>
          <w:szCs w:val="24"/>
        </w:rPr>
        <w:t>,</w:t>
      </w:r>
      <w:r w:rsidRPr="00E15B09">
        <w:rPr>
          <w:rFonts w:ascii="Garamond" w:hAnsi="Garamond"/>
          <w:sz w:val="24"/>
          <w:szCs w:val="24"/>
        </w:rPr>
        <w:t xml:space="preserve"> “Për nxitjen e përdorimit të energjisë nga burimet e </w:t>
      </w:r>
      <w:proofErr w:type="spellStart"/>
      <w:r w:rsidRPr="00E15B09">
        <w:rPr>
          <w:rFonts w:ascii="Garamond" w:hAnsi="Garamond"/>
          <w:sz w:val="24"/>
          <w:szCs w:val="24"/>
        </w:rPr>
        <w:t>rinovueshme</w:t>
      </w:r>
      <w:proofErr w:type="spellEnd"/>
      <w:r w:rsidRPr="00E15B09">
        <w:rPr>
          <w:rFonts w:ascii="Garamond" w:hAnsi="Garamond"/>
          <w:sz w:val="24"/>
          <w:szCs w:val="24"/>
        </w:rPr>
        <w:t>”,</w:t>
      </w:r>
    </w:p>
    <w:p w14:paraId="61BEFA90" w14:textId="77777777" w:rsidR="009B0FB0" w:rsidRPr="00E15B09" w:rsidRDefault="009B0FB0" w:rsidP="00623CEE">
      <w:pPr>
        <w:spacing w:after="0" w:line="240" w:lineRule="auto"/>
        <w:ind w:firstLine="284"/>
        <w:jc w:val="both"/>
        <w:rPr>
          <w:rFonts w:ascii="Garamond" w:hAnsi="Garamond"/>
          <w:sz w:val="24"/>
          <w:szCs w:val="24"/>
        </w:rPr>
      </w:pPr>
    </w:p>
    <w:p w14:paraId="769F43F8" w14:textId="2EA99F61" w:rsidR="009B0FB0" w:rsidRPr="00E15B09" w:rsidRDefault="009B0FB0" w:rsidP="00623CEE">
      <w:pPr>
        <w:spacing w:after="0" w:line="240" w:lineRule="auto"/>
        <w:ind w:firstLine="284"/>
        <w:jc w:val="center"/>
        <w:rPr>
          <w:rFonts w:ascii="Garamond" w:hAnsi="Garamond"/>
          <w:sz w:val="24"/>
          <w:szCs w:val="24"/>
        </w:rPr>
      </w:pPr>
      <w:r w:rsidRPr="00E15B09">
        <w:rPr>
          <w:rFonts w:ascii="Garamond" w:hAnsi="Garamond"/>
          <w:sz w:val="24"/>
          <w:szCs w:val="24"/>
        </w:rPr>
        <w:t>URDHËROJ:</w:t>
      </w:r>
    </w:p>
    <w:p w14:paraId="56FF833E" w14:textId="77777777" w:rsidR="009B0FB0" w:rsidRPr="00E15B09" w:rsidRDefault="009B0FB0" w:rsidP="00623CEE">
      <w:pPr>
        <w:spacing w:after="0" w:line="240" w:lineRule="auto"/>
        <w:ind w:firstLine="284"/>
        <w:jc w:val="both"/>
        <w:rPr>
          <w:rFonts w:ascii="Garamond" w:hAnsi="Garamond"/>
          <w:sz w:val="24"/>
          <w:szCs w:val="24"/>
        </w:rPr>
      </w:pPr>
    </w:p>
    <w:p w14:paraId="235ACEFF" w14:textId="2ACF110E" w:rsidR="009B0FB0" w:rsidRPr="00E15B09" w:rsidRDefault="009B0FB0" w:rsidP="00623CEE">
      <w:pPr>
        <w:spacing w:after="0" w:line="240" w:lineRule="auto"/>
        <w:ind w:firstLine="284"/>
        <w:jc w:val="both"/>
        <w:rPr>
          <w:rFonts w:ascii="Garamond" w:hAnsi="Garamond"/>
          <w:sz w:val="24"/>
          <w:szCs w:val="24"/>
        </w:rPr>
      </w:pPr>
      <w:r w:rsidRPr="00E15B09">
        <w:rPr>
          <w:rFonts w:ascii="Garamond" w:hAnsi="Garamond"/>
          <w:sz w:val="24"/>
          <w:szCs w:val="24"/>
        </w:rPr>
        <w:t>1. Miratimin e rregullores “Për llogaritjen, publikimin dhe formatin e përzierjes së mbetur dhe të strukturës së burimeve të</w:t>
      </w:r>
      <w:r w:rsidR="00E15B09">
        <w:rPr>
          <w:rFonts w:ascii="Garamond" w:hAnsi="Garamond"/>
          <w:sz w:val="24"/>
          <w:szCs w:val="24"/>
        </w:rPr>
        <w:t xml:space="preserve"> energjisë elektrike të furni</w:t>
      </w:r>
      <w:r w:rsidRPr="00E15B09">
        <w:rPr>
          <w:rFonts w:ascii="Garamond" w:hAnsi="Garamond"/>
          <w:sz w:val="24"/>
          <w:szCs w:val="24"/>
        </w:rPr>
        <w:t>zuar klientëve fundorë”, sipas tekstit që i bashkëlidhet këtij urdhri dhe është pjesë përbërëse e tij.</w:t>
      </w:r>
    </w:p>
    <w:p w14:paraId="6DC3CE92" w14:textId="7CCEDD2F" w:rsidR="009B0FB0" w:rsidRPr="00E15B09" w:rsidRDefault="009B0FB0" w:rsidP="00623CEE">
      <w:pPr>
        <w:spacing w:after="0" w:line="240" w:lineRule="auto"/>
        <w:ind w:firstLine="284"/>
        <w:jc w:val="both"/>
        <w:rPr>
          <w:rFonts w:ascii="Garamond" w:hAnsi="Garamond"/>
          <w:sz w:val="24"/>
          <w:szCs w:val="24"/>
        </w:rPr>
      </w:pPr>
      <w:r w:rsidRPr="00E15B09">
        <w:rPr>
          <w:rFonts w:ascii="Garamond" w:hAnsi="Garamond"/>
          <w:sz w:val="24"/>
          <w:szCs w:val="24"/>
        </w:rPr>
        <w:t>2. Ngarkohet Enti Rregullator i Energjisë, Operatori i Sistemit të Transmetimit dhe Operatori i Sistemit të Shpërndarjes për zbatimin e këtij urdhri.</w:t>
      </w:r>
    </w:p>
    <w:p w14:paraId="1314A19F" w14:textId="45DE54F1" w:rsidR="009B0FB0" w:rsidRPr="00E15B09" w:rsidRDefault="009B0FB0" w:rsidP="00623CEE">
      <w:pPr>
        <w:spacing w:after="0" w:line="240" w:lineRule="auto"/>
        <w:ind w:firstLine="284"/>
        <w:jc w:val="both"/>
        <w:rPr>
          <w:rFonts w:ascii="Garamond" w:hAnsi="Garamond"/>
          <w:sz w:val="24"/>
          <w:szCs w:val="24"/>
        </w:rPr>
      </w:pPr>
      <w:r w:rsidRPr="00E15B09">
        <w:rPr>
          <w:rFonts w:ascii="Garamond" w:hAnsi="Garamond"/>
          <w:sz w:val="24"/>
          <w:szCs w:val="24"/>
        </w:rPr>
        <w:t>Ky urdhër hyn në</w:t>
      </w:r>
      <w:r w:rsidR="00E15B09">
        <w:rPr>
          <w:rFonts w:ascii="Garamond" w:hAnsi="Garamond"/>
          <w:sz w:val="24"/>
          <w:szCs w:val="24"/>
        </w:rPr>
        <w:t xml:space="preserve"> fuqi menjëherë dhe botohet në Fletoren Zyrtare</w:t>
      </w:r>
      <w:r w:rsidRPr="00E15B09">
        <w:rPr>
          <w:rFonts w:ascii="Garamond" w:hAnsi="Garamond"/>
          <w:sz w:val="24"/>
          <w:szCs w:val="24"/>
        </w:rPr>
        <w:t>.</w:t>
      </w:r>
    </w:p>
    <w:p w14:paraId="1988FB2C" w14:textId="77777777" w:rsidR="009B0FB0" w:rsidRPr="00E15B09" w:rsidRDefault="009B0FB0" w:rsidP="00623CEE">
      <w:pPr>
        <w:spacing w:after="0" w:line="240" w:lineRule="auto"/>
        <w:ind w:firstLine="284"/>
        <w:jc w:val="both"/>
        <w:rPr>
          <w:rFonts w:ascii="Garamond" w:hAnsi="Garamond"/>
          <w:sz w:val="24"/>
          <w:szCs w:val="24"/>
        </w:rPr>
      </w:pPr>
    </w:p>
    <w:p w14:paraId="3718997B" w14:textId="77777777" w:rsidR="009B0FB0" w:rsidRPr="00E15B09" w:rsidRDefault="009B0FB0" w:rsidP="00623CEE">
      <w:pPr>
        <w:spacing w:after="0" w:line="240" w:lineRule="auto"/>
        <w:ind w:firstLine="284"/>
        <w:jc w:val="right"/>
        <w:rPr>
          <w:rFonts w:ascii="Garamond" w:hAnsi="Garamond"/>
          <w:sz w:val="24"/>
          <w:szCs w:val="24"/>
        </w:rPr>
      </w:pPr>
      <w:r w:rsidRPr="00E15B09">
        <w:rPr>
          <w:rFonts w:ascii="Garamond" w:hAnsi="Garamond"/>
          <w:sz w:val="24"/>
          <w:szCs w:val="24"/>
        </w:rPr>
        <w:t>MINISTËR I INFRASTRUKTURËS DHE ENERGJISË</w:t>
      </w:r>
    </w:p>
    <w:p w14:paraId="2C5F1042" w14:textId="77777777" w:rsidR="009B0FB0" w:rsidRPr="00E15B09" w:rsidRDefault="009B0FB0" w:rsidP="00623CEE">
      <w:pPr>
        <w:spacing w:after="0" w:line="240" w:lineRule="auto"/>
        <w:ind w:firstLine="284"/>
        <w:jc w:val="right"/>
        <w:rPr>
          <w:rFonts w:ascii="Garamond" w:hAnsi="Garamond"/>
          <w:b/>
          <w:sz w:val="24"/>
          <w:szCs w:val="24"/>
        </w:rPr>
      </w:pPr>
      <w:proofErr w:type="spellStart"/>
      <w:r w:rsidRPr="00E15B09">
        <w:rPr>
          <w:rFonts w:ascii="Garamond" w:hAnsi="Garamond"/>
          <w:b/>
          <w:sz w:val="24"/>
          <w:szCs w:val="24"/>
        </w:rPr>
        <w:t>Enea</w:t>
      </w:r>
      <w:proofErr w:type="spellEnd"/>
      <w:r w:rsidRPr="00E15B09">
        <w:rPr>
          <w:rFonts w:ascii="Garamond" w:hAnsi="Garamond"/>
          <w:b/>
          <w:sz w:val="24"/>
          <w:szCs w:val="24"/>
        </w:rPr>
        <w:t xml:space="preserve"> </w:t>
      </w:r>
      <w:proofErr w:type="spellStart"/>
      <w:r w:rsidRPr="00E15B09">
        <w:rPr>
          <w:rFonts w:ascii="Garamond" w:hAnsi="Garamond"/>
          <w:b/>
          <w:sz w:val="24"/>
          <w:szCs w:val="24"/>
        </w:rPr>
        <w:t>Karakaçi</w:t>
      </w:r>
      <w:proofErr w:type="spellEnd"/>
    </w:p>
    <w:p w14:paraId="55FF83D9" w14:textId="77777777" w:rsidR="009B0FB0" w:rsidRPr="00E15B09" w:rsidRDefault="009B0FB0" w:rsidP="00623CEE">
      <w:pPr>
        <w:spacing w:after="0" w:line="240" w:lineRule="auto"/>
        <w:ind w:firstLine="284"/>
        <w:jc w:val="both"/>
        <w:rPr>
          <w:rFonts w:ascii="Garamond" w:hAnsi="Garamond"/>
          <w:sz w:val="24"/>
          <w:szCs w:val="24"/>
        </w:rPr>
      </w:pPr>
    </w:p>
    <w:p w14:paraId="46720DCC" w14:textId="77777777" w:rsidR="009B0FB0" w:rsidRPr="00E15B09" w:rsidRDefault="009B0FB0" w:rsidP="00623CEE">
      <w:pPr>
        <w:spacing w:after="0" w:line="240" w:lineRule="auto"/>
        <w:ind w:firstLine="284"/>
        <w:jc w:val="both"/>
        <w:rPr>
          <w:rFonts w:ascii="Garamond" w:hAnsi="Garamond"/>
          <w:sz w:val="24"/>
          <w:szCs w:val="24"/>
        </w:rPr>
      </w:pPr>
    </w:p>
    <w:p w14:paraId="2A8CA670" w14:textId="77777777" w:rsidR="00623CEE" w:rsidRPr="00E15B09" w:rsidRDefault="00623CEE" w:rsidP="00623CEE">
      <w:pPr>
        <w:autoSpaceDE w:val="0"/>
        <w:autoSpaceDN w:val="0"/>
        <w:adjustRightInd w:val="0"/>
        <w:spacing w:after="0" w:line="240" w:lineRule="auto"/>
        <w:ind w:firstLine="284"/>
        <w:jc w:val="center"/>
        <w:rPr>
          <w:rFonts w:ascii="Garamond" w:hAnsi="Garamond" w:cs="Times New Roman"/>
          <w:b/>
          <w:bCs/>
          <w:color w:val="000000"/>
          <w:sz w:val="24"/>
          <w:szCs w:val="24"/>
        </w:rPr>
      </w:pPr>
      <w:r w:rsidRPr="00E15B09">
        <w:rPr>
          <w:rFonts w:ascii="Garamond" w:hAnsi="Garamond" w:cs="Times New Roman"/>
          <w:b/>
          <w:bCs/>
          <w:color w:val="000000"/>
          <w:sz w:val="24"/>
          <w:szCs w:val="24"/>
        </w:rPr>
        <w:t xml:space="preserve">RREGULLORE </w:t>
      </w:r>
    </w:p>
    <w:p w14:paraId="70D9D493" w14:textId="77777777" w:rsidR="00623CEE" w:rsidRPr="00E15B09" w:rsidRDefault="00623CEE" w:rsidP="00623CEE">
      <w:pPr>
        <w:autoSpaceDE w:val="0"/>
        <w:autoSpaceDN w:val="0"/>
        <w:adjustRightInd w:val="0"/>
        <w:spacing w:after="0" w:line="240" w:lineRule="auto"/>
        <w:ind w:firstLine="284"/>
        <w:jc w:val="center"/>
        <w:rPr>
          <w:rFonts w:ascii="Garamond" w:hAnsi="Garamond" w:cs="Times New Roman"/>
          <w:bCs/>
          <w:color w:val="000000"/>
          <w:sz w:val="24"/>
          <w:szCs w:val="24"/>
        </w:rPr>
      </w:pPr>
      <w:r w:rsidRPr="00E15B09">
        <w:rPr>
          <w:rFonts w:ascii="Garamond" w:hAnsi="Garamond" w:cs="Times New Roman"/>
          <w:bCs/>
          <w:color w:val="000000"/>
          <w:sz w:val="24"/>
          <w:szCs w:val="24"/>
        </w:rPr>
        <w:t>PËR LLOGARITJEN, PUBLIKIMIN DHE FORMATIN E PËRZIERJES SË MBETUR DHE TË STRUKTURËS SË BURIMEVE TË ENERGJISË ELEKTRIKE TË FURNIZUAR KLIENTËVE FUNDORË</w:t>
      </w:r>
    </w:p>
    <w:p w14:paraId="6CB24A00" w14:textId="77777777" w:rsidR="00623CEE" w:rsidRPr="00E15B09" w:rsidRDefault="00623CEE" w:rsidP="00623CEE">
      <w:pPr>
        <w:autoSpaceDE w:val="0"/>
        <w:autoSpaceDN w:val="0"/>
        <w:adjustRightInd w:val="0"/>
        <w:spacing w:after="0" w:line="240" w:lineRule="auto"/>
        <w:ind w:firstLine="284"/>
        <w:jc w:val="center"/>
        <w:rPr>
          <w:rFonts w:ascii="Garamond" w:hAnsi="Garamond" w:cs="Times New Roman"/>
          <w:b/>
          <w:bCs/>
          <w:color w:val="000000"/>
          <w:sz w:val="24"/>
          <w:szCs w:val="24"/>
        </w:rPr>
      </w:pPr>
    </w:p>
    <w:p w14:paraId="6FBD0CF3" w14:textId="0EDA6DC8" w:rsidR="00623CEE" w:rsidRPr="00E15B09" w:rsidRDefault="00623CEE" w:rsidP="00623CEE">
      <w:pPr>
        <w:autoSpaceDE w:val="0"/>
        <w:autoSpaceDN w:val="0"/>
        <w:adjustRightInd w:val="0"/>
        <w:spacing w:after="0" w:line="240" w:lineRule="auto"/>
        <w:ind w:firstLine="284"/>
        <w:jc w:val="center"/>
        <w:rPr>
          <w:rFonts w:ascii="Garamond" w:hAnsi="Garamond" w:cs="Times New Roman"/>
          <w:bCs/>
          <w:color w:val="000000"/>
          <w:sz w:val="24"/>
          <w:szCs w:val="24"/>
        </w:rPr>
      </w:pPr>
      <w:r w:rsidRPr="00E15B09">
        <w:rPr>
          <w:rFonts w:ascii="Garamond" w:hAnsi="Garamond" w:cs="Times New Roman"/>
          <w:bCs/>
          <w:color w:val="000000"/>
          <w:sz w:val="24"/>
          <w:szCs w:val="24"/>
        </w:rPr>
        <w:t>Neni 1</w:t>
      </w:r>
    </w:p>
    <w:p w14:paraId="42A6C8BA" w14:textId="77777777" w:rsidR="00623CEE" w:rsidRPr="00E15B09" w:rsidRDefault="00623CEE" w:rsidP="00623CEE">
      <w:pPr>
        <w:autoSpaceDE w:val="0"/>
        <w:autoSpaceDN w:val="0"/>
        <w:adjustRightInd w:val="0"/>
        <w:spacing w:after="0" w:line="240" w:lineRule="auto"/>
        <w:ind w:firstLine="284"/>
        <w:jc w:val="center"/>
        <w:rPr>
          <w:rFonts w:ascii="Garamond" w:hAnsi="Garamond" w:cs="Times New Roman"/>
          <w:b/>
          <w:bCs/>
          <w:color w:val="000000"/>
          <w:sz w:val="24"/>
          <w:szCs w:val="24"/>
        </w:rPr>
      </w:pPr>
      <w:r w:rsidRPr="00E15B09">
        <w:rPr>
          <w:rFonts w:ascii="Garamond" w:hAnsi="Garamond" w:cs="Times New Roman"/>
          <w:b/>
          <w:bCs/>
          <w:color w:val="000000"/>
          <w:sz w:val="24"/>
          <w:szCs w:val="24"/>
        </w:rPr>
        <w:t>Objekti</w:t>
      </w:r>
    </w:p>
    <w:p w14:paraId="136F6A8E" w14:textId="77777777" w:rsidR="00623CEE" w:rsidRPr="00E15B09" w:rsidRDefault="00623CEE" w:rsidP="00623CEE">
      <w:pPr>
        <w:autoSpaceDE w:val="0"/>
        <w:autoSpaceDN w:val="0"/>
        <w:adjustRightInd w:val="0"/>
        <w:spacing w:after="0" w:line="240" w:lineRule="auto"/>
        <w:ind w:firstLine="284"/>
        <w:jc w:val="center"/>
        <w:rPr>
          <w:rFonts w:ascii="Garamond" w:hAnsi="Garamond" w:cs="Times New Roman"/>
          <w:b/>
          <w:bCs/>
          <w:color w:val="000000"/>
          <w:sz w:val="24"/>
          <w:szCs w:val="24"/>
        </w:rPr>
      </w:pPr>
    </w:p>
    <w:p w14:paraId="34577B0A" w14:textId="4D85220E" w:rsidR="00623CEE" w:rsidRPr="00E15B09" w:rsidRDefault="00623CEE" w:rsidP="00623CEE">
      <w:pPr>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1. Kjo rregullore përcakton rregullat për llogaritjen, raportimin dhe publikimin e përzierjes së mbetur përfundimtare dhe të strukturës së burimeve të energjisë elektrike të furnizuar klientëve fundorë.</w:t>
      </w:r>
    </w:p>
    <w:p w14:paraId="1B1803FB" w14:textId="4EBCB58D" w:rsidR="00623CEE" w:rsidRPr="00E15B09" w:rsidRDefault="00623CEE" w:rsidP="00623CEE">
      <w:pPr>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2. Në këtë rregullore përcaktohen</w:t>
      </w:r>
      <w:r w:rsidR="00E15B09">
        <w:rPr>
          <w:rFonts w:ascii="Garamond" w:hAnsi="Garamond" w:cs="Times New Roman"/>
          <w:color w:val="000000"/>
          <w:sz w:val="24"/>
          <w:szCs w:val="24"/>
        </w:rPr>
        <w:t>,</w:t>
      </w:r>
      <w:r w:rsidRPr="00E15B09">
        <w:rPr>
          <w:rFonts w:ascii="Garamond" w:hAnsi="Garamond" w:cs="Times New Roman"/>
          <w:color w:val="000000"/>
          <w:sz w:val="24"/>
          <w:szCs w:val="24"/>
        </w:rPr>
        <w:t xml:space="preserve"> gjithashtu:</w:t>
      </w:r>
    </w:p>
    <w:p w14:paraId="035D6364" w14:textId="77777777" w:rsidR="00623CEE" w:rsidRPr="00E15B09" w:rsidRDefault="00623CEE" w:rsidP="00623CE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 xml:space="preserve">a) detyrimet e pjesëmarrësve në procesin e raportimit të </w:t>
      </w:r>
      <w:proofErr w:type="spellStart"/>
      <w:r w:rsidRPr="00E15B09">
        <w:rPr>
          <w:rFonts w:ascii="Garamond" w:hAnsi="Garamond" w:cs="Times New Roman"/>
          <w:color w:val="000000"/>
          <w:sz w:val="24"/>
          <w:szCs w:val="24"/>
        </w:rPr>
        <w:t>të</w:t>
      </w:r>
      <w:proofErr w:type="spellEnd"/>
      <w:r w:rsidRPr="00E15B09">
        <w:rPr>
          <w:rFonts w:ascii="Garamond" w:hAnsi="Garamond" w:cs="Times New Roman"/>
          <w:color w:val="000000"/>
          <w:sz w:val="24"/>
          <w:szCs w:val="24"/>
        </w:rPr>
        <w:t xml:space="preserve"> dhënave të nevojshme për llogaritjen e përzierjes së mbetur përfundimtare;</w:t>
      </w:r>
    </w:p>
    <w:p w14:paraId="30BAB770" w14:textId="77777777" w:rsidR="00623CEE" w:rsidRPr="00E15B09" w:rsidRDefault="00623CEE" w:rsidP="00623CEE">
      <w:pPr>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b) detyrimet e furnizuesve për llogaritjen dhe publikimin e strukturës së burimeve të energjisë elektrike të furnizuar klientëve fundorë;</w:t>
      </w:r>
    </w:p>
    <w:p w14:paraId="061C21CD" w14:textId="77777777" w:rsidR="00623CEE" w:rsidRPr="00E15B09" w:rsidRDefault="00623CEE" w:rsidP="00623CEE">
      <w:pPr>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c) detyrimet e Entit Rregullator të Energjisë për llogaritjen, miratimin dhe publikimin e përzierjes së mbetur përfundimtare;</w:t>
      </w:r>
    </w:p>
    <w:p w14:paraId="00496E59" w14:textId="77777777" w:rsidR="00623CEE" w:rsidRPr="00E15B09" w:rsidRDefault="00623CEE" w:rsidP="00623CEE">
      <w:pPr>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ç) formatin dhe afatet e raportimit dhe publikimit të informacionit.</w:t>
      </w:r>
    </w:p>
    <w:p w14:paraId="1C1AFAA4" w14:textId="6996EDA9" w:rsidR="00623CEE" w:rsidRPr="00E15B09" w:rsidRDefault="00623CEE" w:rsidP="00623CEE">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 xml:space="preserve">3. Llogaritja e përzierjes së mbetur përfundimtare dhe e strukturës së burimeve të energjisë elektrike të furnizuar klientëve fundorë kryhet në përputhje me metodologjinë që i bashkëlidhet kësaj rregulloreje si </w:t>
      </w:r>
      <w:r w:rsidR="00E15B09">
        <w:rPr>
          <w:rFonts w:ascii="Garamond" w:hAnsi="Garamond" w:cs="Times New Roman"/>
          <w:color w:val="000000"/>
          <w:sz w:val="24"/>
          <w:szCs w:val="24"/>
        </w:rPr>
        <w:t>s</w:t>
      </w:r>
      <w:r w:rsidRPr="00E15B09">
        <w:rPr>
          <w:rFonts w:ascii="Garamond" w:hAnsi="Garamond" w:cs="Times New Roman"/>
          <w:color w:val="000000"/>
          <w:sz w:val="24"/>
          <w:szCs w:val="24"/>
        </w:rPr>
        <w:t>htojca 1 dhe është pjesë përbërëse e saj.</w:t>
      </w:r>
    </w:p>
    <w:p w14:paraId="520E22CC" w14:textId="77777777" w:rsidR="00623CEE" w:rsidRPr="00E15B09" w:rsidRDefault="00623CEE" w:rsidP="00623CEE">
      <w:pPr>
        <w:autoSpaceDE w:val="0"/>
        <w:autoSpaceDN w:val="0"/>
        <w:adjustRightInd w:val="0"/>
        <w:spacing w:after="0" w:line="240" w:lineRule="auto"/>
        <w:ind w:firstLine="284"/>
        <w:jc w:val="both"/>
        <w:rPr>
          <w:rFonts w:ascii="Garamond" w:hAnsi="Garamond" w:cs="Times New Roman"/>
          <w:color w:val="000000"/>
          <w:sz w:val="24"/>
          <w:szCs w:val="24"/>
        </w:rPr>
      </w:pPr>
    </w:p>
    <w:p w14:paraId="4D7F5669" w14:textId="77777777" w:rsidR="00E15B09" w:rsidRDefault="00E15B09" w:rsidP="00623CEE">
      <w:pPr>
        <w:autoSpaceDE w:val="0"/>
        <w:autoSpaceDN w:val="0"/>
        <w:adjustRightInd w:val="0"/>
        <w:spacing w:after="0" w:line="240" w:lineRule="auto"/>
        <w:ind w:firstLine="284"/>
        <w:jc w:val="center"/>
        <w:rPr>
          <w:rFonts w:ascii="Garamond" w:hAnsi="Garamond" w:cs="Times New Roman"/>
          <w:bCs/>
          <w:color w:val="000000"/>
          <w:sz w:val="24"/>
          <w:szCs w:val="24"/>
        </w:rPr>
      </w:pPr>
    </w:p>
    <w:p w14:paraId="3B501802" w14:textId="77777777" w:rsidR="00E15B09" w:rsidRDefault="00E15B09" w:rsidP="00623CEE">
      <w:pPr>
        <w:autoSpaceDE w:val="0"/>
        <w:autoSpaceDN w:val="0"/>
        <w:adjustRightInd w:val="0"/>
        <w:spacing w:after="0" w:line="240" w:lineRule="auto"/>
        <w:ind w:firstLine="284"/>
        <w:jc w:val="center"/>
        <w:rPr>
          <w:rFonts w:ascii="Garamond" w:hAnsi="Garamond" w:cs="Times New Roman"/>
          <w:bCs/>
          <w:color w:val="000000"/>
          <w:sz w:val="24"/>
          <w:szCs w:val="24"/>
        </w:rPr>
      </w:pPr>
    </w:p>
    <w:p w14:paraId="7DA3F84B" w14:textId="77777777" w:rsidR="00E15B09" w:rsidRDefault="00E15B09" w:rsidP="00623CEE">
      <w:pPr>
        <w:autoSpaceDE w:val="0"/>
        <w:autoSpaceDN w:val="0"/>
        <w:adjustRightInd w:val="0"/>
        <w:spacing w:after="0" w:line="240" w:lineRule="auto"/>
        <w:ind w:firstLine="284"/>
        <w:jc w:val="center"/>
        <w:rPr>
          <w:rFonts w:ascii="Garamond" w:hAnsi="Garamond" w:cs="Times New Roman"/>
          <w:bCs/>
          <w:color w:val="000000"/>
          <w:sz w:val="24"/>
          <w:szCs w:val="24"/>
        </w:rPr>
      </w:pPr>
    </w:p>
    <w:p w14:paraId="4768732E" w14:textId="77777777" w:rsidR="00E15B09" w:rsidRDefault="00E15B09" w:rsidP="00623CEE">
      <w:pPr>
        <w:autoSpaceDE w:val="0"/>
        <w:autoSpaceDN w:val="0"/>
        <w:adjustRightInd w:val="0"/>
        <w:spacing w:after="0" w:line="240" w:lineRule="auto"/>
        <w:ind w:firstLine="284"/>
        <w:jc w:val="center"/>
        <w:rPr>
          <w:rFonts w:ascii="Garamond" w:hAnsi="Garamond" w:cs="Times New Roman"/>
          <w:bCs/>
          <w:color w:val="000000"/>
          <w:sz w:val="24"/>
          <w:szCs w:val="24"/>
        </w:rPr>
      </w:pPr>
    </w:p>
    <w:p w14:paraId="0359BD56" w14:textId="167952C1" w:rsidR="00623CEE" w:rsidRPr="00E15B09" w:rsidRDefault="00623CEE" w:rsidP="00623CEE">
      <w:pPr>
        <w:autoSpaceDE w:val="0"/>
        <w:autoSpaceDN w:val="0"/>
        <w:adjustRightInd w:val="0"/>
        <w:spacing w:after="0" w:line="240" w:lineRule="auto"/>
        <w:ind w:firstLine="284"/>
        <w:jc w:val="center"/>
        <w:rPr>
          <w:rFonts w:ascii="Garamond" w:hAnsi="Garamond" w:cs="Times New Roman"/>
          <w:bCs/>
          <w:color w:val="000000"/>
          <w:sz w:val="24"/>
          <w:szCs w:val="24"/>
        </w:rPr>
      </w:pPr>
      <w:r w:rsidRPr="00E15B09">
        <w:rPr>
          <w:rFonts w:ascii="Garamond" w:hAnsi="Garamond" w:cs="Times New Roman"/>
          <w:bCs/>
          <w:color w:val="000000"/>
          <w:sz w:val="24"/>
          <w:szCs w:val="24"/>
        </w:rPr>
        <w:lastRenderedPageBreak/>
        <w:t>Neni 2</w:t>
      </w:r>
    </w:p>
    <w:p w14:paraId="24C13BD3" w14:textId="77777777" w:rsidR="00623CEE" w:rsidRPr="00E15B09" w:rsidRDefault="00623CEE" w:rsidP="00623CEE">
      <w:pPr>
        <w:autoSpaceDE w:val="0"/>
        <w:autoSpaceDN w:val="0"/>
        <w:adjustRightInd w:val="0"/>
        <w:spacing w:after="0" w:line="240" w:lineRule="auto"/>
        <w:ind w:firstLine="284"/>
        <w:jc w:val="center"/>
        <w:rPr>
          <w:rFonts w:ascii="Garamond" w:hAnsi="Garamond" w:cs="Times New Roman"/>
          <w:b/>
          <w:bCs/>
          <w:color w:val="000000"/>
          <w:sz w:val="24"/>
          <w:szCs w:val="24"/>
        </w:rPr>
      </w:pPr>
      <w:r w:rsidRPr="00E15B09">
        <w:rPr>
          <w:rFonts w:ascii="Garamond" w:hAnsi="Garamond" w:cs="Times New Roman"/>
          <w:b/>
          <w:bCs/>
          <w:color w:val="000000"/>
          <w:sz w:val="24"/>
          <w:szCs w:val="24"/>
        </w:rPr>
        <w:t>Përkufizime</w:t>
      </w:r>
    </w:p>
    <w:p w14:paraId="2420CE3E" w14:textId="77777777" w:rsidR="00623CEE" w:rsidRPr="00E15B09" w:rsidRDefault="00623CEE" w:rsidP="00623CEE">
      <w:pPr>
        <w:autoSpaceDE w:val="0"/>
        <w:autoSpaceDN w:val="0"/>
        <w:adjustRightInd w:val="0"/>
        <w:spacing w:after="0" w:line="240" w:lineRule="auto"/>
        <w:ind w:firstLine="284"/>
        <w:jc w:val="center"/>
        <w:rPr>
          <w:rFonts w:ascii="Garamond" w:hAnsi="Garamond" w:cs="Times New Roman"/>
          <w:color w:val="000000"/>
          <w:sz w:val="24"/>
          <w:szCs w:val="24"/>
        </w:rPr>
      </w:pPr>
    </w:p>
    <w:p w14:paraId="1994EA08" w14:textId="706CE606" w:rsidR="00623CEE" w:rsidRPr="00E15B09" w:rsidRDefault="00623CEE" w:rsidP="00623CEE">
      <w:pPr>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1. Termat e përdorur në këtë rregullore kanë kuptimin e përcaktuar në ligjin nr. 59/2016, “Për sektorin e energjisë elektrike” dhe ligjin nr.</w:t>
      </w:r>
      <w:r w:rsidR="00E15B09">
        <w:rPr>
          <w:rFonts w:ascii="Garamond" w:hAnsi="Garamond" w:cs="Times New Roman"/>
          <w:color w:val="000000"/>
          <w:sz w:val="24"/>
          <w:szCs w:val="24"/>
        </w:rPr>
        <w:t xml:space="preserve"> </w:t>
      </w:r>
      <w:r w:rsidRPr="00E15B09">
        <w:rPr>
          <w:rFonts w:ascii="Garamond" w:hAnsi="Garamond" w:cs="Times New Roman"/>
          <w:color w:val="000000"/>
          <w:sz w:val="24"/>
          <w:szCs w:val="24"/>
        </w:rPr>
        <w:t>24/2023</w:t>
      </w:r>
      <w:r w:rsidR="00E15B09">
        <w:rPr>
          <w:rFonts w:ascii="Garamond" w:hAnsi="Garamond" w:cs="Times New Roman"/>
          <w:color w:val="000000"/>
          <w:sz w:val="24"/>
          <w:szCs w:val="24"/>
        </w:rPr>
        <w:t>,</w:t>
      </w:r>
      <w:r w:rsidRPr="00E15B09">
        <w:rPr>
          <w:rFonts w:ascii="Garamond" w:hAnsi="Garamond" w:cs="Times New Roman"/>
          <w:color w:val="000000"/>
          <w:sz w:val="24"/>
          <w:szCs w:val="24"/>
        </w:rPr>
        <w:t xml:space="preserve"> “Për nxitjen e përdorimit të energjisë nga burimet e </w:t>
      </w:r>
      <w:proofErr w:type="spellStart"/>
      <w:r w:rsidRPr="00E15B09">
        <w:rPr>
          <w:rFonts w:ascii="Garamond" w:hAnsi="Garamond" w:cs="Times New Roman"/>
          <w:color w:val="000000"/>
          <w:sz w:val="24"/>
          <w:szCs w:val="24"/>
        </w:rPr>
        <w:t>rinovueshme</w:t>
      </w:r>
      <w:proofErr w:type="spellEnd"/>
      <w:r w:rsidRPr="00E15B09">
        <w:rPr>
          <w:rFonts w:ascii="Garamond" w:hAnsi="Garamond" w:cs="Times New Roman"/>
          <w:color w:val="000000"/>
          <w:sz w:val="24"/>
          <w:szCs w:val="24"/>
        </w:rPr>
        <w:t>”</w:t>
      </w:r>
      <w:r w:rsidR="00E15B09">
        <w:rPr>
          <w:rFonts w:ascii="Garamond" w:hAnsi="Garamond" w:cs="Times New Roman"/>
          <w:color w:val="000000"/>
          <w:sz w:val="24"/>
          <w:szCs w:val="24"/>
        </w:rPr>
        <w:t xml:space="preserve"> (në vazhdim,</w:t>
      </w:r>
      <w:r w:rsidRPr="00E15B09">
        <w:rPr>
          <w:rFonts w:ascii="Garamond" w:hAnsi="Garamond" w:cs="Times New Roman"/>
          <w:color w:val="000000"/>
          <w:sz w:val="24"/>
          <w:szCs w:val="24"/>
        </w:rPr>
        <w:t xml:space="preserve"> ligji).</w:t>
      </w:r>
    </w:p>
    <w:p w14:paraId="1D109CBB" w14:textId="40B53226" w:rsidR="00623CEE" w:rsidRPr="00E15B09" w:rsidRDefault="00623CEE" w:rsidP="00623CEE">
      <w:pPr>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2. Në këtë rregullore përdoren</w:t>
      </w:r>
      <w:r w:rsidR="00E15B09">
        <w:rPr>
          <w:rFonts w:ascii="Garamond" w:hAnsi="Garamond" w:cs="Times New Roman"/>
          <w:color w:val="000000"/>
          <w:sz w:val="24"/>
          <w:szCs w:val="24"/>
        </w:rPr>
        <w:t>,</w:t>
      </w:r>
      <w:r w:rsidRPr="00E15B09">
        <w:rPr>
          <w:rFonts w:ascii="Garamond" w:hAnsi="Garamond" w:cs="Times New Roman"/>
          <w:color w:val="000000"/>
          <w:sz w:val="24"/>
          <w:szCs w:val="24"/>
        </w:rPr>
        <w:t xml:space="preserve"> gjithashtu</w:t>
      </w:r>
      <w:r w:rsidR="00E15B09">
        <w:rPr>
          <w:rFonts w:ascii="Garamond" w:hAnsi="Garamond" w:cs="Times New Roman"/>
          <w:color w:val="000000"/>
          <w:sz w:val="24"/>
          <w:szCs w:val="24"/>
        </w:rPr>
        <w:t>,</w:t>
      </w:r>
      <w:r w:rsidRPr="00E15B09">
        <w:rPr>
          <w:rFonts w:ascii="Garamond" w:hAnsi="Garamond" w:cs="Times New Roman"/>
          <w:color w:val="000000"/>
          <w:sz w:val="24"/>
          <w:szCs w:val="24"/>
        </w:rPr>
        <w:t xml:space="preserve"> termat, të cilat kanë kuptimin e mëposhtëm:</w:t>
      </w:r>
    </w:p>
    <w:p w14:paraId="00D8C4B0" w14:textId="66830884" w:rsidR="00623CEE" w:rsidRPr="00E15B09" w:rsidRDefault="00623CEE" w:rsidP="00623CEE">
      <w:pPr>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a)</w:t>
      </w:r>
      <w:r w:rsidRPr="00E15B09">
        <w:rPr>
          <w:rFonts w:ascii="Garamond" w:hAnsi="Garamond" w:cs="Times New Roman"/>
          <w:b/>
          <w:bCs/>
          <w:color w:val="000000"/>
          <w:sz w:val="24"/>
          <w:szCs w:val="24"/>
        </w:rPr>
        <w:t xml:space="preserve"> </w:t>
      </w:r>
      <w:r w:rsidRPr="00E15B09">
        <w:rPr>
          <w:rFonts w:ascii="Garamond" w:hAnsi="Garamond" w:cs="Times New Roman"/>
          <w:bCs/>
          <w:color w:val="000000"/>
          <w:sz w:val="24"/>
          <w:szCs w:val="24"/>
        </w:rPr>
        <w:t>“</w:t>
      </w:r>
      <w:r w:rsidRPr="00E15B09">
        <w:rPr>
          <w:rFonts w:ascii="Garamond" w:hAnsi="Garamond" w:cs="Times New Roman"/>
          <w:b/>
          <w:bCs/>
          <w:color w:val="000000"/>
          <w:sz w:val="24"/>
          <w:szCs w:val="24"/>
        </w:rPr>
        <w:t>Atribut</w:t>
      </w:r>
      <w:r w:rsidRPr="00E15B09">
        <w:rPr>
          <w:rFonts w:ascii="Garamond" w:hAnsi="Garamond" w:cs="Times New Roman"/>
          <w:bCs/>
          <w:color w:val="000000"/>
          <w:sz w:val="24"/>
          <w:szCs w:val="24"/>
        </w:rPr>
        <w:t>”</w:t>
      </w:r>
      <w:r w:rsidRPr="00E15B09">
        <w:rPr>
          <w:rFonts w:ascii="Garamond" w:hAnsi="Garamond" w:cs="Times New Roman"/>
          <w:color w:val="000000"/>
          <w:sz w:val="24"/>
          <w:szCs w:val="24"/>
        </w:rPr>
        <w:t xml:space="preserve"> është karakteristika e energjisë elektrike që identifikon burimin nga i c</w:t>
      </w:r>
      <w:r w:rsidR="00E15B09">
        <w:rPr>
          <w:rFonts w:ascii="Garamond" w:hAnsi="Garamond" w:cs="Times New Roman"/>
          <w:color w:val="000000"/>
          <w:sz w:val="24"/>
          <w:szCs w:val="24"/>
        </w:rPr>
        <w:t>ili është prodhuar ajo energji;</w:t>
      </w:r>
    </w:p>
    <w:p w14:paraId="16FE4BA6" w14:textId="1D804D58" w:rsidR="00623CEE" w:rsidRPr="00E15B09" w:rsidRDefault="00623CEE" w:rsidP="00623CEE">
      <w:pPr>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b)</w:t>
      </w:r>
      <w:r w:rsidRPr="00E15B09">
        <w:rPr>
          <w:rFonts w:ascii="Garamond" w:hAnsi="Garamond" w:cs="Times New Roman"/>
          <w:b/>
          <w:bCs/>
          <w:color w:val="000000"/>
          <w:sz w:val="24"/>
          <w:szCs w:val="24"/>
        </w:rPr>
        <w:t xml:space="preserve"> </w:t>
      </w:r>
      <w:r w:rsidRPr="00E15B09">
        <w:rPr>
          <w:rFonts w:ascii="Garamond" w:hAnsi="Garamond" w:cs="Times New Roman"/>
          <w:bCs/>
          <w:color w:val="000000"/>
          <w:sz w:val="24"/>
          <w:szCs w:val="24"/>
        </w:rPr>
        <w:t>“</w:t>
      </w:r>
      <w:r w:rsidRPr="00E15B09">
        <w:rPr>
          <w:rFonts w:ascii="Garamond" w:hAnsi="Garamond" w:cs="Times New Roman"/>
          <w:b/>
          <w:bCs/>
          <w:color w:val="000000"/>
          <w:sz w:val="24"/>
          <w:szCs w:val="24"/>
        </w:rPr>
        <w:t>Garanci Origjine e anuluar (</w:t>
      </w:r>
      <w:proofErr w:type="spellStart"/>
      <w:r w:rsidRPr="00E15B09">
        <w:rPr>
          <w:rFonts w:ascii="Garamond" w:hAnsi="Garamond" w:cs="Times New Roman"/>
          <w:b/>
          <w:bCs/>
          <w:i/>
          <w:color w:val="000000"/>
          <w:sz w:val="24"/>
          <w:szCs w:val="24"/>
        </w:rPr>
        <w:t>Cancelled</w:t>
      </w:r>
      <w:proofErr w:type="spellEnd"/>
      <w:r w:rsidRPr="00E15B09">
        <w:rPr>
          <w:rFonts w:ascii="Garamond" w:hAnsi="Garamond" w:cs="Times New Roman"/>
          <w:b/>
          <w:bCs/>
          <w:i/>
          <w:color w:val="000000"/>
          <w:sz w:val="24"/>
          <w:szCs w:val="24"/>
        </w:rPr>
        <w:t xml:space="preserve"> </w:t>
      </w:r>
      <w:proofErr w:type="spellStart"/>
      <w:r w:rsidRPr="00E15B09">
        <w:rPr>
          <w:rFonts w:ascii="Garamond" w:hAnsi="Garamond" w:cs="Times New Roman"/>
          <w:b/>
          <w:bCs/>
          <w:i/>
          <w:color w:val="000000"/>
          <w:sz w:val="24"/>
          <w:szCs w:val="24"/>
        </w:rPr>
        <w:t>Guarantee</w:t>
      </w:r>
      <w:proofErr w:type="spellEnd"/>
      <w:r w:rsidRPr="00E15B09">
        <w:rPr>
          <w:rFonts w:ascii="Garamond" w:hAnsi="Garamond" w:cs="Times New Roman"/>
          <w:b/>
          <w:bCs/>
          <w:i/>
          <w:color w:val="000000"/>
          <w:sz w:val="24"/>
          <w:szCs w:val="24"/>
        </w:rPr>
        <w:t xml:space="preserve"> </w:t>
      </w:r>
      <w:proofErr w:type="spellStart"/>
      <w:r w:rsidRPr="00E15B09">
        <w:rPr>
          <w:rFonts w:ascii="Garamond" w:hAnsi="Garamond" w:cs="Times New Roman"/>
          <w:b/>
          <w:bCs/>
          <w:i/>
          <w:color w:val="000000"/>
          <w:sz w:val="24"/>
          <w:szCs w:val="24"/>
        </w:rPr>
        <w:t>of</w:t>
      </w:r>
      <w:proofErr w:type="spellEnd"/>
      <w:r w:rsidRPr="00E15B09">
        <w:rPr>
          <w:rFonts w:ascii="Garamond" w:hAnsi="Garamond" w:cs="Times New Roman"/>
          <w:b/>
          <w:bCs/>
          <w:i/>
          <w:color w:val="000000"/>
          <w:sz w:val="24"/>
          <w:szCs w:val="24"/>
        </w:rPr>
        <w:t xml:space="preserve"> </w:t>
      </w:r>
      <w:proofErr w:type="spellStart"/>
      <w:r w:rsidRPr="00E15B09">
        <w:rPr>
          <w:rFonts w:ascii="Garamond" w:hAnsi="Garamond" w:cs="Times New Roman"/>
          <w:b/>
          <w:bCs/>
          <w:i/>
          <w:color w:val="000000"/>
          <w:sz w:val="24"/>
          <w:szCs w:val="24"/>
        </w:rPr>
        <w:t>Origin</w:t>
      </w:r>
      <w:proofErr w:type="spellEnd"/>
      <w:r w:rsidRPr="00E15B09">
        <w:rPr>
          <w:rFonts w:ascii="Garamond" w:hAnsi="Garamond" w:cs="Times New Roman"/>
          <w:b/>
          <w:bCs/>
          <w:i/>
          <w:color w:val="000000"/>
          <w:sz w:val="24"/>
          <w:szCs w:val="24"/>
        </w:rPr>
        <w:t xml:space="preserve"> </w:t>
      </w:r>
      <w:r w:rsidRPr="00E15B09">
        <w:rPr>
          <w:rFonts w:ascii="Garamond" w:hAnsi="Garamond" w:cs="Times New Roman"/>
          <w:b/>
          <w:bCs/>
          <w:color w:val="000000"/>
          <w:sz w:val="24"/>
          <w:szCs w:val="24"/>
        </w:rPr>
        <w:t>–</w:t>
      </w:r>
      <w:r w:rsidRPr="00E15B09">
        <w:rPr>
          <w:rFonts w:ascii="Garamond" w:hAnsi="Garamond" w:cs="Times New Roman"/>
          <w:b/>
          <w:bCs/>
          <w:i/>
          <w:color w:val="000000"/>
          <w:sz w:val="24"/>
          <w:szCs w:val="24"/>
        </w:rPr>
        <w:t xml:space="preserve"> </w:t>
      </w:r>
      <w:r w:rsidRPr="00E15B09">
        <w:rPr>
          <w:rFonts w:ascii="Garamond" w:hAnsi="Garamond" w:cs="Times New Roman"/>
          <w:b/>
          <w:bCs/>
          <w:color w:val="000000"/>
          <w:sz w:val="24"/>
          <w:szCs w:val="24"/>
        </w:rPr>
        <w:t>CGO)</w:t>
      </w:r>
      <w:r w:rsidRPr="00E15B09">
        <w:rPr>
          <w:rFonts w:ascii="Garamond" w:hAnsi="Garamond" w:cs="Times New Roman"/>
          <w:bCs/>
          <w:color w:val="000000"/>
          <w:sz w:val="24"/>
          <w:szCs w:val="24"/>
        </w:rPr>
        <w:t>”</w:t>
      </w:r>
      <w:r w:rsidRPr="00E15B09">
        <w:rPr>
          <w:rFonts w:ascii="Garamond" w:hAnsi="Garamond" w:cs="Times New Roman"/>
          <w:color w:val="000000"/>
          <w:sz w:val="24"/>
          <w:szCs w:val="24"/>
        </w:rPr>
        <w:t xml:space="preserve"> është garancia e origjinës që është anuluar për qëllime të deklarimit të origjinës së energjisë el</w:t>
      </w:r>
      <w:r w:rsidR="00E15B09">
        <w:rPr>
          <w:rFonts w:ascii="Garamond" w:hAnsi="Garamond" w:cs="Times New Roman"/>
          <w:color w:val="000000"/>
          <w:sz w:val="24"/>
          <w:szCs w:val="24"/>
        </w:rPr>
        <w:t>ektrike ndaj klientëve fundorë;</w:t>
      </w:r>
    </w:p>
    <w:p w14:paraId="34A8E7E0" w14:textId="73B78E98" w:rsidR="00623CEE" w:rsidRPr="00E15B09" w:rsidRDefault="00623CEE" w:rsidP="00623CEE">
      <w:pPr>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c)</w:t>
      </w:r>
      <w:r w:rsidRPr="00E15B09">
        <w:rPr>
          <w:rFonts w:ascii="Garamond" w:hAnsi="Garamond" w:cs="Times New Roman"/>
          <w:b/>
          <w:bCs/>
          <w:color w:val="000000"/>
          <w:sz w:val="24"/>
          <w:szCs w:val="24"/>
        </w:rPr>
        <w:t xml:space="preserve"> </w:t>
      </w:r>
      <w:r w:rsidRPr="00E15B09">
        <w:rPr>
          <w:rFonts w:ascii="Garamond" w:hAnsi="Garamond" w:cs="Times New Roman"/>
          <w:bCs/>
          <w:color w:val="000000"/>
          <w:sz w:val="24"/>
          <w:szCs w:val="24"/>
        </w:rPr>
        <w:t>“</w:t>
      </w:r>
      <w:r w:rsidRPr="00E15B09">
        <w:rPr>
          <w:rFonts w:ascii="Garamond" w:hAnsi="Garamond" w:cs="Times New Roman"/>
          <w:b/>
          <w:bCs/>
          <w:color w:val="000000"/>
          <w:sz w:val="24"/>
          <w:szCs w:val="24"/>
        </w:rPr>
        <w:t>Përzierja e Mbetur Kombëtare Paraprake (</w:t>
      </w:r>
      <w:proofErr w:type="spellStart"/>
      <w:r w:rsidRPr="00E15B09">
        <w:rPr>
          <w:rFonts w:ascii="Garamond" w:hAnsi="Garamond" w:cs="Times New Roman"/>
          <w:b/>
          <w:bCs/>
          <w:i/>
          <w:color w:val="000000"/>
          <w:sz w:val="24"/>
          <w:szCs w:val="24"/>
        </w:rPr>
        <w:t>Preliminary</w:t>
      </w:r>
      <w:proofErr w:type="spellEnd"/>
      <w:r w:rsidRPr="00E15B09">
        <w:rPr>
          <w:rFonts w:ascii="Garamond" w:hAnsi="Garamond" w:cs="Times New Roman"/>
          <w:b/>
          <w:bCs/>
          <w:i/>
          <w:color w:val="000000"/>
          <w:sz w:val="24"/>
          <w:szCs w:val="24"/>
        </w:rPr>
        <w:t xml:space="preserve"> </w:t>
      </w:r>
      <w:proofErr w:type="spellStart"/>
      <w:r w:rsidRPr="00E15B09">
        <w:rPr>
          <w:rFonts w:ascii="Garamond" w:hAnsi="Garamond" w:cs="Times New Roman"/>
          <w:b/>
          <w:bCs/>
          <w:i/>
          <w:color w:val="000000"/>
          <w:sz w:val="24"/>
          <w:szCs w:val="24"/>
        </w:rPr>
        <w:t>Domestic</w:t>
      </w:r>
      <w:proofErr w:type="spellEnd"/>
      <w:r w:rsidRPr="00E15B09">
        <w:rPr>
          <w:rFonts w:ascii="Garamond" w:hAnsi="Garamond" w:cs="Times New Roman"/>
          <w:b/>
          <w:bCs/>
          <w:i/>
          <w:color w:val="000000"/>
          <w:sz w:val="24"/>
          <w:szCs w:val="24"/>
        </w:rPr>
        <w:t xml:space="preserve"> </w:t>
      </w:r>
      <w:proofErr w:type="spellStart"/>
      <w:r w:rsidRPr="00E15B09">
        <w:rPr>
          <w:rFonts w:ascii="Garamond" w:hAnsi="Garamond" w:cs="Times New Roman"/>
          <w:b/>
          <w:bCs/>
          <w:i/>
          <w:color w:val="000000"/>
          <w:sz w:val="24"/>
          <w:szCs w:val="24"/>
        </w:rPr>
        <w:t>Residual</w:t>
      </w:r>
      <w:proofErr w:type="spellEnd"/>
      <w:r w:rsidRPr="00E15B09">
        <w:rPr>
          <w:rFonts w:ascii="Garamond" w:hAnsi="Garamond" w:cs="Times New Roman"/>
          <w:b/>
          <w:bCs/>
          <w:i/>
          <w:color w:val="000000"/>
          <w:sz w:val="24"/>
          <w:szCs w:val="24"/>
        </w:rPr>
        <w:t xml:space="preserve"> </w:t>
      </w:r>
      <w:proofErr w:type="spellStart"/>
      <w:r w:rsidRPr="00E15B09">
        <w:rPr>
          <w:rFonts w:ascii="Garamond" w:hAnsi="Garamond" w:cs="Times New Roman"/>
          <w:b/>
          <w:bCs/>
          <w:i/>
          <w:color w:val="000000"/>
          <w:sz w:val="24"/>
          <w:szCs w:val="24"/>
        </w:rPr>
        <w:t>Mix</w:t>
      </w:r>
      <w:proofErr w:type="spellEnd"/>
      <w:r w:rsidRPr="00E15B09">
        <w:rPr>
          <w:rFonts w:ascii="Garamond" w:hAnsi="Garamond" w:cs="Times New Roman"/>
          <w:b/>
          <w:bCs/>
          <w:color w:val="000000"/>
          <w:sz w:val="24"/>
          <w:szCs w:val="24"/>
        </w:rPr>
        <w:t xml:space="preserve"> – PDRM)</w:t>
      </w:r>
      <w:r w:rsidRPr="00E15B09">
        <w:rPr>
          <w:rFonts w:ascii="Garamond" w:hAnsi="Garamond" w:cs="Times New Roman"/>
          <w:bCs/>
          <w:color w:val="000000"/>
          <w:sz w:val="24"/>
          <w:szCs w:val="24"/>
        </w:rPr>
        <w:t>”</w:t>
      </w:r>
      <w:r w:rsidRPr="00E15B09">
        <w:rPr>
          <w:rFonts w:ascii="Garamond" w:hAnsi="Garamond" w:cs="Times New Roman"/>
          <w:color w:val="000000"/>
          <w:sz w:val="24"/>
          <w:szCs w:val="24"/>
        </w:rPr>
        <w:t xml:space="preserve"> është përzierja e energjisë elektrike e llogaritur përpara marrjes në konsideratë të shkëmbimeve ndërk</w:t>
      </w:r>
      <w:r w:rsidR="00E15B09">
        <w:rPr>
          <w:rFonts w:ascii="Garamond" w:hAnsi="Garamond" w:cs="Times New Roman"/>
          <w:color w:val="000000"/>
          <w:sz w:val="24"/>
          <w:szCs w:val="24"/>
        </w:rPr>
        <w:t>ufitare të energjisë elektrike;</w:t>
      </w:r>
    </w:p>
    <w:p w14:paraId="4ED44B6C" w14:textId="0CACCD7D" w:rsidR="00623CEE" w:rsidRPr="00E15B09" w:rsidRDefault="00623CEE" w:rsidP="00623CEE">
      <w:pPr>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ç) “</w:t>
      </w:r>
      <w:r w:rsidRPr="00E15B09">
        <w:rPr>
          <w:rFonts w:ascii="Garamond" w:hAnsi="Garamond" w:cs="Times New Roman"/>
          <w:b/>
          <w:bCs/>
          <w:color w:val="000000"/>
          <w:sz w:val="24"/>
          <w:szCs w:val="24"/>
        </w:rPr>
        <w:t>Përzierja e Mbetur Kombëtare (</w:t>
      </w:r>
      <w:proofErr w:type="spellStart"/>
      <w:r w:rsidRPr="00E15B09">
        <w:rPr>
          <w:rFonts w:ascii="Garamond" w:hAnsi="Garamond" w:cs="Times New Roman"/>
          <w:b/>
          <w:bCs/>
          <w:i/>
          <w:color w:val="000000"/>
          <w:sz w:val="24"/>
          <w:szCs w:val="24"/>
        </w:rPr>
        <w:t>Domestic</w:t>
      </w:r>
      <w:proofErr w:type="spellEnd"/>
      <w:r w:rsidRPr="00E15B09">
        <w:rPr>
          <w:rFonts w:ascii="Garamond" w:hAnsi="Garamond" w:cs="Times New Roman"/>
          <w:b/>
          <w:bCs/>
          <w:i/>
          <w:color w:val="000000"/>
          <w:sz w:val="24"/>
          <w:szCs w:val="24"/>
        </w:rPr>
        <w:t xml:space="preserve"> </w:t>
      </w:r>
      <w:proofErr w:type="spellStart"/>
      <w:r w:rsidRPr="00E15B09">
        <w:rPr>
          <w:rFonts w:ascii="Garamond" w:hAnsi="Garamond" w:cs="Times New Roman"/>
          <w:b/>
          <w:bCs/>
          <w:i/>
          <w:color w:val="000000"/>
          <w:sz w:val="24"/>
          <w:szCs w:val="24"/>
        </w:rPr>
        <w:t>Residual</w:t>
      </w:r>
      <w:proofErr w:type="spellEnd"/>
      <w:r w:rsidRPr="00E15B09">
        <w:rPr>
          <w:rFonts w:ascii="Garamond" w:hAnsi="Garamond" w:cs="Times New Roman"/>
          <w:b/>
          <w:bCs/>
          <w:i/>
          <w:color w:val="000000"/>
          <w:sz w:val="24"/>
          <w:szCs w:val="24"/>
        </w:rPr>
        <w:t xml:space="preserve"> </w:t>
      </w:r>
      <w:proofErr w:type="spellStart"/>
      <w:r w:rsidRPr="00E15B09">
        <w:rPr>
          <w:rFonts w:ascii="Garamond" w:hAnsi="Garamond" w:cs="Times New Roman"/>
          <w:b/>
          <w:bCs/>
          <w:i/>
          <w:color w:val="000000"/>
          <w:sz w:val="24"/>
          <w:szCs w:val="24"/>
        </w:rPr>
        <w:t>Mix</w:t>
      </w:r>
      <w:proofErr w:type="spellEnd"/>
      <w:r w:rsidRPr="00E15B09">
        <w:rPr>
          <w:rFonts w:ascii="Garamond" w:hAnsi="Garamond" w:cs="Times New Roman"/>
          <w:b/>
          <w:bCs/>
          <w:color w:val="000000"/>
          <w:sz w:val="24"/>
          <w:szCs w:val="24"/>
        </w:rPr>
        <w:t xml:space="preserve"> – DRM)</w:t>
      </w:r>
      <w:r w:rsidRPr="00E15B09">
        <w:rPr>
          <w:rFonts w:ascii="Garamond" w:hAnsi="Garamond" w:cs="Times New Roman"/>
          <w:bCs/>
          <w:color w:val="000000"/>
          <w:sz w:val="24"/>
          <w:szCs w:val="24"/>
        </w:rPr>
        <w:t>”</w:t>
      </w:r>
      <w:r w:rsidRPr="00E15B09">
        <w:rPr>
          <w:rFonts w:ascii="Garamond" w:hAnsi="Garamond" w:cs="Times New Roman"/>
          <w:color w:val="000000"/>
          <w:sz w:val="24"/>
          <w:szCs w:val="24"/>
        </w:rPr>
        <w:t xml:space="preserve"> është përzierja e energjisë elektrike e llogaritur sipas metodologjisë, pas marrjes në konsideratë të prodhimit vendas, importeve, eksporte</w:t>
      </w:r>
      <w:r w:rsidR="00E15B09">
        <w:rPr>
          <w:rFonts w:ascii="Garamond" w:hAnsi="Garamond" w:cs="Times New Roman"/>
          <w:color w:val="000000"/>
          <w:sz w:val="24"/>
          <w:szCs w:val="24"/>
        </w:rPr>
        <w:t>ve dhe atributeve të energjisë;</w:t>
      </w:r>
    </w:p>
    <w:p w14:paraId="415E6047" w14:textId="0DA11BEB" w:rsidR="00623CEE" w:rsidRPr="00E15B09" w:rsidRDefault="00623CEE" w:rsidP="00623CEE">
      <w:pPr>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d)</w:t>
      </w:r>
      <w:r w:rsidRPr="00E15B09">
        <w:rPr>
          <w:rFonts w:ascii="Garamond" w:hAnsi="Garamond" w:cs="Times New Roman"/>
          <w:b/>
          <w:bCs/>
          <w:color w:val="000000"/>
          <w:sz w:val="24"/>
          <w:szCs w:val="24"/>
        </w:rPr>
        <w:t xml:space="preserve"> </w:t>
      </w:r>
      <w:r w:rsidRPr="00E15B09">
        <w:rPr>
          <w:rFonts w:ascii="Garamond" w:hAnsi="Garamond" w:cs="Times New Roman"/>
          <w:bCs/>
          <w:color w:val="000000"/>
          <w:sz w:val="24"/>
          <w:szCs w:val="24"/>
        </w:rPr>
        <w:t>“</w:t>
      </w:r>
      <w:r w:rsidRPr="00E15B09">
        <w:rPr>
          <w:rFonts w:ascii="Garamond" w:hAnsi="Garamond" w:cs="Times New Roman"/>
          <w:b/>
          <w:bCs/>
          <w:color w:val="000000"/>
          <w:sz w:val="24"/>
          <w:szCs w:val="24"/>
        </w:rPr>
        <w:t>Përzierja Evropiane e Atributeve (</w:t>
      </w:r>
      <w:proofErr w:type="spellStart"/>
      <w:r w:rsidRPr="00E15B09">
        <w:rPr>
          <w:rFonts w:ascii="Garamond" w:hAnsi="Garamond" w:cs="Times New Roman"/>
          <w:b/>
          <w:bCs/>
          <w:i/>
          <w:color w:val="000000"/>
          <w:sz w:val="24"/>
          <w:szCs w:val="24"/>
        </w:rPr>
        <w:t>European</w:t>
      </w:r>
      <w:proofErr w:type="spellEnd"/>
      <w:r w:rsidRPr="00E15B09">
        <w:rPr>
          <w:rFonts w:ascii="Garamond" w:hAnsi="Garamond" w:cs="Times New Roman"/>
          <w:b/>
          <w:bCs/>
          <w:i/>
          <w:color w:val="000000"/>
          <w:sz w:val="24"/>
          <w:szCs w:val="24"/>
        </w:rPr>
        <w:t xml:space="preserve"> </w:t>
      </w:r>
      <w:proofErr w:type="spellStart"/>
      <w:r w:rsidRPr="00E15B09">
        <w:rPr>
          <w:rFonts w:ascii="Garamond" w:hAnsi="Garamond" w:cs="Times New Roman"/>
          <w:b/>
          <w:bCs/>
          <w:i/>
          <w:color w:val="000000"/>
          <w:sz w:val="24"/>
          <w:szCs w:val="24"/>
        </w:rPr>
        <w:t>Attribute</w:t>
      </w:r>
      <w:proofErr w:type="spellEnd"/>
      <w:r w:rsidRPr="00E15B09">
        <w:rPr>
          <w:rFonts w:ascii="Garamond" w:hAnsi="Garamond" w:cs="Times New Roman"/>
          <w:b/>
          <w:bCs/>
          <w:i/>
          <w:color w:val="000000"/>
          <w:sz w:val="24"/>
          <w:szCs w:val="24"/>
        </w:rPr>
        <w:t xml:space="preserve"> </w:t>
      </w:r>
      <w:proofErr w:type="spellStart"/>
      <w:r w:rsidRPr="00E15B09">
        <w:rPr>
          <w:rFonts w:ascii="Garamond" w:hAnsi="Garamond" w:cs="Times New Roman"/>
          <w:b/>
          <w:bCs/>
          <w:i/>
          <w:color w:val="000000"/>
          <w:sz w:val="24"/>
          <w:szCs w:val="24"/>
        </w:rPr>
        <w:t>Mix</w:t>
      </w:r>
      <w:proofErr w:type="spellEnd"/>
      <w:r w:rsidRPr="00E15B09">
        <w:rPr>
          <w:rFonts w:ascii="Garamond" w:hAnsi="Garamond" w:cs="Times New Roman"/>
          <w:b/>
          <w:bCs/>
          <w:color w:val="000000"/>
          <w:sz w:val="24"/>
          <w:szCs w:val="24"/>
        </w:rPr>
        <w:t xml:space="preserve"> – EAM)</w:t>
      </w:r>
      <w:r w:rsidRPr="00E15B09">
        <w:rPr>
          <w:rFonts w:ascii="Garamond" w:hAnsi="Garamond" w:cs="Times New Roman"/>
          <w:bCs/>
          <w:color w:val="000000"/>
          <w:sz w:val="24"/>
          <w:szCs w:val="24"/>
        </w:rPr>
        <w:t>”</w:t>
      </w:r>
      <w:r w:rsidRPr="00E15B09">
        <w:rPr>
          <w:rFonts w:ascii="Garamond" w:hAnsi="Garamond" w:cs="Times New Roman"/>
          <w:color w:val="000000"/>
          <w:sz w:val="24"/>
          <w:szCs w:val="24"/>
        </w:rPr>
        <w:t xml:space="preserve"> është përzierja e atributeve e krijuar nga kontributet e vendeve që rezultojnë me suficit a</w:t>
      </w:r>
      <w:r w:rsidR="00E15B09">
        <w:rPr>
          <w:rFonts w:ascii="Garamond" w:hAnsi="Garamond" w:cs="Times New Roman"/>
          <w:color w:val="000000"/>
          <w:sz w:val="24"/>
          <w:szCs w:val="24"/>
        </w:rPr>
        <w:t>tributesh, sipas metodologjisë;</w:t>
      </w:r>
    </w:p>
    <w:p w14:paraId="5CA048CD" w14:textId="34B5965F" w:rsidR="00623CEE" w:rsidRPr="00E15B09" w:rsidRDefault="00623CEE" w:rsidP="00623CEE">
      <w:pPr>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dh)</w:t>
      </w:r>
      <w:r w:rsidRPr="00E15B09">
        <w:rPr>
          <w:rFonts w:ascii="Garamond" w:hAnsi="Garamond" w:cs="Times New Roman"/>
          <w:b/>
          <w:bCs/>
          <w:color w:val="000000"/>
          <w:sz w:val="24"/>
          <w:szCs w:val="24"/>
        </w:rPr>
        <w:t xml:space="preserve"> </w:t>
      </w:r>
      <w:r w:rsidRPr="00E15B09">
        <w:rPr>
          <w:rFonts w:ascii="Garamond" w:hAnsi="Garamond" w:cs="Times New Roman"/>
          <w:bCs/>
          <w:color w:val="000000"/>
          <w:sz w:val="24"/>
          <w:szCs w:val="24"/>
        </w:rPr>
        <w:t>“</w:t>
      </w:r>
      <w:r w:rsidRPr="00E15B09">
        <w:rPr>
          <w:rFonts w:ascii="Garamond" w:hAnsi="Garamond" w:cs="Times New Roman"/>
          <w:b/>
          <w:bCs/>
          <w:color w:val="000000"/>
          <w:sz w:val="24"/>
          <w:szCs w:val="24"/>
        </w:rPr>
        <w:t>Përzierja e Mbetur Përfundimtare (</w:t>
      </w:r>
      <w:r w:rsidRPr="00E15B09">
        <w:rPr>
          <w:rFonts w:ascii="Garamond" w:hAnsi="Garamond" w:cs="Times New Roman"/>
          <w:b/>
          <w:bCs/>
          <w:i/>
          <w:color w:val="000000"/>
          <w:sz w:val="24"/>
          <w:szCs w:val="24"/>
        </w:rPr>
        <w:t xml:space="preserve">Final </w:t>
      </w:r>
      <w:proofErr w:type="spellStart"/>
      <w:r w:rsidRPr="00E15B09">
        <w:rPr>
          <w:rFonts w:ascii="Garamond" w:hAnsi="Garamond" w:cs="Times New Roman"/>
          <w:b/>
          <w:bCs/>
          <w:i/>
          <w:color w:val="000000"/>
          <w:sz w:val="24"/>
          <w:szCs w:val="24"/>
        </w:rPr>
        <w:t>Residual</w:t>
      </w:r>
      <w:proofErr w:type="spellEnd"/>
      <w:r w:rsidRPr="00E15B09">
        <w:rPr>
          <w:rFonts w:ascii="Garamond" w:hAnsi="Garamond" w:cs="Times New Roman"/>
          <w:b/>
          <w:bCs/>
          <w:i/>
          <w:color w:val="000000"/>
          <w:sz w:val="24"/>
          <w:szCs w:val="24"/>
        </w:rPr>
        <w:t xml:space="preserve"> </w:t>
      </w:r>
      <w:proofErr w:type="spellStart"/>
      <w:r w:rsidRPr="00E15B09">
        <w:rPr>
          <w:rFonts w:ascii="Garamond" w:hAnsi="Garamond" w:cs="Times New Roman"/>
          <w:b/>
          <w:bCs/>
          <w:i/>
          <w:color w:val="000000"/>
          <w:sz w:val="24"/>
          <w:szCs w:val="24"/>
        </w:rPr>
        <w:t>Mix</w:t>
      </w:r>
      <w:proofErr w:type="spellEnd"/>
      <w:r w:rsidRPr="00E15B09">
        <w:rPr>
          <w:rFonts w:ascii="Garamond" w:hAnsi="Garamond" w:cs="Times New Roman"/>
          <w:b/>
          <w:bCs/>
          <w:color w:val="000000"/>
          <w:sz w:val="24"/>
          <w:szCs w:val="24"/>
        </w:rPr>
        <w:t xml:space="preserve"> – FRM)</w:t>
      </w:r>
      <w:r w:rsidRPr="00E15B09">
        <w:rPr>
          <w:rFonts w:ascii="Garamond" w:hAnsi="Garamond" w:cs="Times New Roman"/>
          <w:bCs/>
          <w:color w:val="000000"/>
          <w:sz w:val="24"/>
          <w:szCs w:val="24"/>
        </w:rPr>
        <w:t>”</w:t>
      </w:r>
      <w:r w:rsidRPr="00E15B09">
        <w:rPr>
          <w:rFonts w:ascii="Garamond" w:hAnsi="Garamond" w:cs="Times New Roman"/>
          <w:color w:val="000000"/>
          <w:sz w:val="24"/>
          <w:szCs w:val="24"/>
        </w:rPr>
        <w:t xml:space="preserve"> është përzierja e </w:t>
      </w:r>
      <w:r w:rsidRPr="00A70E6A">
        <w:rPr>
          <w:rFonts w:ascii="Garamond" w:hAnsi="Garamond" w:cs="Times New Roman"/>
          <w:color w:val="000000"/>
          <w:sz w:val="24"/>
          <w:szCs w:val="24"/>
        </w:rPr>
        <w:t>energjisë elektrike e llogaritur pas korrigjimit të Përzierjes së Mbetur Kombëtare me Përzierjen</w:t>
      </w:r>
      <w:r w:rsidRPr="00E15B09">
        <w:rPr>
          <w:rFonts w:ascii="Garamond" w:hAnsi="Garamond" w:cs="Times New Roman"/>
          <w:color w:val="000000"/>
          <w:sz w:val="24"/>
          <w:szCs w:val="24"/>
        </w:rPr>
        <w:t xml:space="preserve"> Evropiane të Atribut</w:t>
      </w:r>
      <w:r w:rsidR="00E15B09">
        <w:rPr>
          <w:rFonts w:ascii="Garamond" w:hAnsi="Garamond" w:cs="Times New Roman"/>
          <w:color w:val="000000"/>
          <w:sz w:val="24"/>
          <w:szCs w:val="24"/>
        </w:rPr>
        <w:t>eve, sipas metodologjisë;</w:t>
      </w:r>
    </w:p>
    <w:p w14:paraId="0C15C57B" w14:textId="178C5FA4" w:rsidR="00623CEE" w:rsidRPr="00E15B09" w:rsidRDefault="00623CEE" w:rsidP="00623CEE">
      <w:pPr>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e)</w:t>
      </w:r>
      <w:r w:rsidRPr="00E15B09">
        <w:rPr>
          <w:rFonts w:ascii="Garamond" w:hAnsi="Garamond" w:cs="Times New Roman"/>
          <w:b/>
          <w:bCs/>
          <w:color w:val="000000"/>
          <w:sz w:val="24"/>
          <w:szCs w:val="24"/>
        </w:rPr>
        <w:t xml:space="preserve"> </w:t>
      </w:r>
      <w:r w:rsidRPr="00E15B09">
        <w:rPr>
          <w:rFonts w:ascii="Garamond" w:hAnsi="Garamond" w:cs="Times New Roman"/>
          <w:bCs/>
          <w:color w:val="000000"/>
          <w:sz w:val="24"/>
          <w:szCs w:val="24"/>
        </w:rPr>
        <w:t>“</w:t>
      </w:r>
      <w:r w:rsidRPr="00E15B09">
        <w:rPr>
          <w:rFonts w:ascii="Garamond" w:hAnsi="Garamond" w:cs="Times New Roman"/>
          <w:b/>
          <w:bCs/>
          <w:color w:val="000000"/>
          <w:sz w:val="24"/>
          <w:szCs w:val="24"/>
        </w:rPr>
        <w:t xml:space="preserve">Konsum i </w:t>
      </w:r>
      <w:proofErr w:type="spellStart"/>
      <w:r w:rsidRPr="00E15B09">
        <w:rPr>
          <w:rFonts w:ascii="Garamond" w:hAnsi="Garamond" w:cs="Times New Roman"/>
          <w:b/>
          <w:bCs/>
          <w:color w:val="000000"/>
          <w:sz w:val="24"/>
          <w:szCs w:val="24"/>
        </w:rPr>
        <w:t>Pagjurmueshëm</w:t>
      </w:r>
      <w:proofErr w:type="spellEnd"/>
      <w:r w:rsidRPr="00E15B09">
        <w:rPr>
          <w:rFonts w:ascii="Garamond" w:hAnsi="Garamond" w:cs="Times New Roman"/>
          <w:b/>
          <w:bCs/>
          <w:color w:val="000000"/>
          <w:sz w:val="24"/>
          <w:szCs w:val="24"/>
        </w:rPr>
        <w:t xml:space="preserve"> (</w:t>
      </w:r>
      <w:proofErr w:type="spellStart"/>
      <w:r w:rsidRPr="00E15B09">
        <w:rPr>
          <w:rFonts w:ascii="Garamond" w:hAnsi="Garamond" w:cs="Times New Roman"/>
          <w:b/>
          <w:bCs/>
          <w:i/>
          <w:color w:val="000000"/>
          <w:sz w:val="24"/>
          <w:szCs w:val="24"/>
        </w:rPr>
        <w:t>Untracked</w:t>
      </w:r>
      <w:proofErr w:type="spellEnd"/>
      <w:r w:rsidRPr="00E15B09">
        <w:rPr>
          <w:rFonts w:ascii="Garamond" w:hAnsi="Garamond" w:cs="Times New Roman"/>
          <w:b/>
          <w:bCs/>
          <w:i/>
          <w:color w:val="000000"/>
          <w:sz w:val="24"/>
          <w:szCs w:val="24"/>
        </w:rPr>
        <w:t xml:space="preserve"> </w:t>
      </w:r>
      <w:proofErr w:type="spellStart"/>
      <w:r w:rsidRPr="00E15B09">
        <w:rPr>
          <w:rFonts w:ascii="Garamond" w:hAnsi="Garamond" w:cs="Times New Roman"/>
          <w:b/>
          <w:bCs/>
          <w:i/>
          <w:color w:val="000000"/>
          <w:sz w:val="24"/>
          <w:szCs w:val="24"/>
        </w:rPr>
        <w:t>Consumption</w:t>
      </w:r>
      <w:proofErr w:type="spellEnd"/>
      <w:r w:rsidRPr="00E15B09">
        <w:rPr>
          <w:rFonts w:ascii="Garamond" w:hAnsi="Garamond" w:cs="Times New Roman"/>
          <w:b/>
          <w:bCs/>
          <w:color w:val="000000"/>
          <w:sz w:val="24"/>
          <w:szCs w:val="24"/>
        </w:rPr>
        <w:t xml:space="preserve"> – UC)</w:t>
      </w:r>
      <w:r w:rsidRPr="00E15B09">
        <w:rPr>
          <w:rFonts w:ascii="Garamond" w:hAnsi="Garamond" w:cs="Times New Roman"/>
          <w:bCs/>
          <w:color w:val="000000"/>
          <w:sz w:val="24"/>
          <w:szCs w:val="24"/>
        </w:rPr>
        <w:t>”</w:t>
      </w:r>
      <w:r w:rsidRPr="00E15B09">
        <w:rPr>
          <w:rFonts w:ascii="Garamond" w:hAnsi="Garamond" w:cs="Times New Roman"/>
          <w:color w:val="000000"/>
          <w:sz w:val="24"/>
          <w:szCs w:val="24"/>
        </w:rPr>
        <w:t xml:space="preserve"> është pjesa e konsumit të energjisë elektrike për të cilën nuk janë anuluar garanci origjine ose instrumente të tjera të njoh</w:t>
      </w:r>
      <w:r w:rsidR="00E15B09">
        <w:rPr>
          <w:rFonts w:ascii="Garamond" w:hAnsi="Garamond" w:cs="Times New Roman"/>
          <w:color w:val="000000"/>
          <w:sz w:val="24"/>
          <w:szCs w:val="24"/>
        </w:rPr>
        <w:t>ura të gjurmimit të atributeve;</w:t>
      </w:r>
    </w:p>
    <w:p w14:paraId="3A45AD77" w14:textId="26B7C207" w:rsidR="00623CEE" w:rsidRPr="00E15B09" w:rsidRDefault="00623CEE" w:rsidP="00623CEE">
      <w:pPr>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ë)</w:t>
      </w:r>
      <w:r w:rsidRPr="00E15B09">
        <w:rPr>
          <w:rFonts w:ascii="Garamond" w:hAnsi="Garamond" w:cs="Times New Roman"/>
          <w:b/>
          <w:bCs/>
          <w:color w:val="000000"/>
          <w:sz w:val="24"/>
          <w:szCs w:val="24"/>
        </w:rPr>
        <w:t xml:space="preserve"> </w:t>
      </w:r>
      <w:r w:rsidRPr="00E15B09">
        <w:rPr>
          <w:rFonts w:ascii="Garamond" w:hAnsi="Garamond" w:cs="Times New Roman"/>
          <w:bCs/>
          <w:color w:val="000000"/>
          <w:sz w:val="24"/>
          <w:szCs w:val="24"/>
        </w:rPr>
        <w:t>“</w:t>
      </w:r>
      <w:r w:rsidRPr="00E15B09">
        <w:rPr>
          <w:rFonts w:ascii="Garamond" w:hAnsi="Garamond" w:cs="Times New Roman"/>
          <w:b/>
          <w:bCs/>
          <w:color w:val="000000"/>
          <w:sz w:val="24"/>
          <w:szCs w:val="24"/>
        </w:rPr>
        <w:t>Struktura e burimeve të energjisë elektrike të furnizuar klientëve fundorë (</w:t>
      </w:r>
      <w:proofErr w:type="spellStart"/>
      <w:r w:rsidRPr="00E15B09">
        <w:rPr>
          <w:rFonts w:ascii="Garamond" w:hAnsi="Garamond" w:cs="Times New Roman"/>
          <w:b/>
          <w:bCs/>
          <w:i/>
          <w:color w:val="000000"/>
          <w:sz w:val="24"/>
          <w:szCs w:val="24"/>
        </w:rPr>
        <w:t>Supplier</w:t>
      </w:r>
      <w:proofErr w:type="spellEnd"/>
      <w:r w:rsidRPr="00E15B09">
        <w:rPr>
          <w:rFonts w:ascii="Garamond" w:hAnsi="Garamond" w:cs="Times New Roman"/>
          <w:b/>
          <w:bCs/>
          <w:i/>
          <w:color w:val="000000"/>
          <w:sz w:val="24"/>
          <w:szCs w:val="24"/>
        </w:rPr>
        <w:t xml:space="preserve"> </w:t>
      </w:r>
      <w:proofErr w:type="spellStart"/>
      <w:r w:rsidRPr="00E15B09">
        <w:rPr>
          <w:rFonts w:ascii="Garamond" w:hAnsi="Garamond" w:cs="Times New Roman"/>
          <w:b/>
          <w:bCs/>
          <w:i/>
          <w:color w:val="000000"/>
          <w:sz w:val="24"/>
          <w:szCs w:val="24"/>
        </w:rPr>
        <w:t>Mix</w:t>
      </w:r>
      <w:proofErr w:type="spellEnd"/>
      <w:r w:rsidRPr="00E15B09">
        <w:rPr>
          <w:rFonts w:ascii="Garamond" w:hAnsi="Garamond" w:cs="Times New Roman"/>
          <w:b/>
          <w:bCs/>
          <w:color w:val="000000"/>
          <w:sz w:val="24"/>
          <w:szCs w:val="24"/>
        </w:rPr>
        <w:t xml:space="preserve"> – SM)</w:t>
      </w:r>
      <w:r w:rsidRPr="00E15B09">
        <w:rPr>
          <w:rFonts w:ascii="Garamond" w:hAnsi="Garamond" w:cs="Times New Roman"/>
          <w:bCs/>
          <w:color w:val="000000"/>
          <w:sz w:val="24"/>
          <w:szCs w:val="24"/>
        </w:rPr>
        <w:t>”</w:t>
      </w:r>
      <w:r w:rsidRPr="00E15B09">
        <w:rPr>
          <w:rFonts w:ascii="Garamond" w:hAnsi="Garamond" w:cs="Times New Roman"/>
          <w:color w:val="000000"/>
          <w:sz w:val="24"/>
          <w:szCs w:val="24"/>
        </w:rPr>
        <w:t xml:space="preserve"> është përbërja sipas burimeve të energjisë e energjisë elektrike të furnizuar nga një furnizues, e llogaritur në përputhje me kë</w:t>
      </w:r>
      <w:r w:rsidR="00E15B09">
        <w:rPr>
          <w:rFonts w:ascii="Garamond" w:hAnsi="Garamond" w:cs="Times New Roman"/>
          <w:color w:val="000000"/>
          <w:sz w:val="24"/>
          <w:szCs w:val="24"/>
        </w:rPr>
        <w:t>të rregullore dhe metodologjinë;</w:t>
      </w:r>
    </w:p>
    <w:p w14:paraId="1E1C8766" w14:textId="4B5DA8D7" w:rsidR="00623CEE" w:rsidRPr="00E15B09" w:rsidRDefault="00623CEE" w:rsidP="00623CEE">
      <w:pPr>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f)</w:t>
      </w:r>
      <w:r w:rsidRPr="00E15B09">
        <w:rPr>
          <w:rFonts w:ascii="Garamond" w:hAnsi="Garamond" w:cs="Times New Roman"/>
          <w:b/>
          <w:bCs/>
          <w:color w:val="000000"/>
          <w:sz w:val="24"/>
          <w:szCs w:val="24"/>
        </w:rPr>
        <w:t xml:space="preserve"> </w:t>
      </w:r>
      <w:r w:rsidRPr="00E15B09">
        <w:rPr>
          <w:rFonts w:ascii="Garamond" w:hAnsi="Garamond" w:cs="Times New Roman"/>
          <w:bCs/>
          <w:color w:val="000000"/>
          <w:sz w:val="24"/>
          <w:szCs w:val="24"/>
        </w:rPr>
        <w:t>“</w:t>
      </w:r>
      <w:r w:rsidR="00E15B09" w:rsidRPr="00E15B09">
        <w:rPr>
          <w:rFonts w:ascii="Garamond" w:hAnsi="Garamond" w:cs="Times New Roman"/>
          <w:b/>
          <w:bCs/>
          <w:color w:val="000000"/>
          <w:sz w:val="24"/>
          <w:szCs w:val="24"/>
        </w:rPr>
        <w:t xml:space="preserve">Modeli </w:t>
      </w:r>
      <w:r w:rsidRPr="00E15B09">
        <w:rPr>
          <w:rFonts w:ascii="Garamond" w:hAnsi="Garamond" w:cs="Times New Roman"/>
          <w:b/>
          <w:bCs/>
          <w:color w:val="000000"/>
          <w:sz w:val="24"/>
          <w:szCs w:val="24"/>
        </w:rPr>
        <w:t>tarifor</w:t>
      </w:r>
      <w:r w:rsidRPr="00E15B09">
        <w:rPr>
          <w:rFonts w:ascii="Garamond" w:hAnsi="Garamond" w:cs="Times New Roman"/>
          <w:bCs/>
          <w:color w:val="000000"/>
          <w:sz w:val="24"/>
          <w:szCs w:val="24"/>
        </w:rPr>
        <w:t>”</w:t>
      </w:r>
      <w:r w:rsidRPr="00E15B09">
        <w:rPr>
          <w:rFonts w:ascii="Garamond" w:hAnsi="Garamond" w:cs="Times New Roman"/>
          <w:color w:val="000000"/>
          <w:sz w:val="24"/>
          <w:szCs w:val="24"/>
        </w:rPr>
        <w:t xml:space="preserve"> është oferta e furnizuesit për klientin fundor, që lidhet me pjesën e burimeve të </w:t>
      </w:r>
      <w:proofErr w:type="spellStart"/>
      <w:r w:rsidRPr="00E15B09">
        <w:rPr>
          <w:rFonts w:ascii="Garamond" w:hAnsi="Garamond" w:cs="Times New Roman"/>
          <w:color w:val="000000"/>
          <w:sz w:val="24"/>
          <w:szCs w:val="24"/>
        </w:rPr>
        <w:t>rinovueshme</w:t>
      </w:r>
      <w:proofErr w:type="spellEnd"/>
      <w:r w:rsidRPr="00E15B09">
        <w:rPr>
          <w:rFonts w:ascii="Garamond" w:hAnsi="Garamond" w:cs="Times New Roman"/>
          <w:color w:val="000000"/>
          <w:sz w:val="24"/>
          <w:szCs w:val="24"/>
        </w:rPr>
        <w:t xml:space="preserve"> në energjinë elektrike të furnizuar. Modeli tarifor mund të jetë: </w:t>
      </w:r>
    </w:p>
    <w:p w14:paraId="47830D60" w14:textId="638A9398" w:rsidR="00623CEE" w:rsidRPr="00E15B09" w:rsidRDefault="00623CEE" w:rsidP="00623CEE">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 xml:space="preserve">g) </w:t>
      </w:r>
      <w:r w:rsidRPr="00E15B09">
        <w:rPr>
          <w:rFonts w:ascii="Garamond" w:hAnsi="Garamond" w:cs="Times New Roman"/>
          <w:b/>
          <w:bCs/>
          <w:color w:val="000000"/>
          <w:sz w:val="24"/>
          <w:szCs w:val="24"/>
        </w:rPr>
        <w:t>pa strukturë të garantuar</w:t>
      </w:r>
      <w:r w:rsidRPr="00E15B09">
        <w:rPr>
          <w:rFonts w:ascii="Garamond" w:hAnsi="Garamond" w:cs="Times New Roman"/>
          <w:color w:val="000000"/>
          <w:sz w:val="24"/>
          <w:szCs w:val="24"/>
        </w:rPr>
        <w:t xml:space="preserve"> – model me të cilin furnizuesi nuk angazhohet ndaj klientëve fundorë </w:t>
      </w:r>
      <w:r w:rsidR="00E15B09" w:rsidRPr="00A70E6A">
        <w:rPr>
          <w:rFonts w:ascii="Garamond" w:hAnsi="Garamond" w:cs="Times New Roman"/>
          <w:color w:val="000000"/>
          <w:sz w:val="24"/>
          <w:szCs w:val="24"/>
        </w:rPr>
        <w:t xml:space="preserve">që </w:t>
      </w:r>
      <w:r w:rsidRPr="00A70E6A">
        <w:rPr>
          <w:rFonts w:ascii="Garamond" w:hAnsi="Garamond" w:cs="Times New Roman"/>
          <w:color w:val="000000"/>
          <w:sz w:val="24"/>
          <w:szCs w:val="24"/>
        </w:rPr>
        <w:t>të</w:t>
      </w:r>
      <w:r w:rsidRPr="00E15B09">
        <w:rPr>
          <w:rFonts w:ascii="Garamond" w:hAnsi="Garamond" w:cs="Times New Roman"/>
          <w:color w:val="000000"/>
          <w:sz w:val="24"/>
          <w:szCs w:val="24"/>
        </w:rPr>
        <w:t xml:space="preserve"> sigurojë një pjesë të caktuar ose pjesë, të </w:t>
      </w:r>
      <w:proofErr w:type="spellStart"/>
      <w:r w:rsidRPr="00E15B09">
        <w:rPr>
          <w:rFonts w:ascii="Garamond" w:hAnsi="Garamond" w:cs="Times New Roman"/>
          <w:color w:val="000000"/>
          <w:sz w:val="24"/>
          <w:szCs w:val="24"/>
        </w:rPr>
        <w:t>të</w:t>
      </w:r>
      <w:proofErr w:type="spellEnd"/>
      <w:r w:rsidRPr="00E15B09">
        <w:rPr>
          <w:rFonts w:ascii="Garamond" w:hAnsi="Garamond" w:cs="Times New Roman"/>
          <w:color w:val="000000"/>
          <w:sz w:val="24"/>
          <w:szCs w:val="24"/>
        </w:rPr>
        <w:t xml:space="preserve"> gjitha ose individuale, të burimeve të </w:t>
      </w:r>
      <w:proofErr w:type="spellStart"/>
      <w:r w:rsidRPr="00E15B09">
        <w:rPr>
          <w:rFonts w:ascii="Garamond" w:hAnsi="Garamond" w:cs="Times New Roman"/>
          <w:color w:val="000000"/>
          <w:sz w:val="24"/>
          <w:szCs w:val="24"/>
        </w:rPr>
        <w:t>rinovueshme</w:t>
      </w:r>
      <w:proofErr w:type="spellEnd"/>
      <w:r w:rsidRPr="00E15B09">
        <w:rPr>
          <w:rFonts w:ascii="Garamond" w:hAnsi="Garamond" w:cs="Times New Roman"/>
          <w:color w:val="000000"/>
          <w:sz w:val="24"/>
          <w:szCs w:val="24"/>
        </w:rPr>
        <w:t xml:space="preserve"> të energjisë në energjinë elektrike të furnizuar; dhe </w:t>
      </w:r>
    </w:p>
    <w:p w14:paraId="09A4F3FF" w14:textId="77777777" w:rsidR="00623CEE" w:rsidRPr="00E15B09" w:rsidRDefault="00623CEE" w:rsidP="00623CEE">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 xml:space="preserve">i) </w:t>
      </w:r>
      <w:r w:rsidRPr="00E15B09">
        <w:rPr>
          <w:rFonts w:ascii="Garamond" w:hAnsi="Garamond" w:cs="Times New Roman"/>
          <w:b/>
          <w:bCs/>
          <w:color w:val="000000"/>
          <w:sz w:val="24"/>
          <w:szCs w:val="24"/>
        </w:rPr>
        <w:t>me strukturë të garantuar</w:t>
      </w:r>
      <w:r w:rsidRPr="00E15B09">
        <w:rPr>
          <w:rFonts w:ascii="Garamond" w:hAnsi="Garamond" w:cs="Times New Roman"/>
          <w:color w:val="000000"/>
          <w:sz w:val="24"/>
          <w:szCs w:val="24"/>
        </w:rPr>
        <w:t xml:space="preserve"> – model me të cilin furnizuesi angazhohet të sigurojë për klientët fundorë një pjesë të caktuar ose pjesë, të </w:t>
      </w:r>
      <w:proofErr w:type="spellStart"/>
      <w:r w:rsidRPr="00E15B09">
        <w:rPr>
          <w:rFonts w:ascii="Garamond" w:hAnsi="Garamond" w:cs="Times New Roman"/>
          <w:color w:val="000000"/>
          <w:sz w:val="24"/>
          <w:szCs w:val="24"/>
        </w:rPr>
        <w:t>të</w:t>
      </w:r>
      <w:proofErr w:type="spellEnd"/>
      <w:r w:rsidRPr="00E15B09">
        <w:rPr>
          <w:rFonts w:ascii="Garamond" w:hAnsi="Garamond" w:cs="Times New Roman"/>
          <w:color w:val="000000"/>
          <w:sz w:val="24"/>
          <w:szCs w:val="24"/>
        </w:rPr>
        <w:t xml:space="preserve"> gjitha ose individuale, të burimeve të </w:t>
      </w:r>
      <w:proofErr w:type="spellStart"/>
      <w:r w:rsidRPr="00E15B09">
        <w:rPr>
          <w:rFonts w:ascii="Garamond" w:hAnsi="Garamond" w:cs="Times New Roman"/>
          <w:color w:val="000000"/>
          <w:sz w:val="24"/>
          <w:szCs w:val="24"/>
        </w:rPr>
        <w:t>rinovueshme</w:t>
      </w:r>
      <w:proofErr w:type="spellEnd"/>
      <w:r w:rsidRPr="00E15B09">
        <w:rPr>
          <w:rFonts w:ascii="Garamond" w:hAnsi="Garamond" w:cs="Times New Roman"/>
          <w:color w:val="000000"/>
          <w:sz w:val="24"/>
          <w:szCs w:val="24"/>
        </w:rPr>
        <w:t xml:space="preserve"> të energjisë në energjinë elektrike të furnizuar, në bazë të deklaratës për përdorimin e garancisë së origjinës;</w:t>
      </w:r>
    </w:p>
    <w:p w14:paraId="18312221" w14:textId="2FAE5B34" w:rsidR="00623CEE" w:rsidRPr="00E15B09" w:rsidRDefault="00623CEE" w:rsidP="00623CEE">
      <w:pPr>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gj)</w:t>
      </w:r>
      <w:r w:rsidRPr="00E15B09">
        <w:rPr>
          <w:rFonts w:ascii="Garamond" w:hAnsi="Garamond" w:cs="Times New Roman"/>
          <w:b/>
          <w:bCs/>
          <w:color w:val="000000"/>
          <w:sz w:val="24"/>
          <w:szCs w:val="24"/>
        </w:rPr>
        <w:t xml:space="preserve"> </w:t>
      </w:r>
      <w:r w:rsidRPr="00E15B09">
        <w:rPr>
          <w:rFonts w:ascii="Garamond" w:hAnsi="Garamond" w:cs="Times New Roman"/>
          <w:bCs/>
          <w:color w:val="000000"/>
          <w:sz w:val="24"/>
          <w:szCs w:val="24"/>
        </w:rPr>
        <w:t>“</w:t>
      </w:r>
      <w:r w:rsidRPr="00E15B09">
        <w:rPr>
          <w:rFonts w:ascii="Garamond" w:hAnsi="Garamond" w:cs="Times New Roman"/>
          <w:b/>
          <w:bCs/>
          <w:color w:val="000000"/>
          <w:sz w:val="24"/>
          <w:szCs w:val="24"/>
        </w:rPr>
        <w:t>Suficit i atributeve</w:t>
      </w:r>
      <w:r w:rsidRPr="00E15B09">
        <w:rPr>
          <w:rFonts w:ascii="Garamond" w:hAnsi="Garamond" w:cs="Times New Roman"/>
          <w:bCs/>
          <w:color w:val="000000"/>
          <w:sz w:val="24"/>
          <w:szCs w:val="24"/>
        </w:rPr>
        <w:t>”</w:t>
      </w:r>
      <w:r w:rsidRPr="00E15B09">
        <w:rPr>
          <w:rFonts w:ascii="Garamond" w:hAnsi="Garamond" w:cs="Times New Roman"/>
          <w:color w:val="000000"/>
          <w:sz w:val="24"/>
          <w:szCs w:val="24"/>
        </w:rPr>
        <w:t xml:space="preserve"> është diferenca pozitive ndërmjet Përzierjes së Mbetur Kombëtar</w:t>
      </w:r>
      <w:r w:rsidR="00E15B09">
        <w:rPr>
          <w:rFonts w:ascii="Garamond" w:hAnsi="Garamond" w:cs="Times New Roman"/>
          <w:color w:val="000000"/>
          <w:sz w:val="24"/>
          <w:szCs w:val="24"/>
        </w:rPr>
        <w:t xml:space="preserve">e dhe Konsumit të </w:t>
      </w:r>
      <w:proofErr w:type="spellStart"/>
      <w:r w:rsidR="00E15B09">
        <w:rPr>
          <w:rFonts w:ascii="Garamond" w:hAnsi="Garamond" w:cs="Times New Roman"/>
          <w:color w:val="000000"/>
          <w:sz w:val="24"/>
          <w:szCs w:val="24"/>
        </w:rPr>
        <w:t>Pagjurmueshëm</w:t>
      </w:r>
      <w:proofErr w:type="spellEnd"/>
      <w:r w:rsidR="00E15B09">
        <w:rPr>
          <w:rFonts w:ascii="Garamond" w:hAnsi="Garamond" w:cs="Times New Roman"/>
          <w:color w:val="000000"/>
          <w:sz w:val="24"/>
          <w:szCs w:val="24"/>
        </w:rPr>
        <w:t>;</w:t>
      </w:r>
    </w:p>
    <w:p w14:paraId="2FF71113" w14:textId="4D5ADA5F" w:rsidR="00623CEE" w:rsidRPr="00E15B09" w:rsidRDefault="00623CEE" w:rsidP="00623CEE">
      <w:pPr>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h)</w:t>
      </w:r>
      <w:r w:rsidRPr="00E15B09">
        <w:rPr>
          <w:rFonts w:ascii="Garamond" w:hAnsi="Garamond" w:cs="Times New Roman"/>
          <w:b/>
          <w:bCs/>
          <w:color w:val="000000"/>
          <w:sz w:val="24"/>
          <w:szCs w:val="24"/>
        </w:rPr>
        <w:t xml:space="preserve"> </w:t>
      </w:r>
      <w:r w:rsidRPr="00E15B09">
        <w:rPr>
          <w:rFonts w:ascii="Garamond" w:hAnsi="Garamond" w:cs="Times New Roman"/>
          <w:bCs/>
          <w:color w:val="000000"/>
          <w:sz w:val="24"/>
          <w:szCs w:val="24"/>
        </w:rPr>
        <w:t>“</w:t>
      </w:r>
      <w:r w:rsidRPr="00E15B09">
        <w:rPr>
          <w:rFonts w:ascii="Garamond" w:hAnsi="Garamond" w:cs="Times New Roman"/>
          <w:b/>
          <w:bCs/>
          <w:color w:val="000000"/>
          <w:sz w:val="24"/>
          <w:szCs w:val="24"/>
        </w:rPr>
        <w:t>Deficit i atributeve</w:t>
      </w:r>
      <w:r w:rsidRPr="00E15B09">
        <w:rPr>
          <w:rFonts w:ascii="Garamond" w:hAnsi="Garamond" w:cs="Times New Roman"/>
          <w:bCs/>
          <w:color w:val="000000"/>
          <w:sz w:val="24"/>
          <w:szCs w:val="24"/>
        </w:rPr>
        <w:t>”</w:t>
      </w:r>
      <w:r w:rsidRPr="00E15B09">
        <w:rPr>
          <w:rFonts w:ascii="Garamond" w:hAnsi="Garamond" w:cs="Times New Roman"/>
          <w:color w:val="000000"/>
          <w:sz w:val="24"/>
          <w:szCs w:val="24"/>
        </w:rPr>
        <w:t xml:space="preserve"> është diferenca pozitive ndërmjet Konsumit të </w:t>
      </w:r>
      <w:proofErr w:type="spellStart"/>
      <w:r w:rsidRPr="00E15B09">
        <w:rPr>
          <w:rFonts w:ascii="Garamond" w:hAnsi="Garamond" w:cs="Times New Roman"/>
          <w:color w:val="000000"/>
          <w:sz w:val="24"/>
          <w:szCs w:val="24"/>
        </w:rPr>
        <w:t>Pagjurmueshëm</w:t>
      </w:r>
      <w:proofErr w:type="spellEnd"/>
      <w:r w:rsidRPr="00E15B09">
        <w:rPr>
          <w:rFonts w:ascii="Garamond" w:hAnsi="Garamond" w:cs="Times New Roman"/>
          <w:color w:val="000000"/>
          <w:sz w:val="24"/>
          <w:szCs w:val="24"/>
        </w:rPr>
        <w:t xml:space="preserve"> dhe</w:t>
      </w:r>
      <w:r w:rsidR="00E15B09">
        <w:rPr>
          <w:rFonts w:ascii="Garamond" w:hAnsi="Garamond" w:cs="Times New Roman"/>
          <w:color w:val="000000"/>
          <w:sz w:val="24"/>
          <w:szCs w:val="24"/>
        </w:rPr>
        <w:t xml:space="preserve"> Përzierjes së Mbetur Kombëtare;</w:t>
      </w:r>
    </w:p>
    <w:p w14:paraId="3456CB83" w14:textId="77777777" w:rsidR="00623CEE" w:rsidRPr="00E15B09" w:rsidRDefault="00623CEE" w:rsidP="00623CEE">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i)</w:t>
      </w:r>
      <w:r w:rsidRPr="00E15B09">
        <w:rPr>
          <w:rFonts w:ascii="Garamond" w:hAnsi="Garamond" w:cs="Times New Roman"/>
          <w:b/>
          <w:bCs/>
          <w:color w:val="000000"/>
          <w:sz w:val="24"/>
          <w:szCs w:val="24"/>
        </w:rPr>
        <w:t xml:space="preserve"> </w:t>
      </w:r>
      <w:r w:rsidRPr="00E15B09">
        <w:rPr>
          <w:rFonts w:ascii="Garamond" w:hAnsi="Garamond" w:cs="Times New Roman"/>
          <w:bCs/>
          <w:color w:val="000000"/>
          <w:sz w:val="24"/>
          <w:szCs w:val="24"/>
        </w:rPr>
        <w:t>“</w:t>
      </w:r>
      <w:r w:rsidRPr="00E15B09">
        <w:rPr>
          <w:rFonts w:ascii="Garamond" w:hAnsi="Garamond" w:cs="Times New Roman"/>
          <w:b/>
          <w:bCs/>
          <w:color w:val="000000"/>
          <w:sz w:val="24"/>
          <w:szCs w:val="24"/>
        </w:rPr>
        <w:t>Kontribut në Përzierjen Evropiane të Atributeve</w:t>
      </w:r>
      <w:r w:rsidRPr="00E15B09">
        <w:rPr>
          <w:rFonts w:ascii="Garamond" w:hAnsi="Garamond" w:cs="Times New Roman"/>
          <w:bCs/>
          <w:color w:val="000000"/>
          <w:sz w:val="24"/>
          <w:szCs w:val="24"/>
        </w:rPr>
        <w:t>”</w:t>
      </w:r>
      <w:r w:rsidRPr="00E15B09">
        <w:rPr>
          <w:rFonts w:ascii="Garamond" w:hAnsi="Garamond" w:cs="Times New Roman"/>
          <w:color w:val="000000"/>
          <w:sz w:val="24"/>
          <w:szCs w:val="24"/>
        </w:rPr>
        <w:t xml:space="preserve"> është vëllimi i atributeve për secilin burim energjie që transferohet nga një vend me suficit atributesh në Përzierjen Evropiane të Atributeve.</w:t>
      </w:r>
    </w:p>
    <w:p w14:paraId="00CA309E" w14:textId="77777777" w:rsidR="00623CEE" w:rsidRPr="00E15B09" w:rsidRDefault="00623CEE" w:rsidP="00623CEE">
      <w:pPr>
        <w:autoSpaceDE w:val="0"/>
        <w:autoSpaceDN w:val="0"/>
        <w:adjustRightInd w:val="0"/>
        <w:spacing w:after="0" w:line="240" w:lineRule="auto"/>
        <w:ind w:firstLine="284"/>
        <w:jc w:val="center"/>
        <w:rPr>
          <w:rFonts w:ascii="Garamond" w:hAnsi="Garamond" w:cs="Times New Roman"/>
          <w:bCs/>
          <w:color w:val="000000"/>
          <w:sz w:val="24"/>
          <w:szCs w:val="24"/>
        </w:rPr>
      </w:pPr>
      <w:r w:rsidRPr="00E15B09">
        <w:rPr>
          <w:rFonts w:ascii="Garamond" w:hAnsi="Garamond" w:cs="Times New Roman"/>
          <w:bCs/>
          <w:color w:val="000000"/>
          <w:sz w:val="24"/>
          <w:szCs w:val="24"/>
        </w:rPr>
        <w:t>Neni 3</w:t>
      </w:r>
    </w:p>
    <w:p w14:paraId="67B7D093" w14:textId="31784AD3" w:rsidR="00623CEE" w:rsidRDefault="00623CEE" w:rsidP="00623CEE">
      <w:pPr>
        <w:autoSpaceDE w:val="0"/>
        <w:autoSpaceDN w:val="0"/>
        <w:adjustRightInd w:val="0"/>
        <w:spacing w:after="0" w:line="240" w:lineRule="auto"/>
        <w:ind w:firstLine="284"/>
        <w:jc w:val="center"/>
        <w:rPr>
          <w:rFonts w:ascii="Garamond" w:hAnsi="Garamond" w:cs="Times New Roman"/>
          <w:b/>
          <w:bCs/>
          <w:color w:val="000000"/>
          <w:sz w:val="24"/>
          <w:szCs w:val="24"/>
        </w:rPr>
      </w:pPr>
      <w:r w:rsidRPr="00E15B09">
        <w:rPr>
          <w:rFonts w:ascii="Garamond" w:hAnsi="Garamond" w:cs="Times New Roman"/>
          <w:b/>
          <w:bCs/>
          <w:color w:val="000000"/>
          <w:sz w:val="24"/>
          <w:szCs w:val="24"/>
        </w:rPr>
        <w:t>Llogaritja e strukturës së burimeve të energjisë elektrike të furnizuar klientëve fundorë</w:t>
      </w:r>
    </w:p>
    <w:p w14:paraId="6EDB5219" w14:textId="77777777" w:rsidR="00E15B09" w:rsidRPr="00E15B09" w:rsidRDefault="00E15B09" w:rsidP="00623CEE">
      <w:pPr>
        <w:autoSpaceDE w:val="0"/>
        <w:autoSpaceDN w:val="0"/>
        <w:adjustRightInd w:val="0"/>
        <w:spacing w:after="0" w:line="240" w:lineRule="auto"/>
        <w:ind w:firstLine="284"/>
        <w:jc w:val="center"/>
        <w:rPr>
          <w:rFonts w:ascii="Garamond" w:hAnsi="Garamond" w:cs="Times New Roman"/>
          <w:color w:val="000000"/>
          <w:sz w:val="24"/>
          <w:szCs w:val="24"/>
        </w:rPr>
      </w:pPr>
    </w:p>
    <w:p w14:paraId="11C97392" w14:textId="579513D2" w:rsidR="00623CEE" w:rsidRPr="00E15B09" w:rsidRDefault="00623CEE" w:rsidP="00623CEE">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1. Për çdo vit kalendarik paraardhës, furnizuesi llogarit strukturën e burimeve të energjisë elektrike të furnizuar:</w:t>
      </w:r>
    </w:p>
    <w:p w14:paraId="786350A6" w14:textId="0ED7B3C0" w:rsidR="00623CEE" w:rsidRPr="00E15B09" w:rsidRDefault="00623CEE" w:rsidP="00623CEE">
      <w:pPr>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lastRenderedPageBreak/>
        <w:t>a) për të gjithë klientët e tij fundorë;</w:t>
      </w:r>
    </w:p>
    <w:p w14:paraId="1519DB61" w14:textId="141508F4" w:rsidR="00623CEE" w:rsidRPr="00E15B09" w:rsidRDefault="00623CEE" w:rsidP="00623CEE">
      <w:pPr>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b) për klientët fundorë që furnizohen sipas të njëjtit model tarifor.</w:t>
      </w:r>
    </w:p>
    <w:p w14:paraId="1C01E172" w14:textId="5CA90894" w:rsidR="00623CEE" w:rsidRPr="00E15B09" w:rsidRDefault="00623CEE" w:rsidP="00623CEE">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 xml:space="preserve">2. Furnizuesi llogarit strukturën e burimeve të energjisë elektrike, të përcaktuar në pikën 1 të këtij neni, sipas parashikimeve të nenit 10, të </w:t>
      </w:r>
      <w:r w:rsidR="00E15B09">
        <w:rPr>
          <w:rFonts w:ascii="Garamond" w:hAnsi="Garamond" w:cs="Times New Roman"/>
          <w:color w:val="000000"/>
          <w:sz w:val="24"/>
          <w:szCs w:val="24"/>
        </w:rPr>
        <w:t>s</w:t>
      </w:r>
      <w:r w:rsidRPr="00E15B09">
        <w:rPr>
          <w:rFonts w:ascii="Garamond" w:hAnsi="Garamond" w:cs="Times New Roman"/>
          <w:color w:val="000000"/>
          <w:sz w:val="24"/>
          <w:szCs w:val="24"/>
        </w:rPr>
        <w:t>htojcës 1</w:t>
      </w:r>
      <w:r w:rsidR="00E15B09">
        <w:rPr>
          <w:rFonts w:ascii="Garamond" w:hAnsi="Garamond" w:cs="Times New Roman"/>
          <w:color w:val="000000"/>
          <w:sz w:val="24"/>
          <w:szCs w:val="24"/>
        </w:rPr>
        <w:t>,</w:t>
      </w:r>
      <w:r w:rsidRPr="00E15B09">
        <w:rPr>
          <w:rFonts w:ascii="Garamond" w:hAnsi="Garamond" w:cs="Times New Roman"/>
          <w:color w:val="000000"/>
          <w:sz w:val="24"/>
          <w:szCs w:val="24"/>
        </w:rPr>
        <w:t xml:space="preserve"> bashkëlidhur kësaj rregullore</w:t>
      </w:r>
      <w:r w:rsidR="00E15B09">
        <w:rPr>
          <w:rFonts w:ascii="Garamond" w:hAnsi="Garamond" w:cs="Times New Roman"/>
          <w:color w:val="000000"/>
          <w:sz w:val="24"/>
          <w:szCs w:val="24"/>
        </w:rPr>
        <w:t>je</w:t>
      </w:r>
      <w:r w:rsidRPr="00E15B09">
        <w:rPr>
          <w:rFonts w:ascii="Garamond" w:hAnsi="Garamond" w:cs="Times New Roman"/>
          <w:color w:val="000000"/>
          <w:sz w:val="24"/>
          <w:szCs w:val="24"/>
        </w:rPr>
        <w:t>.</w:t>
      </w:r>
    </w:p>
    <w:p w14:paraId="0F3297A7" w14:textId="3787B731" w:rsidR="00623CEE" w:rsidRPr="00E15B09" w:rsidRDefault="00623CEE" w:rsidP="00623CEE">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3. Gjatë llogaritjes së strukturës së burimeve të energjisë elektrike, furnizuesi përdor të dhënat e publikuara nga Enti Rregullator i Energjisë në raportin vjetor të përzierjes së mbetur, sipas nenit 7 të kësaj rregulloreje.</w:t>
      </w:r>
    </w:p>
    <w:p w14:paraId="22F08EDA" w14:textId="77777777" w:rsidR="00623CEE" w:rsidRPr="00E15B09" w:rsidRDefault="00623CEE" w:rsidP="00623CEE">
      <w:pPr>
        <w:autoSpaceDE w:val="0"/>
        <w:autoSpaceDN w:val="0"/>
        <w:adjustRightInd w:val="0"/>
        <w:spacing w:after="0" w:line="240" w:lineRule="auto"/>
        <w:ind w:firstLine="284"/>
        <w:jc w:val="both"/>
        <w:rPr>
          <w:rFonts w:ascii="Garamond" w:hAnsi="Garamond" w:cs="Times New Roman"/>
          <w:color w:val="000000"/>
          <w:sz w:val="24"/>
          <w:szCs w:val="24"/>
        </w:rPr>
      </w:pPr>
    </w:p>
    <w:p w14:paraId="01A508FB" w14:textId="77777777" w:rsidR="00623CEE" w:rsidRPr="00E15B09" w:rsidRDefault="00623CEE" w:rsidP="00623CEE">
      <w:pPr>
        <w:autoSpaceDE w:val="0"/>
        <w:autoSpaceDN w:val="0"/>
        <w:adjustRightInd w:val="0"/>
        <w:spacing w:after="0" w:line="240" w:lineRule="auto"/>
        <w:ind w:firstLine="284"/>
        <w:jc w:val="center"/>
        <w:rPr>
          <w:rFonts w:ascii="Garamond" w:hAnsi="Garamond" w:cs="Times New Roman"/>
          <w:bCs/>
          <w:color w:val="000000"/>
          <w:sz w:val="24"/>
          <w:szCs w:val="24"/>
        </w:rPr>
      </w:pPr>
      <w:r w:rsidRPr="00E15B09">
        <w:rPr>
          <w:rFonts w:ascii="Garamond" w:hAnsi="Garamond" w:cs="Times New Roman"/>
          <w:bCs/>
          <w:color w:val="000000"/>
          <w:sz w:val="24"/>
          <w:szCs w:val="24"/>
        </w:rPr>
        <w:t>Neni 4</w:t>
      </w:r>
    </w:p>
    <w:p w14:paraId="3356391C" w14:textId="77777777" w:rsidR="00623CEE" w:rsidRPr="00E15B09" w:rsidRDefault="00623CEE" w:rsidP="00623CEE">
      <w:pPr>
        <w:autoSpaceDE w:val="0"/>
        <w:autoSpaceDN w:val="0"/>
        <w:adjustRightInd w:val="0"/>
        <w:spacing w:after="0" w:line="240" w:lineRule="auto"/>
        <w:ind w:firstLine="284"/>
        <w:jc w:val="center"/>
        <w:rPr>
          <w:rFonts w:ascii="Garamond" w:hAnsi="Garamond" w:cs="Times New Roman"/>
          <w:b/>
          <w:bCs/>
          <w:color w:val="000000"/>
          <w:sz w:val="24"/>
          <w:szCs w:val="24"/>
        </w:rPr>
      </w:pPr>
      <w:r w:rsidRPr="00E15B09">
        <w:rPr>
          <w:rFonts w:ascii="Garamond" w:hAnsi="Garamond" w:cs="Times New Roman"/>
          <w:b/>
          <w:bCs/>
          <w:color w:val="000000"/>
          <w:sz w:val="24"/>
          <w:szCs w:val="24"/>
        </w:rPr>
        <w:t>Raporti i furnizuesit</w:t>
      </w:r>
    </w:p>
    <w:p w14:paraId="0DD9BC4C" w14:textId="77777777" w:rsidR="00623CEE" w:rsidRPr="00E15B09" w:rsidRDefault="00623CEE" w:rsidP="00623CEE">
      <w:pPr>
        <w:autoSpaceDE w:val="0"/>
        <w:autoSpaceDN w:val="0"/>
        <w:adjustRightInd w:val="0"/>
        <w:spacing w:after="0" w:line="240" w:lineRule="auto"/>
        <w:ind w:firstLine="284"/>
        <w:jc w:val="center"/>
        <w:rPr>
          <w:rFonts w:ascii="Garamond" w:hAnsi="Garamond" w:cs="Times New Roman"/>
          <w:b/>
          <w:bCs/>
          <w:color w:val="000000"/>
          <w:sz w:val="24"/>
          <w:szCs w:val="24"/>
        </w:rPr>
      </w:pPr>
    </w:p>
    <w:p w14:paraId="75195568" w14:textId="447F2BDB" w:rsidR="00623CEE" w:rsidRPr="00E15B09" w:rsidRDefault="00623CEE" w:rsidP="00623CEE">
      <w:pPr>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1. Për çdo vit kalendarik paraardhës, furnizuesi përgatit raportin mbi strukturën e burimeve të energjisë elektrike të furnizuar klientit fundor, të llogaritur në përputhje me nenin 3 të kësaj rregulloreje. Raporti i dorëzohet klientit fundor si pjesë përbërëse e faturës së energjisë elektrike, ose së bashku me të, për faturën e muajit qershor të vitit pasardhës.</w:t>
      </w:r>
    </w:p>
    <w:p w14:paraId="67EE7C44" w14:textId="00820A2E" w:rsidR="00623CEE" w:rsidRPr="00E15B09" w:rsidRDefault="00623CEE" w:rsidP="00623CEE">
      <w:pPr>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2. Klienti fundor që ka ndryshuar furnizues gjatë periudhës së raportimit ka të drejtë t’i kërkojë furnizuesit të mëparshëm raportin e përcaktuar, sipas pikës 1 të këtij neni.</w:t>
      </w:r>
    </w:p>
    <w:p w14:paraId="43221A24" w14:textId="3829CA82" w:rsidR="00623CEE" w:rsidRPr="00E15B09" w:rsidRDefault="00623CEE" w:rsidP="00623CEE">
      <w:pPr>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3. Furnizuesi është i detyruar t’i dorëzojë klientit fundor raportin e kërkuar sipas pikës 2 të këtij neni.</w:t>
      </w:r>
    </w:p>
    <w:p w14:paraId="0E519DF7" w14:textId="685FCB59" w:rsidR="00623CEE" w:rsidRPr="00E15B09" w:rsidRDefault="00623CEE" w:rsidP="00623CEE">
      <w:pPr>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4. Për klientët fundorë që kanë më shumë se një pikë matjeje për qëllime faturimi, furnizuesi përgatit një raport të veçantë për secilën pikë matjeje.</w:t>
      </w:r>
    </w:p>
    <w:p w14:paraId="6C25B9C3" w14:textId="7BDCCDD6" w:rsidR="00623CEE" w:rsidRPr="00E15B09" w:rsidRDefault="00623CEE" w:rsidP="00623CEE">
      <w:pPr>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5. Kur furnizuesi dhe klienti fundor kanë lidhur më shumë se një kontratë furnizimi me energji elektrike për modele të ndryshme tarifore, por me të njëjtën strukturë të burimeve të energjisë elektrike, furnizuesi mund të përgatisë një raport të vetëm për këto modele tarifore.</w:t>
      </w:r>
    </w:p>
    <w:p w14:paraId="7E544E0B" w14:textId="6261B0EF" w:rsidR="00623CEE" w:rsidRPr="00E15B09" w:rsidRDefault="00623CEE" w:rsidP="00623CEE">
      <w:pPr>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6. Kur klienti fundor, gjatë periudhës së raportimit, ka ndryshuar modelin tarifor të furnizimit me energji elektrike pranë të njëjtit furnizues, furnizuesi përgatit dhe i dorëzon raport të veçantë për secilin model tarifor të përdorur.</w:t>
      </w:r>
    </w:p>
    <w:p w14:paraId="034304E5" w14:textId="77777777" w:rsidR="00623CEE" w:rsidRPr="00E15B09" w:rsidRDefault="00623CEE" w:rsidP="00623CEE">
      <w:pPr>
        <w:autoSpaceDE w:val="0"/>
        <w:autoSpaceDN w:val="0"/>
        <w:adjustRightInd w:val="0"/>
        <w:spacing w:after="0" w:line="240" w:lineRule="auto"/>
        <w:ind w:firstLine="284"/>
        <w:jc w:val="both"/>
        <w:rPr>
          <w:rFonts w:ascii="Garamond" w:hAnsi="Garamond" w:cs="Times New Roman"/>
          <w:color w:val="000000"/>
          <w:sz w:val="24"/>
          <w:szCs w:val="24"/>
        </w:rPr>
      </w:pPr>
    </w:p>
    <w:p w14:paraId="3D1F7346" w14:textId="77777777" w:rsidR="00623CEE" w:rsidRPr="00E15B09" w:rsidRDefault="00623CEE" w:rsidP="00623CEE">
      <w:pPr>
        <w:autoSpaceDE w:val="0"/>
        <w:autoSpaceDN w:val="0"/>
        <w:adjustRightInd w:val="0"/>
        <w:spacing w:after="0" w:line="240" w:lineRule="auto"/>
        <w:ind w:firstLine="284"/>
        <w:jc w:val="center"/>
        <w:rPr>
          <w:rFonts w:ascii="Garamond" w:hAnsi="Garamond" w:cs="Times New Roman"/>
          <w:bCs/>
          <w:color w:val="000000"/>
          <w:sz w:val="24"/>
          <w:szCs w:val="24"/>
        </w:rPr>
      </w:pPr>
      <w:r w:rsidRPr="00E15B09">
        <w:rPr>
          <w:rFonts w:ascii="Garamond" w:hAnsi="Garamond" w:cs="Times New Roman"/>
          <w:bCs/>
          <w:color w:val="000000"/>
          <w:sz w:val="24"/>
          <w:szCs w:val="24"/>
        </w:rPr>
        <w:t>Neni 5</w:t>
      </w:r>
    </w:p>
    <w:p w14:paraId="7A96131A" w14:textId="77777777" w:rsidR="00623CEE" w:rsidRPr="00E15B09" w:rsidRDefault="00623CEE" w:rsidP="00623CEE">
      <w:pPr>
        <w:autoSpaceDE w:val="0"/>
        <w:autoSpaceDN w:val="0"/>
        <w:adjustRightInd w:val="0"/>
        <w:spacing w:after="0" w:line="240" w:lineRule="auto"/>
        <w:ind w:firstLine="284"/>
        <w:jc w:val="center"/>
        <w:rPr>
          <w:rFonts w:ascii="Garamond" w:hAnsi="Garamond" w:cs="Times New Roman"/>
          <w:b/>
          <w:bCs/>
          <w:color w:val="000000"/>
          <w:sz w:val="24"/>
          <w:szCs w:val="24"/>
        </w:rPr>
      </w:pPr>
      <w:r w:rsidRPr="00E15B09">
        <w:rPr>
          <w:rFonts w:ascii="Garamond" w:hAnsi="Garamond" w:cs="Times New Roman"/>
          <w:b/>
          <w:bCs/>
          <w:color w:val="000000"/>
          <w:sz w:val="24"/>
          <w:szCs w:val="24"/>
        </w:rPr>
        <w:t>Formati i raportit</w:t>
      </w:r>
    </w:p>
    <w:p w14:paraId="6A67D902" w14:textId="77777777" w:rsidR="00623CEE" w:rsidRPr="00E15B09" w:rsidRDefault="00623CEE" w:rsidP="00623CEE">
      <w:pPr>
        <w:autoSpaceDE w:val="0"/>
        <w:autoSpaceDN w:val="0"/>
        <w:adjustRightInd w:val="0"/>
        <w:spacing w:after="0" w:line="240" w:lineRule="auto"/>
        <w:ind w:firstLine="284"/>
        <w:jc w:val="center"/>
        <w:rPr>
          <w:rFonts w:ascii="Garamond" w:hAnsi="Garamond" w:cs="Times New Roman"/>
          <w:color w:val="000000"/>
          <w:sz w:val="24"/>
          <w:szCs w:val="24"/>
        </w:rPr>
      </w:pPr>
    </w:p>
    <w:p w14:paraId="04A7092C" w14:textId="4B2AA7B1" w:rsidR="00623CEE" w:rsidRPr="00E15B09" w:rsidRDefault="00623CEE" w:rsidP="00E15B09">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1. Raporti i përcaktuar në pikën 1</w:t>
      </w:r>
      <w:r w:rsidR="00E15B09">
        <w:rPr>
          <w:rFonts w:ascii="Garamond" w:hAnsi="Garamond" w:cs="Times New Roman"/>
          <w:color w:val="000000"/>
          <w:sz w:val="24"/>
          <w:szCs w:val="24"/>
        </w:rPr>
        <w:t>,</w:t>
      </w:r>
      <w:r w:rsidRPr="00E15B09">
        <w:rPr>
          <w:rFonts w:ascii="Garamond" w:hAnsi="Garamond" w:cs="Times New Roman"/>
          <w:color w:val="000000"/>
          <w:sz w:val="24"/>
          <w:szCs w:val="24"/>
        </w:rPr>
        <w:t xml:space="preserve"> të nenit 4</w:t>
      </w:r>
      <w:r w:rsidR="00E15B09">
        <w:rPr>
          <w:rFonts w:ascii="Garamond" w:hAnsi="Garamond" w:cs="Times New Roman"/>
          <w:color w:val="000000"/>
          <w:sz w:val="24"/>
          <w:szCs w:val="24"/>
        </w:rPr>
        <w:t>,</w:t>
      </w:r>
      <w:r w:rsidRPr="00E15B09">
        <w:rPr>
          <w:rFonts w:ascii="Garamond" w:hAnsi="Garamond" w:cs="Times New Roman"/>
          <w:color w:val="000000"/>
          <w:sz w:val="24"/>
          <w:szCs w:val="24"/>
        </w:rPr>
        <w:t xml:space="preserve"> përmban</w:t>
      </w:r>
      <w:r w:rsidRPr="00E15B09">
        <w:rPr>
          <w:rFonts w:ascii="Garamond" w:hAnsi="Garamond" w:cs="Aptos"/>
          <w:color w:val="000000"/>
          <w:sz w:val="24"/>
          <w:szCs w:val="24"/>
        </w:rPr>
        <w:t xml:space="preserve"> </w:t>
      </w:r>
      <w:r w:rsidRPr="00E15B09">
        <w:rPr>
          <w:rFonts w:ascii="Garamond" w:hAnsi="Garamond" w:cs="Times New Roman"/>
          <w:color w:val="000000"/>
          <w:sz w:val="24"/>
          <w:szCs w:val="24"/>
        </w:rPr>
        <w:t>të paktën informacionin e mëposhtëm:</w:t>
      </w:r>
    </w:p>
    <w:p w14:paraId="17179C4D" w14:textId="7F45BD8B" w:rsidR="00623CEE" w:rsidRPr="00E15B09" w:rsidRDefault="00623CEE" w:rsidP="00623CE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a) të dhënat identifikuese të klientit fundor;</w:t>
      </w:r>
    </w:p>
    <w:p w14:paraId="7FD3FC1A" w14:textId="6A452190" w:rsidR="00623CEE" w:rsidRPr="00E15B09" w:rsidRDefault="00623CEE" w:rsidP="00623CE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b) modelin tarifor të zbatueshëm për klientin fundor;</w:t>
      </w:r>
    </w:p>
    <w:p w14:paraId="027B7240" w14:textId="3E701029" w:rsidR="00623CEE" w:rsidRPr="00E15B09" w:rsidRDefault="00623CEE" w:rsidP="00623CE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c) strukturën e burimeve të energjisë elektrike të furnizuar klientit fundor, të llogaritur në</w:t>
      </w:r>
      <w:r w:rsidR="00E15B09">
        <w:rPr>
          <w:rFonts w:ascii="Garamond" w:hAnsi="Garamond" w:cs="Times New Roman"/>
          <w:color w:val="000000"/>
          <w:sz w:val="24"/>
          <w:szCs w:val="24"/>
        </w:rPr>
        <w:t xml:space="preserve"> </w:t>
      </w:r>
      <w:r w:rsidRPr="00E15B09">
        <w:rPr>
          <w:rFonts w:ascii="Garamond" w:hAnsi="Garamond" w:cs="Times New Roman"/>
          <w:color w:val="000000"/>
          <w:sz w:val="24"/>
          <w:szCs w:val="24"/>
        </w:rPr>
        <w:t>përputhje me këtë rregullore;</w:t>
      </w:r>
    </w:p>
    <w:p w14:paraId="54DABE04" w14:textId="77777777" w:rsidR="00623CEE" w:rsidRPr="00E15B09" w:rsidRDefault="00623CEE" w:rsidP="00623CE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ç) të dhënat mbi konsumin e energjisë elektrike të klientit fundor, periudhën e furnizimit, pikën e matjes dhe kontratën ose kontratat e furnizimit për të cilat përgatitet raporti;</w:t>
      </w:r>
    </w:p>
    <w:p w14:paraId="66B88535" w14:textId="77777777" w:rsidR="00623CEE" w:rsidRPr="00E15B09" w:rsidRDefault="00623CEE" w:rsidP="00623CE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d) strukturën e burimeve të energjisë elektrike të furnizuar nga furnizuesi për të gjithë klientët e tij fundorë;</w:t>
      </w:r>
    </w:p>
    <w:p w14:paraId="4FDB265C" w14:textId="77777777" w:rsidR="00623CEE" w:rsidRPr="00E15B09" w:rsidRDefault="00623CEE" w:rsidP="00623CE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dh) adresën e faqes zyrtare të internetit të Entit Rregullator të Energjisë ku publikohet raporti vjetor i Përzierjes së Mbetur Përfundimtare, si dhe adresën e regjistrit të garancive të origjinës;</w:t>
      </w:r>
    </w:p>
    <w:p w14:paraId="255B64AD" w14:textId="77777777" w:rsidR="00623CEE" w:rsidRPr="00E15B09" w:rsidRDefault="00623CEE" w:rsidP="00623CE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e) shpjegimet shoqëruese me rëndësi për kuptimin dhe interpretimin e përmbajtjes së raportit për klientin fundor.</w:t>
      </w:r>
    </w:p>
    <w:p w14:paraId="3E31FEBD" w14:textId="6C28CD15" w:rsidR="00623CEE" w:rsidRPr="00E15B09" w:rsidRDefault="00623CEE" w:rsidP="00623CEE">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2. Të dhënat e përcaktuara në shkronjat “c” dhe “d”</w:t>
      </w:r>
      <w:r w:rsidR="00E15B09">
        <w:rPr>
          <w:rFonts w:ascii="Garamond" w:hAnsi="Garamond" w:cs="Times New Roman"/>
          <w:color w:val="000000"/>
          <w:sz w:val="24"/>
          <w:szCs w:val="24"/>
        </w:rPr>
        <w:t>,</w:t>
      </w:r>
      <w:r w:rsidRPr="00E15B09">
        <w:rPr>
          <w:rFonts w:ascii="Garamond" w:hAnsi="Garamond" w:cs="Times New Roman"/>
          <w:color w:val="000000"/>
          <w:sz w:val="24"/>
          <w:szCs w:val="24"/>
        </w:rPr>
        <w:t xml:space="preserve"> të pikës 1 të këtij neni, paraqiten në formë grafike ose diagrami, sipas kategorive të burimeve të energjisë të përcaktuara në metodologjinë që i bashkëlidhet kësaj rregulloreje.</w:t>
      </w:r>
    </w:p>
    <w:p w14:paraId="559727D8" w14:textId="7474B64B" w:rsidR="00623CEE" w:rsidRPr="00E15B09" w:rsidRDefault="00623CEE" w:rsidP="00623CEE">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3. Përpara dorëzimit të raportit te klientët fundorë, furnizuesi publikon në faqen e tij zyrtare të internetit, për vitin kalendarik paraardhës:</w:t>
      </w:r>
    </w:p>
    <w:p w14:paraId="159F1BC1" w14:textId="6E90ECD1" w:rsidR="00623CEE" w:rsidRPr="00E15B09" w:rsidRDefault="00623CEE" w:rsidP="00623CEE">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a) strukturën e burimeve të energjisë elektrike të furnizuar për të gjithë klientët e tij fundorë;</w:t>
      </w:r>
    </w:p>
    <w:p w14:paraId="13F86DD8" w14:textId="6EAACD30" w:rsidR="00623CEE" w:rsidRPr="00E15B09" w:rsidRDefault="00623CEE" w:rsidP="00623CEE">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b) strukturën e energjisë elektrike të mbuluar nga garancitë e origjinës të anuluara; dhe</w:t>
      </w:r>
    </w:p>
    <w:p w14:paraId="3C9AA9D2" w14:textId="5CA8FBC6" w:rsidR="00623CEE" w:rsidRPr="00E15B09" w:rsidRDefault="00623CEE" w:rsidP="00623CEE">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lastRenderedPageBreak/>
        <w:t>c) adresën e faqes zyrtare të internetit të Entit Rregullator të Energjisë ku publikohet raporti vjetor i Përzierjes së Mbetur Përfundimtare, si dhe adresën e regjistrit të garancive të origjinës.</w:t>
      </w:r>
    </w:p>
    <w:p w14:paraId="1471B987" w14:textId="77777777" w:rsidR="00623CEE" w:rsidRPr="00E15B09" w:rsidRDefault="00623CEE" w:rsidP="00623CEE">
      <w:pPr>
        <w:autoSpaceDE w:val="0"/>
        <w:autoSpaceDN w:val="0"/>
        <w:adjustRightInd w:val="0"/>
        <w:spacing w:after="0" w:line="240" w:lineRule="auto"/>
        <w:ind w:firstLine="284"/>
        <w:jc w:val="both"/>
        <w:rPr>
          <w:rFonts w:ascii="Garamond" w:hAnsi="Garamond" w:cs="Times New Roman"/>
          <w:color w:val="000000"/>
          <w:sz w:val="24"/>
          <w:szCs w:val="24"/>
        </w:rPr>
      </w:pPr>
    </w:p>
    <w:p w14:paraId="69E73A85" w14:textId="77777777" w:rsidR="00623CEE" w:rsidRPr="00E15B09" w:rsidRDefault="00623CEE" w:rsidP="00623CEE">
      <w:pPr>
        <w:autoSpaceDE w:val="0"/>
        <w:autoSpaceDN w:val="0"/>
        <w:adjustRightInd w:val="0"/>
        <w:spacing w:after="0" w:line="240" w:lineRule="auto"/>
        <w:ind w:firstLine="284"/>
        <w:jc w:val="center"/>
        <w:rPr>
          <w:rFonts w:ascii="Garamond" w:hAnsi="Garamond" w:cs="Times New Roman"/>
          <w:bCs/>
          <w:color w:val="000000"/>
          <w:sz w:val="24"/>
          <w:szCs w:val="24"/>
        </w:rPr>
      </w:pPr>
      <w:r w:rsidRPr="00A70E6A">
        <w:rPr>
          <w:rFonts w:ascii="Garamond" w:hAnsi="Garamond" w:cs="Times New Roman"/>
          <w:bCs/>
          <w:color w:val="000000"/>
          <w:sz w:val="24"/>
          <w:szCs w:val="24"/>
        </w:rPr>
        <w:t>Neni 6</w:t>
      </w:r>
    </w:p>
    <w:p w14:paraId="66BCEF48" w14:textId="77777777" w:rsidR="00623CEE" w:rsidRPr="00E15B09" w:rsidRDefault="00623CEE" w:rsidP="00623CEE">
      <w:pPr>
        <w:autoSpaceDE w:val="0"/>
        <w:autoSpaceDN w:val="0"/>
        <w:adjustRightInd w:val="0"/>
        <w:spacing w:after="0" w:line="240" w:lineRule="auto"/>
        <w:ind w:firstLine="284"/>
        <w:jc w:val="center"/>
        <w:rPr>
          <w:rFonts w:ascii="Garamond" w:hAnsi="Garamond" w:cs="Times New Roman"/>
          <w:b/>
          <w:bCs/>
          <w:color w:val="000000"/>
          <w:sz w:val="24"/>
          <w:szCs w:val="24"/>
        </w:rPr>
      </w:pPr>
      <w:r w:rsidRPr="00A70E6A">
        <w:rPr>
          <w:rFonts w:ascii="Garamond" w:hAnsi="Garamond" w:cs="Times New Roman"/>
          <w:b/>
          <w:bCs/>
          <w:color w:val="000000"/>
          <w:sz w:val="24"/>
          <w:szCs w:val="24"/>
        </w:rPr>
        <w:t>Llogaritja e përzierjes së mbetur përfundimtare</w:t>
      </w:r>
    </w:p>
    <w:p w14:paraId="79349DBB" w14:textId="77777777" w:rsidR="00623CEE" w:rsidRPr="00E15B09" w:rsidRDefault="00623CEE" w:rsidP="00623CEE">
      <w:pPr>
        <w:autoSpaceDE w:val="0"/>
        <w:autoSpaceDN w:val="0"/>
        <w:adjustRightInd w:val="0"/>
        <w:spacing w:after="0" w:line="240" w:lineRule="auto"/>
        <w:ind w:firstLine="284"/>
        <w:rPr>
          <w:rFonts w:ascii="Garamond" w:hAnsi="Garamond" w:cs="Times New Roman"/>
          <w:b/>
          <w:bCs/>
          <w:color w:val="000000"/>
          <w:sz w:val="24"/>
          <w:szCs w:val="24"/>
        </w:rPr>
      </w:pPr>
    </w:p>
    <w:p w14:paraId="72940372" w14:textId="222DBF45" w:rsidR="00623CEE" w:rsidRPr="00E15B09" w:rsidRDefault="00E15B09" w:rsidP="00623CEE">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w:t>
      </w:r>
      <w:r w:rsidR="00A70E6A">
        <w:rPr>
          <w:rFonts w:ascii="Garamond" w:hAnsi="Garamond" w:cs="Times New Roman"/>
          <w:color w:val="000000"/>
          <w:sz w:val="24"/>
          <w:szCs w:val="24"/>
        </w:rPr>
        <w:t>.</w:t>
      </w:r>
      <w:r>
        <w:rPr>
          <w:rFonts w:ascii="Garamond" w:hAnsi="Garamond" w:cs="Times New Roman"/>
          <w:color w:val="000000"/>
          <w:sz w:val="24"/>
          <w:szCs w:val="24"/>
        </w:rPr>
        <w:t xml:space="preserve"> E</w:t>
      </w:r>
      <w:r w:rsidR="00A70E6A">
        <w:rPr>
          <w:rFonts w:ascii="Garamond" w:hAnsi="Garamond" w:cs="Times New Roman"/>
          <w:color w:val="000000"/>
          <w:sz w:val="24"/>
          <w:szCs w:val="24"/>
        </w:rPr>
        <w:t>R</w:t>
      </w:r>
      <w:r>
        <w:rPr>
          <w:rFonts w:ascii="Garamond" w:hAnsi="Garamond" w:cs="Times New Roman"/>
          <w:color w:val="000000"/>
          <w:sz w:val="24"/>
          <w:szCs w:val="24"/>
        </w:rPr>
        <w:t>R</w:t>
      </w:r>
      <w:r w:rsidR="00623CEE" w:rsidRPr="00E15B09">
        <w:rPr>
          <w:rFonts w:ascii="Garamond" w:hAnsi="Garamond" w:cs="Times New Roman"/>
          <w:color w:val="000000"/>
          <w:sz w:val="24"/>
          <w:szCs w:val="24"/>
        </w:rPr>
        <w:t>E llogarit përzierjen e mbetur përfundimtare</w:t>
      </w:r>
      <w:r>
        <w:rPr>
          <w:rFonts w:ascii="Garamond" w:hAnsi="Garamond" w:cs="Times New Roman"/>
          <w:color w:val="000000"/>
          <w:sz w:val="24"/>
          <w:szCs w:val="24"/>
        </w:rPr>
        <w:t>,</w:t>
      </w:r>
      <w:r w:rsidR="00623CEE" w:rsidRPr="00E15B09">
        <w:rPr>
          <w:rFonts w:ascii="Garamond" w:hAnsi="Garamond" w:cs="Times New Roman"/>
          <w:color w:val="000000"/>
          <w:sz w:val="24"/>
          <w:szCs w:val="24"/>
        </w:rPr>
        <w:t xml:space="preserve"> në përputhje me metodologjinë për llogaritjen e përzierjes së mbetur dhe të strukturës së burimeve të energjisë elektrike të furnizuar klientëve fundorë, sipas shtojcës 1 bashkëlidhur, në bazë të </w:t>
      </w:r>
      <w:proofErr w:type="spellStart"/>
      <w:r w:rsidR="00623CEE" w:rsidRPr="00E15B09">
        <w:rPr>
          <w:rFonts w:ascii="Garamond" w:hAnsi="Garamond" w:cs="Times New Roman"/>
          <w:color w:val="000000"/>
          <w:sz w:val="24"/>
          <w:szCs w:val="24"/>
        </w:rPr>
        <w:t>të</w:t>
      </w:r>
      <w:proofErr w:type="spellEnd"/>
      <w:r w:rsidR="00623CEE" w:rsidRPr="00E15B09">
        <w:rPr>
          <w:rFonts w:ascii="Garamond" w:hAnsi="Garamond" w:cs="Times New Roman"/>
          <w:color w:val="000000"/>
          <w:sz w:val="24"/>
          <w:szCs w:val="24"/>
        </w:rPr>
        <w:t xml:space="preserve"> dhënave për:</w:t>
      </w:r>
    </w:p>
    <w:p w14:paraId="335517A3" w14:textId="5E5D21E3" w:rsidR="00623CEE" w:rsidRPr="00E15B09" w:rsidRDefault="00623CEE" w:rsidP="00623CEE">
      <w:pPr>
        <w:tabs>
          <w:tab w:val="left" w:pos="1160"/>
        </w:tabs>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a) prodhimin vendas të energjisë elektrike sipas burimeve të energjisë, në përputhje me përcaktimet e pikës 1</w:t>
      </w:r>
      <w:r w:rsidR="00E15B09">
        <w:rPr>
          <w:rFonts w:ascii="Garamond" w:hAnsi="Garamond" w:cs="Times New Roman"/>
          <w:color w:val="000000"/>
          <w:sz w:val="24"/>
          <w:szCs w:val="24"/>
        </w:rPr>
        <w:t>,</w:t>
      </w:r>
      <w:r w:rsidRPr="00E15B09">
        <w:rPr>
          <w:rFonts w:ascii="Garamond" w:hAnsi="Garamond" w:cs="Times New Roman"/>
          <w:color w:val="000000"/>
          <w:sz w:val="24"/>
          <w:szCs w:val="24"/>
        </w:rPr>
        <w:t xml:space="preserve"> të nenit 2 të metodologjisë bashkëlidhur kësaj rregullore</w:t>
      </w:r>
      <w:r w:rsidR="00E15B09">
        <w:rPr>
          <w:rFonts w:ascii="Garamond" w:hAnsi="Garamond" w:cs="Times New Roman"/>
          <w:color w:val="000000"/>
          <w:sz w:val="24"/>
          <w:szCs w:val="24"/>
        </w:rPr>
        <w:t>je</w:t>
      </w:r>
      <w:r w:rsidRPr="00E15B09">
        <w:rPr>
          <w:rFonts w:ascii="Garamond" w:hAnsi="Garamond" w:cs="Times New Roman"/>
          <w:color w:val="000000"/>
          <w:sz w:val="24"/>
          <w:szCs w:val="24"/>
        </w:rPr>
        <w:t>;</w:t>
      </w:r>
    </w:p>
    <w:p w14:paraId="62789F5B" w14:textId="15A9B750" w:rsidR="00623CEE" w:rsidRPr="00E15B09" w:rsidRDefault="00623CEE" w:rsidP="00623CEE">
      <w:pPr>
        <w:tabs>
          <w:tab w:val="left" w:pos="1160"/>
        </w:tabs>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b) konsumin vjetor të energjisë elektrike;</w:t>
      </w:r>
    </w:p>
    <w:p w14:paraId="4886496A" w14:textId="782455CE" w:rsidR="00623CEE" w:rsidRPr="00E15B09" w:rsidRDefault="00623CEE" w:rsidP="00623CEE">
      <w:pPr>
        <w:tabs>
          <w:tab w:val="left" w:pos="1160"/>
        </w:tabs>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c) importet dhe eksportet fizike të energjisë elektrike;</w:t>
      </w:r>
    </w:p>
    <w:p w14:paraId="62BB3BCD" w14:textId="625856A9" w:rsidR="00623CEE" w:rsidRPr="00E15B09" w:rsidRDefault="00623CEE" w:rsidP="00623CEE">
      <w:pPr>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ç) shkëmbimin e atributeve me Përzierjen Evropiane të Atributeve</w:t>
      </w:r>
      <w:r w:rsidR="00E15B09">
        <w:rPr>
          <w:rFonts w:ascii="Garamond" w:hAnsi="Garamond" w:cs="Times New Roman"/>
          <w:color w:val="000000"/>
          <w:sz w:val="24"/>
          <w:szCs w:val="24"/>
        </w:rPr>
        <w:t>,</w:t>
      </w:r>
      <w:r w:rsidRPr="00E15B09">
        <w:rPr>
          <w:rFonts w:ascii="Garamond" w:hAnsi="Garamond" w:cs="Times New Roman"/>
          <w:color w:val="000000"/>
          <w:sz w:val="24"/>
          <w:szCs w:val="24"/>
        </w:rPr>
        <w:t xml:space="preserve"> në p</w:t>
      </w:r>
      <w:r w:rsidR="00E15B09">
        <w:rPr>
          <w:rFonts w:ascii="Garamond" w:hAnsi="Garamond" w:cs="Times New Roman"/>
          <w:color w:val="000000"/>
          <w:sz w:val="24"/>
          <w:szCs w:val="24"/>
        </w:rPr>
        <w:t>ërputhje me metodologjinë;</w:t>
      </w:r>
    </w:p>
    <w:p w14:paraId="43F20E93" w14:textId="1031AD66" w:rsidR="00623CEE" w:rsidRPr="00E15B09" w:rsidRDefault="00623CEE" w:rsidP="00623CEE">
      <w:pPr>
        <w:tabs>
          <w:tab w:val="left" w:pos="1160"/>
        </w:tabs>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 xml:space="preserve">d) garancitë e origjinës </w:t>
      </w:r>
      <w:r w:rsidR="00E15B09">
        <w:rPr>
          <w:rFonts w:ascii="Garamond" w:hAnsi="Garamond" w:cs="Times New Roman"/>
          <w:color w:val="000000"/>
          <w:sz w:val="24"/>
          <w:szCs w:val="24"/>
        </w:rPr>
        <w:t xml:space="preserve">të anuluara dhe ato të </w:t>
      </w:r>
      <w:proofErr w:type="spellStart"/>
      <w:r w:rsidR="00E15B09">
        <w:rPr>
          <w:rFonts w:ascii="Garamond" w:hAnsi="Garamond" w:cs="Times New Roman"/>
          <w:color w:val="000000"/>
          <w:sz w:val="24"/>
          <w:szCs w:val="24"/>
        </w:rPr>
        <w:t>skaduara</w:t>
      </w:r>
      <w:proofErr w:type="spellEnd"/>
      <w:r w:rsidR="00E15B09">
        <w:rPr>
          <w:rFonts w:ascii="Garamond" w:hAnsi="Garamond" w:cs="Times New Roman"/>
          <w:color w:val="000000"/>
          <w:sz w:val="24"/>
          <w:szCs w:val="24"/>
        </w:rPr>
        <w:t xml:space="preserve">; </w:t>
      </w:r>
      <w:r w:rsidRPr="00E15B09">
        <w:rPr>
          <w:rFonts w:ascii="Garamond" w:hAnsi="Garamond" w:cs="Times New Roman"/>
          <w:color w:val="000000"/>
          <w:sz w:val="24"/>
          <w:szCs w:val="24"/>
        </w:rPr>
        <w:t>dhe</w:t>
      </w:r>
    </w:p>
    <w:p w14:paraId="3825F4D8" w14:textId="77777777" w:rsidR="00623CEE" w:rsidRPr="00E15B09" w:rsidRDefault="00623CEE" w:rsidP="00623CEE">
      <w:pPr>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dh) çdo të dhënë tjetër të nevojshme.</w:t>
      </w:r>
    </w:p>
    <w:p w14:paraId="232EDB56" w14:textId="2781307C" w:rsidR="00623CEE" w:rsidRPr="00E15B09" w:rsidRDefault="00623CEE" w:rsidP="00623CEE">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 xml:space="preserve">2. Për qëllimet e llogaritjes të përcaktuar në pikën 1 të këtij neni, operatorët e sistemeve të transmetimit dhe shpërndarjes së energjisë elektrike, jo më vonë se data 1 </w:t>
      </w:r>
      <w:r w:rsidR="00E15B09">
        <w:rPr>
          <w:rFonts w:ascii="Garamond" w:hAnsi="Garamond" w:cs="Times New Roman"/>
          <w:color w:val="000000"/>
          <w:sz w:val="24"/>
          <w:szCs w:val="24"/>
        </w:rPr>
        <w:t>mars, i dorëzojnë E</w:t>
      </w:r>
      <w:r w:rsidR="00A70E6A">
        <w:rPr>
          <w:rFonts w:ascii="Garamond" w:hAnsi="Garamond" w:cs="Times New Roman"/>
          <w:color w:val="000000"/>
          <w:sz w:val="24"/>
          <w:szCs w:val="24"/>
        </w:rPr>
        <w:t>R</w:t>
      </w:r>
      <w:r w:rsidR="00E15B09">
        <w:rPr>
          <w:rFonts w:ascii="Garamond" w:hAnsi="Garamond" w:cs="Times New Roman"/>
          <w:color w:val="000000"/>
          <w:sz w:val="24"/>
          <w:szCs w:val="24"/>
        </w:rPr>
        <w:t>R</w:t>
      </w:r>
      <w:r w:rsidRPr="00E15B09">
        <w:rPr>
          <w:rFonts w:ascii="Garamond" w:hAnsi="Garamond" w:cs="Times New Roman"/>
          <w:color w:val="000000"/>
          <w:sz w:val="24"/>
          <w:szCs w:val="24"/>
        </w:rPr>
        <w:t>E-s të dhënat e përcaktuara në shkronjat</w:t>
      </w:r>
      <w:r w:rsidR="00E15B09">
        <w:rPr>
          <w:rFonts w:ascii="Garamond" w:hAnsi="Garamond" w:cs="Times New Roman"/>
          <w:color w:val="000000"/>
          <w:sz w:val="24"/>
          <w:szCs w:val="24"/>
        </w:rPr>
        <w:t>:</w:t>
      </w:r>
      <w:r w:rsidRPr="00E15B09">
        <w:rPr>
          <w:rFonts w:ascii="Garamond" w:hAnsi="Garamond" w:cs="Times New Roman"/>
          <w:color w:val="000000"/>
          <w:sz w:val="24"/>
          <w:szCs w:val="24"/>
        </w:rPr>
        <w:t xml:space="preserve"> “a”, “b”, “c”, “ç”, “d”, të pikës 1 të këtij neni, për vitin kalendarik paraardhës.</w:t>
      </w:r>
    </w:p>
    <w:p w14:paraId="57A1360D" w14:textId="77777777" w:rsidR="00623CEE" w:rsidRPr="00E15B09" w:rsidRDefault="00623CEE" w:rsidP="00623CEE">
      <w:pPr>
        <w:autoSpaceDE w:val="0"/>
        <w:autoSpaceDN w:val="0"/>
        <w:adjustRightInd w:val="0"/>
        <w:spacing w:after="0" w:line="240" w:lineRule="auto"/>
        <w:ind w:firstLine="284"/>
        <w:jc w:val="both"/>
        <w:rPr>
          <w:rFonts w:ascii="Garamond" w:hAnsi="Garamond" w:cs="Times New Roman"/>
          <w:color w:val="000000"/>
          <w:sz w:val="24"/>
          <w:szCs w:val="24"/>
        </w:rPr>
      </w:pPr>
    </w:p>
    <w:p w14:paraId="40722E82" w14:textId="77777777" w:rsidR="00623CEE" w:rsidRPr="00E15B09" w:rsidRDefault="00623CEE" w:rsidP="00623CEE">
      <w:pPr>
        <w:autoSpaceDE w:val="0"/>
        <w:autoSpaceDN w:val="0"/>
        <w:adjustRightInd w:val="0"/>
        <w:spacing w:after="0" w:line="240" w:lineRule="auto"/>
        <w:ind w:firstLine="284"/>
        <w:jc w:val="center"/>
        <w:rPr>
          <w:rFonts w:ascii="Garamond" w:hAnsi="Garamond" w:cs="Times New Roman"/>
          <w:bCs/>
          <w:color w:val="000000"/>
          <w:sz w:val="24"/>
          <w:szCs w:val="24"/>
        </w:rPr>
      </w:pPr>
      <w:r w:rsidRPr="00E15B09">
        <w:rPr>
          <w:rFonts w:ascii="Garamond" w:hAnsi="Garamond" w:cs="Times New Roman"/>
          <w:bCs/>
          <w:color w:val="000000"/>
          <w:sz w:val="24"/>
          <w:szCs w:val="24"/>
        </w:rPr>
        <w:t>Neni 7</w:t>
      </w:r>
    </w:p>
    <w:p w14:paraId="776F0465" w14:textId="77777777" w:rsidR="00623CEE" w:rsidRPr="00E15B09" w:rsidRDefault="00623CEE" w:rsidP="00623CEE">
      <w:pPr>
        <w:autoSpaceDE w:val="0"/>
        <w:autoSpaceDN w:val="0"/>
        <w:adjustRightInd w:val="0"/>
        <w:spacing w:after="0" w:line="240" w:lineRule="auto"/>
        <w:ind w:firstLine="284"/>
        <w:jc w:val="center"/>
        <w:rPr>
          <w:rFonts w:ascii="Garamond" w:hAnsi="Garamond" w:cs="Times New Roman"/>
          <w:b/>
          <w:bCs/>
          <w:color w:val="000000"/>
          <w:sz w:val="24"/>
          <w:szCs w:val="24"/>
        </w:rPr>
      </w:pPr>
      <w:r w:rsidRPr="00E15B09">
        <w:rPr>
          <w:rFonts w:ascii="Garamond" w:hAnsi="Garamond" w:cs="Times New Roman"/>
          <w:b/>
          <w:bCs/>
          <w:color w:val="000000"/>
          <w:sz w:val="24"/>
          <w:szCs w:val="24"/>
        </w:rPr>
        <w:t>Raporti i Entit Rregullator të Energjisë</w:t>
      </w:r>
    </w:p>
    <w:p w14:paraId="7908885B" w14:textId="77777777" w:rsidR="00623CEE" w:rsidRPr="00E15B09" w:rsidRDefault="00623CEE" w:rsidP="00623CEE">
      <w:pPr>
        <w:autoSpaceDE w:val="0"/>
        <w:autoSpaceDN w:val="0"/>
        <w:adjustRightInd w:val="0"/>
        <w:spacing w:after="0" w:line="240" w:lineRule="auto"/>
        <w:ind w:firstLine="284"/>
        <w:jc w:val="center"/>
        <w:rPr>
          <w:rFonts w:ascii="Garamond" w:hAnsi="Garamond" w:cs="Times New Roman"/>
          <w:b/>
          <w:bCs/>
          <w:color w:val="000000"/>
          <w:sz w:val="24"/>
          <w:szCs w:val="24"/>
        </w:rPr>
      </w:pPr>
    </w:p>
    <w:p w14:paraId="5763FA07" w14:textId="76939A57" w:rsidR="00623CEE" w:rsidRPr="00E15B09" w:rsidRDefault="00E15B09" w:rsidP="00623CEE">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 ER</w:t>
      </w:r>
      <w:r w:rsidR="00A70E6A">
        <w:rPr>
          <w:rFonts w:ascii="Garamond" w:hAnsi="Garamond" w:cs="Times New Roman"/>
          <w:color w:val="000000"/>
          <w:sz w:val="24"/>
          <w:szCs w:val="24"/>
        </w:rPr>
        <w:t>R</w:t>
      </w:r>
      <w:r w:rsidR="00623CEE" w:rsidRPr="00E15B09">
        <w:rPr>
          <w:rFonts w:ascii="Garamond" w:hAnsi="Garamond" w:cs="Times New Roman"/>
          <w:color w:val="000000"/>
          <w:sz w:val="24"/>
          <w:szCs w:val="24"/>
        </w:rPr>
        <w:t>E</w:t>
      </w:r>
      <w:r>
        <w:rPr>
          <w:rFonts w:ascii="Garamond" w:hAnsi="Garamond" w:cs="Times New Roman"/>
          <w:color w:val="000000"/>
          <w:sz w:val="24"/>
          <w:szCs w:val="24"/>
        </w:rPr>
        <w:t>,</w:t>
      </w:r>
      <w:r w:rsidR="00623CEE" w:rsidRPr="00E15B09">
        <w:rPr>
          <w:rFonts w:ascii="Garamond" w:hAnsi="Garamond" w:cs="Times New Roman"/>
          <w:color w:val="000000"/>
          <w:sz w:val="24"/>
          <w:szCs w:val="24"/>
        </w:rPr>
        <w:t xml:space="preserve"> brenda </w:t>
      </w:r>
      <w:r w:rsidR="00135804" w:rsidRPr="00E15B09">
        <w:rPr>
          <w:rFonts w:ascii="Garamond" w:hAnsi="Garamond" w:cs="Times New Roman"/>
          <w:color w:val="000000"/>
          <w:sz w:val="24"/>
          <w:szCs w:val="24"/>
        </w:rPr>
        <w:t>dat</w:t>
      </w:r>
      <w:r w:rsidR="00135804">
        <w:rPr>
          <w:rFonts w:ascii="Garamond" w:hAnsi="Garamond" w:cs="Times New Roman"/>
          <w:color w:val="000000"/>
          <w:sz w:val="24"/>
          <w:szCs w:val="24"/>
        </w:rPr>
        <w:t>ë</w:t>
      </w:r>
      <w:r w:rsidR="00135804" w:rsidRPr="00E15B09">
        <w:rPr>
          <w:rFonts w:ascii="Garamond" w:hAnsi="Garamond" w:cs="Times New Roman"/>
          <w:color w:val="000000"/>
          <w:sz w:val="24"/>
          <w:szCs w:val="24"/>
        </w:rPr>
        <w:t>s</w:t>
      </w:r>
      <w:r w:rsidR="00623CEE" w:rsidRPr="00E15B09">
        <w:rPr>
          <w:rFonts w:ascii="Garamond" w:hAnsi="Garamond" w:cs="Times New Roman"/>
          <w:color w:val="000000"/>
          <w:sz w:val="24"/>
          <w:szCs w:val="24"/>
        </w:rPr>
        <w:t xml:space="preserve"> 20 qershor të çdo viti, miraton dhe publikon në faqen e tij të internetit raportin vjetor për përzierjen e mbetur përfundimtare të vitit kalendarik paraardhës.</w:t>
      </w:r>
    </w:p>
    <w:p w14:paraId="726E987F" w14:textId="32933273" w:rsidR="00623CEE" w:rsidRPr="00E15B09" w:rsidRDefault="00623CEE" w:rsidP="00623CEE">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2. Raporti i përcaktuar në pikën 1 të këtij neni</w:t>
      </w:r>
      <w:r w:rsidR="00135804">
        <w:rPr>
          <w:rFonts w:ascii="Garamond" w:hAnsi="Garamond" w:cs="Times New Roman"/>
          <w:color w:val="000000"/>
          <w:sz w:val="24"/>
          <w:szCs w:val="24"/>
        </w:rPr>
        <w:t>,</w:t>
      </w:r>
      <w:r w:rsidRPr="00E15B09">
        <w:rPr>
          <w:rFonts w:ascii="Garamond" w:hAnsi="Garamond" w:cs="Times New Roman"/>
          <w:color w:val="000000"/>
          <w:sz w:val="24"/>
          <w:szCs w:val="24"/>
        </w:rPr>
        <w:t xml:space="preserve"> përmban:</w:t>
      </w:r>
    </w:p>
    <w:p w14:paraId="17DD272A" w14:textId="120A4EA0" w:rsidR="00623CEE" w:rsidRPr="00E15B09" w:rsidRDefault="00623CEE" w:rsidP="00623CEE">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a) të dhëna mbi prodhimin vendas, konsumin, importet dhe eksportet fizike të energjisë elektrike, sipas burimeve të energjisë;</w:t>
      </w:r>
    </w:p>
    <w:p w14:paraId="1A3446CF" w14:textId="6327E1B7" w:rsidR="00623CEE" w:rsidRPr="00E15B09" w:rsidRDefault="00623CEE" w:rsidP="00623CEE">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 xml:space="preserve">b) të dhënat mbi garancitë e origjinës të lëshuara, të anuluara dhe të </w:t>
      </w:r>
      <w:proofErr w:type="spellStart"/>
      <w:r w:rsidRPr="00E15B09">
        <w:rPr>
          <w:rFonts w:ascii="Garamond" w:hAnsi="Garamond" w:cs="Times New Roman"/>
          <w:color w:val="000000"/>
          <w:sz w:val="24"/>
          <w:szCs w:val="24"/>
        </w:rPr>
        <w:t>skaduara</w:t>
      </w:r>
      <w:proofErr w:type="spellEnd"/>
      <w:r w:rsidRPr="00E15B09">
        <w:rPr>
          <w:rFonts w:ascii="Garamond" w:hAnsi="Garamond" w:cs="Times New Roman"/>
          <w:color w:val="000000"/>
          <w:sz w:val="24"/>
          <w:szCs w:val="24"/>
        </w:rPr>
        <w:t>;</w:t>
      </w:r>
    </w:p>
    <w:p w14:paraId="628D30CA" w14:textId="34E62635" w:rsidR="00623CEE" w:rsidRPr="00E15B09" w:rsidRDefault="00623CEE" w:rsidP="00623CEE">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c) të dhënat mbi përzierjen e mbetur kombëtare</w:t>
      </w:r>
      <w:r w:rsidR="00135804">
        <w:rPr>
          <w:rFonts w:ascii="Garamond" w:hAnsi="Garamond" w:cs="Times New Roman"/>
          <w:color w:val="000000"/>
          <w:sz w:val="24"/>
          <w:szCs w:val="24"/>
        </w:rPr>
        <w:t>,</w:t>
      </w:r>
      <w:r w:rsidRPr="00E15B09">
        <w:rPr>
          <w:rFonts w:ascii="Garamond" w:hAnsi="Garamond" w:cs="Times New Roman"/>
          <w:color w:val="000000"/>
          <w:sz w:val="24"/>
          <w:szCs w:val="24"/>
        </w:rPr>
        <w:t xml:space="preserve"> paraprake, përzierjen e mbetur komb</w:t>
      </w:r>
      <w:r w:rsidR="00135804">
        <w:rPr>
          <w:rFonts w:ascii="Garamond" w:hAnsi="Garamond" w:cs="Times New Roman"/>
          <w:color w:val="000000"/>
          <w:sz w:val="24"/>
          <w:szCs w:val="24"/>
        </w:rPr>
        <w:t xml:space="preserve">ëtare, </w:t>
      </w:r>
      <w:r w:rsidRPr="00E15B09">
        <w:rPr>
          <w:rFonts w:ascii="Garamond" w:hAnsi="Garamond" w:cs="Times New Roman"/>
          <w:color w:val="000000"/>
          <w:sz w:val="24"/>
          <w:szCs w:val="24"/>
        </w:rPr>
        <w:t xml:space="preserve">konsumin e </w:t>
      </w:r>
      <w:proofErr w:type="spellStart"/>
      <w:r w:rsidRPr="00E15B09">
        <w:rPr>
          <w:rFonts w:ascii="Garamond" w:hAnsi="Garamond" w:cs="Times New Roman"/>
          <w:color w:val="000000"/>
          <w:sz w:val="24"/>
          <w:szCs w:val="24"/>
        </w:rPr>
        <w:t>pagjurmueshëm</w:t>
      </w:r>
      <w:proofErr w:type="spellEnd"/>
      <w:r w:rsidRPr="00E15B09">
        <w:rPr>
          <w:rFonts w:ascii="Garamond" w:hAnsi="Garamond" w:cs="Times New Roman"/>
          <w:color w:val="000000"/>
          <w:sz w:val="24"/>
          <w:szCs w:val="24"/>
        </w:rPr>
        <w:t xml:space="preserve">, suficitin ose deficitin e atributeve, përzierjen evropiane të atributeve dhe përzierjen e mbetur përfundimtare, sipas metodologjisë </w:t>
      </w:r>
      <w:r w:rsidR="00135804">
        <w:rPr>
          <w:rFonts w:ascii="Garamond" w:hAnsi="Garamond" w:cs="Times New Roman"/>
          <w:color w:val="000000"/>
          <w:sz w:val="24"/>
          <w:szCs w:val="24"/>
        </w:rPr>
        <w:t>s</w:t>
      </w:r>
      <w:r w:rsidRPr="00E15B09">
        <w:rPr>
          <w:rFonts w:ascii="Garamond" w:hAnsi="Garamond" w:cs="Times New Roman"/>
          <w:color w:val="000000"/>
          <w:sz w:val="24"/>
          <w:szCs w:val="24"/>
        </w:rPr>
        <w:t xml:space="preserve">ë përcaktuar në </w:t>
      </w:r>
      <w:r w:rsidR="00135804">
        <w:rPr>
          <w:rFonts w:ascii="Garamond" w:hAnsi="Garamond" w:cs="Times New Roman"/>
          <w:color w:val="000000"/>
          <w:sz w:val="24"/>
          <w:szCs w:val="24"/>
        </w:rPr>
        <w:t>s</w:t>
      </w:r>
      <w:r w:rsidRPr="00E15B09">
        <w:rPr>
          <w:rFonts w:ascii="Garamond" w:hAnsi="Garamond" w:cs="Times New Roman"/>
          <w:color w:val="000000"/>
          <w:sz w:val="24"/>
          <w:szCs w:val="24"/>
        </w:rPr>
        <w:t>htojcën 1 bashkëlidhur kësaj rregullore</w:t>
      </w:r>
      <w:r w:rsidR="00135804">
        <w:rPr>
          <w:rFonts w:ascii="Garamond" w:hAnsi="Garamond" w:cs="Times New Roman"/>
          <w:color w:val="000000"/>
          <w:sz w:val="24"/>
          <w:szCs w:val="24"/>
        </w:rPr>
        <w:t>je; dhe</w:t>
      </w:r>
    </w:p>
    <w:p w14:paraId="5D959B0F" w14:textId="7B8C3393" w:rsidR="00623CEE" w:rsidRPr="00E15B09" w:rsidRDefault="00623CEE" w:rsidP="00623CEE">
      <w:pPr>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 xml:space="preserve">ç) strukturën sipas burimeve të energjisë </w:t>
      </w:r>
      <w:r w:rsidR="00135804">
        <w:rPr>
          <w:rFonts w:ascii="Garamond" w:hAnsi="Garamond" w:cs="Times New Roman"/>
          <w:color w:val="000000"/>
          <w:sz w:val="24"/>
          <w:szCs w:val="24"/>
        </w:rPr>
        <w:t>s</w:t>
      </w:r>
      <w:r w:rsidRPr="00E15B09">
        <w:rPr>
          <w:rFonts w:ascii="Garamond" w:hAnsi="Garamond" w:cs="Times New Roman"/>
          <w:color w:val="000000"/>
          <w:sz w:val="24"/>
          <w:szCs w:val="24"/>
        </w:rPr>
        <w:t xml:space="preserve">ë përzierjes </w:t>
      </w:r>
      <w:r w:rsidR="00135804">
        <w:rPr>
          <w:rFonts w:ascii="Garamond" w:hAnsi="Garamond" w:cs="Times New Roman"/>
          <w:color w:val="000000"/>
          <w:sz w:val="24"/>
          <w:szCs w:val="24"/>
        </w:rPr>
        <w:t>t</w:t>
      </w:r>
      <w:r w:rsidRPr="00E15B09">
        <w:rPr>
          <w:rFonts w:ascii="Garamond" w:hAnsi="Garamond" w:cs="Times New Roman"/>
          <w:color w:val="000000"/>
          <w:sz w:val="24"/>
          <w:szCs w:val="24"/>
        </w:rPr>
        <w:t>ë mbetur përfundimtare.</w:t>
      </w:r>
    </w:p>
    <w:p w14:paraId="4F6A7AF2" w14:textId="069957ED" w:rsidR="00623CEE" w:rsidRPr="00E15B09" w:rsidRDefault="00135804" w:rsidP="00623CEE">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3. ER</w:t>
      </w:r>
      <w:r w:rsidR="00683D06">
        <w:rPr>
          <w:rFonts w:ascii="Garamond" w:hAnsi="Garamond" w:cs="Times New Roman"/>
          <w:color w:val="000000"/>
          <w:sz w:val="24"/>
          <w:szCs w:val="24"/>
        </w:rPr>
        <w:t>R</w:t>
      </w:r>
      <w:bookmarkStart w:id="0" w:name="_GoBack"/>
      <w:bookmarkEnd w:id="0"/>
      <w:r w:rsidR="00623CEE" w:rsidRPr="00E15B09">
        <w:rPr>
          <w:rFonts w:ascii="Garamond" w:hAnsi="Garamond" w:cs="Times New Roman"/>
          <w:color w:val="000000"/>
          <w:sz w:val="24"/>
          <w:szCs w:val="24"/>
        </w:rPr>
        <w:t>E</w:t>
      </w:r>
      <w:r>
        <w:rPr>
          <w:rFonts w:ascii="Garamond" w:hAnsi="Garamond" w:cs="Times New Roman"/>
          <w:color w:val="000000"/>
          <w:sz w:val="24"/>
          <w:szCs w:val="24"/>
        </w:rPr>
        <w:t>,</w:t>
      </w:r>
      <w:r w:rsidR="00623CEE" w:rsidRPr="00E15B09">
        <w:rPr>
          <w:rFonts w:ascii="Garamond" w:hAnsi="Garamond" w:cs="Times New Roman"/>
          <w:color w:val="000000"/>
          <w:sz w:val="24"/>
          <w:szCs w:val="24"/>
        </w:rPr>
        <w:t xml:space="preserve"> gjatë përgatitjes së raportit të përcaktuar në pikën 1 të këtij neni, përdor kategoritë e burimeve të energjisë të përcaktuara në nenin 2 të </w:t>
      </w:r>
      <w:r>
        <w:rPr>
          <w:rFonts w:ascii="Garamond" w:hAnsi="Garamond" w:cs="Times New Roman"/>
          <w:color w:val="000000"/>
          <w:sz w:val="24"/>
          <w:szCs w:val="24"/>
        </w:rPr>
        <w:t>m</w:t>
      </w:r>
      <w:r w:rsidR="00623CEE" w:rsidRPr="00E15B09">
        <w:rPr>
          <w:rFonts w:ascii="Garamond" w:hAnsi="Garamond" w:cs="Times New Roman"/>
          <w:color w:val="000000"/>
          <w:sz w:val="24"/>
          <w:szCs w:val="24"/>
        </w:rPr>
        <w:t>etodologjisë për llogaritjen e përzierjes së mbetur dhe të strukturës së burimeve të energjisë elektrike të furnizuar klientëve fundorë.</w:t>
      </w:r>
    </w:p>
    <w:p w14:paraId="42FB705A" w14:textId="5A3FB3DB" w:rsidR="00623CEE" w:rsidRPr="00E15B09" w:rsidRDefault="00623CEE" w:rsidP="00623CEE">
      <w:pPr>
        <w:autoSpaceDE w:val="0"/>
        <w:autoSpaceDN w:val="0"/>
        <w:adjustRightInd w:val="0"/>
        <w:spacing w:after="0" w:line="240" w:lineRule="auto"/>
        <w:ind w:firstLine="284"/>
        <w:jc w:val="both"/>
        <w:rPr>
          <w:rFonts w:ascii="Garamond" w:hAnsi="Garamond" w:cs="Times New Roman"/>
          <w:color w:val="000000"/>
          <w:sz w:val="24"/>
          <w:szCs w:val="24"/>
        </w:rPr>
      </w:pPr>
      <w:r w:rsidRPr="00E15B09">
        <w:rPr>
          <w:rFonts w:ascii="Garamond" w:hAnsi="Garamond" w:cs="Times New Roman"/>
          <w:color w:val="000000"/>
          <w:sz w:val="24"/>
          <w:szCs w:val="24"/>
        </w:rPr>
        <w:t>4. Përzierja e mbetur pë</w:t>
      </w:r>
      <w:r w:rsidR="00135804">
        <w:rPr>
          <w:rFonts w:ascii="Garamond" w:hAnsi="Garamond" w:cs="Times New Roman"/>
          <w:color w:val="000000"/>
          <w:sz w:val="24"/>
          <w:szCs w:val="24"/>
        </w:rPr>
        <w:t>rfundimtare e publikuar nga ER</w:t>
      </w:r>
      <w:r w:rsidRPr="00E15B09">
        <w:rPr>
          <w:rFonts w:ascii="Garamond" w:hAnsi="Garamond" w:cs="Times New Roman"/>
          <w:color w:val="000000"/>
          <w:sz w:val="24"/>
          <w:szCs w:val="24"/>
        </w:rPr>
        <w:t>E, është e detyrueshme për t’u përdorur nga të gjithë furnizuesit gjatë llogaritjes së strukturës së burimeve të energjisë elektrike të furnizuar klientëve fundorë.</w:t>
      </w:r>
    </w:p>
    <w:p w14:paraId="661E99D7" w14:textId="728B41F9" w:rsidR="00DC23A4" w:rsidRPr="00E15B09" w:rsidRDefault="00DC23A4" w:rsidP="00623CEE">
      <w:pPr>
        <w:spacing w:after="0" w:line="240" w:lineRule="auto"/>
        <w:ind w:firstLine="284"/>
        <w:jc w:val="both"/>
        <w:rPr>
          <w:rFonts w:ascii="Garamond" w:hAnsi="Garamond"/>
          <w:sz w:val="24"/>
          <w:szCs w:val="24"/>
        </w:rPr>
      </w:pPr>
    </w:p>
    <w:p w14:paraId="636ED3E2" w14:textId="2DC36AA1" w:rsidR="00314B68" w:rsidRPr="00E15B09" w:rsidRDefault="00314B68" w:rsidP="00623CEE">
      <w:pPr>
        <w:spacing w:after="0" w:line="240" w:lineRule="auto"/>
        <w:ind w:firstLine="284"/>
        <w:jc w:val="both"/>
        <w:rPr>
          <w:rFonts w:ascii="Garamond" w:hAnsi="Garamond"/>
          <w:sz w:val="24"/>
          <w:szCs w:val="24"/>
        </w:rPr>
      </w:pPr>
    </w:p>
    <w:p w14:paraId="3CDE810C" w14:textId="7BE41F8A" w:rsidR="00314B68" w:rsidRPr="00E15B09" w:rsidRDefault="00314B68" w:rsidP="00623CEE">
      <w:pPr>
        <w:spacing w:after="0" w:line="240" w:lineRule="auto"/>
        <w:ind w:firstLine="284"/>
        <w:jc w:val="both"/>
        <w:rPr>
          <w:rFonts w:ascii="Garamond" w:hAnsi="Garamond"/>
          <w:sz w:val="24"/>
          <w:szCs w:val="24"/>
        </w:rPr>
      </w:pPr>
      <w:r w:rsidRPr="00E15B09">
        <w:rPr>
          <w:rFonts w:ascii="Garamond" w:hAnsi="Garamond"/>
          <w:noProof/>
          <w:sz w:val="24"/>
          <w:szCs w:val="24"/>
          <w:lang w:eastAsia="sq-AL"/>
        </w:rPr>
        <w:lastRenderedPageBreak/>
        <w:drawing>
          <wp:inline distT="0" distB="0" distL="0" distR="0" wp14:anchorId="77163766" wp14:editId="03F84E5E">
            <wp:extent cx="5676294" cy="7539487"/>
            <wp:effectExtent l="0" t="0" r="63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_29.06.2026 Regullore Residual MIX ALB conv 0.jpeg"/>
                    <pic:cNvPicPr/>
                  </pic:nvPicPr>
                  <pic:blipFill rotWithShape="1">
                    <a:blip r:embed="rId12">
                      <a:extLst>
                        <a:ext uri="{28A0092B-C50C-407E-A947-70E740481C1C}">
                          <a14:useLocalDpi xmlns:a14="http://schemas.microsoft.com/office/drawing/2010/main" val="0"/>
                        </a:ext>
                      </a:extLst>
                    </a:blip>
                    <a:srcRect l="9532" t="7483" r="8072" b="7944"/>
                    <a:stretch/>
                  </pic:blipFill>
                  <pic:spPr bwMode="auto">
                    <a:xfrm>
                      <a:off x="0" y="0"/>
                      <a:ext cx="5692535" cy="7561059"/>
                    </a:xfrm>
                    <a:prstGeom prst="rect">
                      <a:avLst/>
                    </a:prstGeom>
                    <a:ln>
                      <a:noFill/>
                    </a:ln>
                    <a:extLst>
                      <a:ext uri="{53640926-AAD7-44D8-BBD7-CCE9431645EC}">
                        <a14:shadowObscured xmlns:a14="http://schemas.microsoft.com/office/drawing/2010/main"/>
                      </a:ext>
                    </a:extLst>
                  </pic:spPr>
                </pic:pic>
              </a:graphicData>
            </a:graphic>
          </wp:inline>
        </w:drawing>
      </w:r>
      <w:r w:rsidRPr="00E15B09">
        <w:rPr>
          <w:rFonts w:ascii="Garamond" w:hAnsi="Garamond"/>
          <w:noProof/>
          <w:sz w:val="24"/>
          <w:szCs w:val="24"/>
          <w:lang w:eastAsia="sq-AL"/>
        </w:rPr>
        <w:lastRenderedPageBreak/>
        <w:drawing>
          <wp:inline distT="0" distB="0" distL="0" distR="0" wp14:anchorId="411DAF6E" wp14:editId="1FDCD847">
            <wp:extent cx="5992737" cy="7410090"/>
            <wp:effectExtent l="0" t="0" r="825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_29.06.2026 Regullore Residual MIX ALB conv 1.jpeg"/>
                    <pic:cNvPicPr/>
                  </pic:nvPicPr>
                  <pic:blipFill rotWithShape="1">
                    <a:blip r:embed="rId13">
                      <a:extLst>
                        <a:ext uri="{28A0092B-C50C-407E-A947-70E740481C1C}">
                          <a14:useLocalDpi xmlns:a14="http://schemas.microsoft.com/office/drawing/2010/main" val="0"/>
                        </a:ext>
                      </a:extLst>
                    </a:blip>
                    <a:srcRect l="8301" t="7602" r="7769" b="12202"/>
                    <a:stretch/>
                  </pic:blipFill>
                  <pic:spPr bwMode="auto">
                    <a:xfrm>
                      <a:off x="0" y="0"/>
                      <a:ext cx="6006271" cy="7426824"/>
                    </a:xfrm>
                    <a:prstGeom prst="rect">
                      <a:avLst/>
                    </a:prstGeom>
                    <a:ln>
                      <a:noFill/>
                    </a:ln>
                    <a:extLst>
                      <a:ext uri="{53640926-AAD7-44D8-BBD7-CCE9431645EC}">
                        <a14:shadowObscured xmlns:a14="http://schemas.microsoft.com/office/drawing/2010/main"/>
                      </a:ext>
                    </a:extLst>
                  </pic:spPr>
                </pic:pic>
              </a:graphicData>
            </a:graphic>
          </wp:inline>
        </w:drawing>
      </w:r>
      <w:r w:rsidRPr="00E15B09">
        <w:rPr>
          <w:rFonts w:ascii="Garamond" w:hAnsi="Garamond"/>
          <w:noProof/>
          <w:sz w:val="24"/>
          <w:szCs w:val="24"/>
          <w:lang w:eastAsia="sq-AL"/>
        </w:rPr>
        <w:lastRenderedPageBreak/>
        <w:drawing>
          <wp:inline distT="0" distB="0" distL="0" distR="0" wp14:anchorId="5B58D8C3" wp14:editId="1D8428BE">
            <wp:extent cx="5858230" cy="7487728"/>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_29.06.2026 Regullore Residual MIX ALB conv 2.jpeg"/>
                    <pic:cNvPicPr/>
                  </pic:nvPicPr>
                  <pic:blipFill rotWithShape="1">
                    <a:blip r:embed="rId14">
                      <a:extLst>
                        <a:ext uri="{28A0092B-C50C-407E-A947-70E740481C1C}">
                          <a14:useLocalDpi xmlns:a14="http://schemas.microsoft.com/office/drawing/2010/main" val="0"/>
                        </a:ext>
                      </a:extLst>
                    </a:blip>
                    <a:srcRect l="8762" t="8908" r="7295" b="8182"/>
                    <a:stretch/>
                  </pic:blipFill>
                  <pic:spPr bwMode="auto">
                    <a:xfrm>
                      <a:off x="0" y="0"/>
                      <a:ext cx="5869401" cy="7502006"/>
                    </a:xfrm>
                    <a:prstGeom prst="rect">
                      <a:avLst/>
                    </a:prstGeom>
                    <a:ln>
                      <a:noFill/>
                    </a:ln>
                    <a:extLst>
                      <a:ext uri="{53640926-AAD7-44D8-BBD7-CCE9431645EC}">
                        <a14:shadowObscured xmlns:a14="http://schemas.microsoft.com/office/drawing/2010/main"/>
                      </a:ext>
                    </a:extLst>
                  </pic:spPr>
                </pic:pic>
              </a:graphicData>
            </a:graphic>
          </wp:inline>
        </w:drawing>
      </w:r>
      <w:r w:rsidRPr="00E15B09">
        <w:rPr>
          <w:rFonts w:ascii="Garamond" w:hAnsi="Garamond"/>
          <w:noProof/>
          <w:sz w:val="24"/>
          <w:szCs w:val="24"/>
          <w:lang w:eastAsia="sq-AL"/>
        </w:rPr>
        <w:lastRenderedPageBreak/>
        <w:drawing>
          <wp:inline distT="0" distB="0" distL="0" distR="0" wp14:anchorId="64702A35" wp14:editId="2BDDDB98">
            <wp:extent cx="5814900" cy="634904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_29.06.2026 Regullore Residual MIX ALB conv 3.jpeg"/>
                    <pic:cNvPicPr/>
                  </pic:nvPicPr>
                  <pic:blipFill rotWithShape="1">
                    <a:blip r:embed="rId15">
                      <a:extLst>
                        <a:ext uri="{28A0092B-C50C-407E-A947-70E740481C1C}">
                          <a14:useLocalDpi xmlns:a14="http://schemas.microsoft.com/office/drawing/2010/main" val="0"/>
                        </a:ext>
                      </a:extLst>
                    </a:blip>
                    <a:srcRect l="7994" t="10334" r="8234" b="18984"/>
                    <a:stretch/>
                  </pic:blipFill>
                  <pic:spPr bwMode="auto">
                    <a:xfrm>
                      <a:off x="0" y="0"/>
                      <a:ext cx="5822063" cy="6356862"/>
                    </a:xfrm>
                    <a:prstGeom prst="rect">
                      <a:avLst/>
                    </a:prstGeom>
                    <a:ln>
                      <a:noFill/>
                    </a:ln>
                    <a:extLst>
                      <a:ext uri="{53640926-AAD7-44D8-BBD7-CCE9431645EC}">
                        <a14:shadowObscured xmlns:a14="http://schemas.microsoft.com/office/drawing/2010/main"/>
                      </a:ext>
                    </a:extLst>
                  </pic:spPr>
                </pic:pic>
              </a:graphicData>
            </a:graphic>
          </wp:inline>
        </w:drawing>
      </w:r>
      <w:r w:rsidRPr="00E15B09">
        <w:rPr>
          <w:rFonts w:ascii="Garamond" w:hAnsi="Garamond"/>
          <w:noProof/>
          <w:sz w:val="24"/>
          <w:szCs w:val="24"/>
          <w:lang w:eastAsia="sq-AL"/>
        </w:rPr>
        <w:lastRenderedPageBreak/>
        <w:drawing>
          <wp:inline distT="0" distB="0" distL="0" distR="0" wp14:anchorId="7B573EB5" wp14:editId="45CEAE25">
            <wp:extent cx="5958458" cy="7737894"/>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_29.06.2026 Regullore Residual MIX ALB conv 4.jpeg"/>
                    <pic:cNvPicPr/>
                  </pic:nvPicPr>
                  <pic:blipFill rotWithShape="1">
                    <a:blip r:embed="rId16">
                      <a:extLst>
                        <a:ext uri="{28A0092B-C50C-407E-A947-70E740481C1C}">
                          <a14:useLocalDpi xmlns:a14="http://schemas.microsoft.com/office/drawing/2010/main" val="0"/>
                        </a:ext>
                      </a:extLst>
                    </a:blip>
                    <a:srcRect l="8147" t="7483" r="7917" b="8285"/>
                    <a:stretch/>
                  </pic:blipFill>
                  <pic:spPr bwMode="auto">
                    <a:xfrm>
                      <a:off x="0" y="0"/>
                      <a:ext cx="5972472" cy="7756093"/>
                    </a:xfrm>
                    <a:prstGeom prst="rect">
                      <a:avLst/>
                    </a:prstGeom>
                    <a:ln>
                      <a:noFill/>
                    </a:ln>
                    <a:extLst>
                      <a:ext uri="{53640926-AAD7-44D8-BBD7-CCE9431645EC}">
                        <a14:shadowObscured xmlns:a14="http://schemas.microsoft.com/office/drawing/2010/main"/>
                      </a:ext>
                    </a:extLst>
                  </pic:spPr>
                </pic:pic>
              </a:graphicData>
            </a:graphic>
          </wp:inline>
        </w:drawing>
      </w:r>
      <w:r w:rsidRPr="00E15B09">
        <w:rPr>
          <w:rFonts w:ascii="Garamond" w:hAnsi="Garamond"/>
          <w:noProof/>
          <w:sz w:val="24"/>
          <w:szCs w:val="24"/>
          <w:lang w:eastAsia="sq-AL"/>
        </w:rPr>
        <w:lastRenderedPageBreak/>
        <w:drawing>
          <wp:inline distT="0" distB="0" distL="0" distR="0" wp14:anchorId="5B4267F9" wp14:editId="6B79C719">
            <wp:extent cx="6127003" cy="7798279"/>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_29.06.2026 Regullore Residual MIX ALB conv 5.jpeg"/>
                    <pic:cNvPicPr/>
                  </pic:nvPicPr>
                  <pic:blipFill rotWithShape="1">
                    <a:blip r:embed="rId17">
                      <a:extLst>
                        <a:ext uri="{28A0092B-C50C-407E-A947-70E740481C1C}">
                          <a14:useLocalDpi xmlns:a14="http://schemas.microsoft.com/office/drawing/2010/main" val="0"/>
                        </a:ext>
                      </a:extLst>
                    </a:blip>
                    <a:srcRect l="4766" t="7483" r="7911" b="6630"/>
                    <a:stretch/>
                  </pic:blipFill>
                  <pic:spPr bwMode="auto">
                    <a:xfrm>
                      <a:off x="0" y="0"/>
                      <a:ext cx="6136901" cy="7810877"/>
                    </a:xfrm>
                    <a:prstGeom prst="rect">
                      <a:avLst/>
                    </a:prstGeom>
                    <a:ln>
                      <a:noFill/>
                    </a:ln>
                    <a:extLst>
                      <a:ext uri="{53640926-AAD7-44D8-BBD7-CCE9431645EC}">
                        <a14:shadowObscured xmlns:a14="http://schemas.microsoft.com/office/drawing/2010/main"/>
                      </a:ext>
                    </a:extLst>
                  </pic:spPr>
                </pic:pic>
              </a:graphicData>
            </a:graphic>
          </wp:inline>
        </w:drawing>
      </w:r>
      <w:r w:rsidRPr="00E15B09">
        <w:rPr>
          <w:rFonts w:ascii="Garamond" w:hAnsi="Garamond"/>
          <w:noProof/>
          <w:sz w:val="24"/>
          <w:szCs w:val="24"/>
          <w:lang w:eastAsia="sq-AL"/>
        </w:rPr>
        <w:lastRenderedPageBreak/>
        <w:drawing>
          <wp:inline distT="0" distB="0" distL="0" distR="0" wp14:anchorId="441D30AC" wp14:editId="63DA538A">
            <wp:extent cx="6012979" cy="7254815"/>
            <wp:effectExtent l="0" t="0" r="6985"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_29.06.2026 Regullore Residual MIX ALB conv 6.jpeg"/>
                    <pic:cNvPicPr/>
                  </pic:nvPicPr>
                  <pic:blipFill rotWithShape="1">
                    <a:blip r:embed="rId18">
                      <a:extLst>
                        <a:ext uri="{28A0092B-C50C-407E-A947-70E740481C1C}">
                          <a14:useLocalDpi xmlns:a14="http://schemas.microsoft.com/office/drawing/2010/main" val="0"/>
                        </a:ext>
                      </a:extLst>
                    </a:blip>
                    <a:srcRect l="6304" t="7839" r="5916" b="10318"/>
                    <a:stretch/>
                  </pic:blipFill>
                  <pic:spPr bwMode="auto">
                    <a:xfrm>
                      <a:off x="0" y="0"/>
                      <a:ext cx="6023324" cy="7267297"/>
                    </a:xfrm>
                    <a:prstGeom prst="rect">
                      <a:avLst/>
                    </a:prstGeom>
                    <a:ln>
                      <a:noFill/>
                    </a:ln>
                    <a:extLst>
                      <a:ext uri="{53640926-AAD7-44D8-BBD7-CCE9431645EC}">
                        <a14:shadowObscured xmlns:a14="http://schemas.microsoft.com/office/drawing/2010/main"/>
                      </a:ext>
                    </a:extLst>
                  </pic:spPr>
                </pic:pic>
              </a:graphicData>
            </a:graphic>
          </wp:inline>
        </w:drawing>
      </w:r>
      <w:r w:rsidRPr="00E15B09">
        <w:rPr>
          <w:rFonts w:ascii="Garamond" w:hAnsi="Garamond"/>
          <w:noProof/>
          <w:sz w:val="24"/>
          <w:szCs w:val="24"/>
          <w:lang w:eastAsia="sq-AL"/>
        </w:rPr>
        <w:lastRenderedPageBreak/>
        <w:drawing>
          <wp:inline distT="0" distB="0" distL="0" distR="0" wp14:anchorId="7F297D81" wp14:editId="748A027D">
            <wp:extent cx="5728970" cy="7177177"/>
            <wp:effectExtent l="0" t="0" r="508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_29.06.2026 Regullore Residual MIX ALB conv 7.jpeg"/>
                    <pic:cNvPicPr/>
                  </pic:nvPicPr>
                  <pic:blipFill rotWithShape="1">
                    <a:blip r:embed="rId19">
                      <a:extLst>
                        <a:ext uri="{28A0092B-C50C-407E-A947-70E740481C1C}">
                          <a14:useLocalDpi xmlns:a14="http://schemas.microsoft.com/office/drawing/2010/main" val="0"/>
                        </a:ext>
                      </a:extLst>
                    </a:blip>
                    <a:srcRect l="6610" t="7602" r="6997" b="8760"/>
                    <a:stretch/>
                  </pic:blipFill>
                  <pic:spPr bwMode="auto">
                    <a:xfrm>
                      <a:off x="0" y="0"/>
                      <a:ext cx="5737486" cy="7187846"/>
                    </a:xfrm>
                    <a:prstGeom prst="rect">
                      <a:avLst/>
                    </a:prstGeom>
                    <a:ln>
                      <a:noFill/>
                    </a:ln>
                    <a:extLst>
                      <a:ext uri="{53640926-AAD7-44D8-BBD7-CCE9431645EC}">
                        <a14:shadowObscured xmlns:a14="http://schemas.microsoft.com/office/drawing/2010/main"/>
                      </a:ext>
                    </a:extLst>
                  </pic:spPr>
                </pic:pic>
              </a:graphicData>
            </a:graphic>
          </wp:inline>
        </w:drawing>
      </w:r>
      <w:r w:rsidRPr="00E15B09">
        <w:rPr>
          <w:rFonts w:ascii="Garamond" w:hAnsi="Garamond"/>
          <w:noProof/>
          <w:sz w:val="24"/>
          <w:szCs w:val="24"/>
          <w:lang w:eastAsia="sq-AL"/>
        </w:rPr>
        <w:lastRenderedPageBreak/>
        <w:drawing>
          <wp:inline distT="0" distB="0" distL="0" distR="0" wp14:anchorId="799AFA53" wp14:editId="18255223">
            <wp:extent cx="5737390" cy="3045124"/>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_29.06.2026 Regullore Residual MIX ALB conv 8.jpeg"/>
                    <pic:cNvPicPr/>
                  </pic:nvPicPr>
                  <pic:blipFill rotWithShape="1">
                    <a:blip r:embed="rId20">
                      <a:extLst>
                        <a:ext uri="{28A0092B-C50C-407E-A947-70E740481C1C}">
                          <a14:useLocalDpi xmlns:a14="http://schemas.microsoft.com/office/drawing/2010/main" val="0"/>
                        </a:ext>
                      </a:extLst>
                    </a:blip>
                    <a:srcRect l="8610" t="7246" r="6519" b="57945"/>
                    <a:stretch/>
                  </pic:blipFill>
                  <pic:spPr bwMode="auto">
                    <a:xfrm>
                      <a:off x="0" y="0"/>
                      <a:ext cx="5752623" cy="3053209"/>
                    </a:xfrm>
                    <a:prstGeom prst="rect">
                      <a:avLst/>
                    </a:prstGeom>
                    <a:ln>
                      <a:noFill/>
                    </a:ln>
                    <a:extLst>
                      <a:ext uri="{53640926-AAD7-44D8-BBD7-CCE9431645EC}">
                        <a14:shadowObscured xmlns:a14="http://schemas.microsoft.com/office/drawing/2010/main"/>
                      </a:ext>
                    </a:extLst>
                  </pic:spPr>
                </pic:pic>
              </a:graphicData>
            </a:graphic>
          </wp:inline>
        </w:drawing>
      </w:r>
    </w:p>
    <w:sectPr w:rsidR="00314B68" w:rsidRPr="00E15B09" w:rsidSect="006E5D7C">
      <w:pgSz w:w="12240" w:h="15840"/>
      <w:pgMar w:top="810" w:right="1701" w:bottom="900" w:left="1701" w:header="720" w:footer="55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80370A" w14:textId="77777777" w:rsidR="00A70E6A" w:rsidRDefault="00A70E6A">
      <w:pPr>
        <w:spacing w:after="0" w:line="240" w:lineRule="auto"/>
      </w:pPr>
      <w:r>
        <w:separator/>
      </w:r>
    </w:p>
  </w:endnote>
  <w:endnote w:type="continuationSeparator" w:id="0">
    <w:p w14:paraId="42563436" w14:textId="77777777" w:rsidR="00A70E6A" w:rsidRDefault="00A70E6A">
      <w:pPr>
        <w:spacing w:after="0" w:line="240" w:lineRule="auto"/>
      </w:pPr>
      <w:r>
        <w:continuationSeparator/>
      </w:r>
    </w:p>
  </w:endnote>
  <w:endnote w:type="continuationNotice" w:id="1">
    <w:p w14:paraId="12032D28" w14:textId="77777777" w:rsidR="00A70E6A" w:rsidRDefault="00A70E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D92B94" w14:textId="77777777" w:rsidR="00A70E6A" w:rsidRDefault="00A70E6A">
      <w:pPr>
        <w:spacing w:after="0" w:line="240" w:lineRule="auto"/>
      </w:pPr>
      <w:r>
        <w:separator/>
      </w:r>
    </w:p>
  </w:footnote>
  <w:footnote w:type="continuationSeparator" w:id="0">
    <w:p w14:paraId="68DDC3F1" w14:textId="77777777" w:rsidR="00A70E6A" w:rsidRDefault="00A70E6A">
      <w:pPr>
        <w:spacing w:after="0" w:line="240" w:lineRule="auto"/>
      </w:pPr>
      <w:r>
        <w:continuationSeparator/>
      </w:r>
    </w:p>
  </w:footnote>
  <w:footnote w:type="continuationNotice" w:id="1">
    <w:p w14:paraId="4E9BAD5E" w14:textId="77777777" w:rsidR="00A70E6A" w:rsidRDefault="00A70E6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B3973"/>
    <w:multiLevelType w:val="hybridMultilevel"/>
    <w:tmpl w:val="654697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377D00"/>
    <w:multiLevelType w:val="hybridMultilevel"/>
    <w:tmpl w:val="015A162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BF295A"/>
    <w:multiLevelType w:val="hybridMultilevel"/>
    <w:tmpl w:val="B13E2A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05649A"/>
    <w:multiLevelType w:val="hybridMultilevel"/>
    <w:tmpl w:val="57C69D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E45628"/>
    <w:multiLevelType w:val="hybridMultilevel"/>
    <w:tmpl w:val="228246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4F3198"/>
    <w:multiLevelType w:val="hybridMultilevel"/>
    <w:tmpl w:val="89E8156A"/>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 w15:restartNumberingAfterBreak="0">
    <w:nsid w:val="356C3265"/>
    <w:multiLevelType w:val="hybridMultilevel"/>
    <w:tmpl w:val="BA643DA4"/>
    <w:lvl w:ilvl="0" w:tplc="3248463E">
      <w:start w:val="1"/>
      <w:numFmt w:val="lowerRoman"/>
      <w:lvlText w:val="%1."/>
      <w:lvlJc w:val="righ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4E069A"/>
    <w:multiLevelType w:val="multilevel"/>
    <w:tmpl w:val="041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D170781"/>
    <w:multiLevelType w:val="hybridMultilevel"/>
    <w:tmpl w:val="23DC05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4D66AB"/>
    <w:multiLevelType w:val="multilevel"/>
    <w:tmpl w:val="F19A375A"/>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632C58D7"/>
    <w:multiLevelType w:val="hybridMultilevel"/>
    <w:tmpl w:val="A4C48928"/>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1AF06EA"/>
    <w:multiLevelType w:val="hybridMultilevel"/>
    <w:tmpl w:val="A4C4892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30D1C73"/>
    <w:multiLevelType w:val="hybridMultilevel"/>
    <w:tmpl w:val="62FCB872"/>
    <w:lvl w:ilvl="0" w:tplc="733C21C2">
      <w:start w:val="1"/>
      <w:numFmt w:val="upperRoman"/>
      <w:lvlText w:val="%1."/>
      <w:lvlJc w:val="left"/>
      <w:pPr>
        <w:ind w:left="1080" w:hanging="720"/>
      </w:pPr>
      <w:rPr>
        <w:rFonts w:hint="default"/>
        <w:b/>
        <w:bCs/>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7524420A"/>
    <w:multiLevelType w:val="hybridMultilevel"/>
    <w:tmpl w:val="F6C0B7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9EA4EAE"/>
    <w:multiLevelType w:val="hybridMultilevel"/>
    <w:tmpl w:val="3EDC08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7"/>
  </w:num>
  <w:num w:numId="4">
    <w:abstractNumId w:val="12"/>
  </w:num>
  <w:num w:numId="5">
    <w:abstractNumId w:val="6"/>
  </w:num>
  <w:num w:numId="6">
    <w:abstractNumId w:val="3"/>
  </w:num>
  <w:num w:numId="7">
    <w:abstractNumId w:val="2"/>
  </w:num>
  <w:num w:numId="8">
    <w:abstractNumId w:val="13"/>
  </w:num>
  <w:num w:numId="9">
    <w:abstractNumId w:val="11"/>
  </w:num>
  <w:num w:numId="10">
    <w:abstractNumId w:val="10"/>
  </w:num>
  <w:num w:numId="11">
    <w:abstractNumId w:val="4"/>
  </w:num>
  <w:num w:numId="12">
    <w:abstractNumId w:val="14"/>
  </w:num>
  <w:num w:numId="13">
    <w:abstractNumId w:val="9"/>
  </w:num>
  <w:num w:numId="14">
    <w:abstractNumId w:val="1"/>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58E"/>
    <w:rsid w:val="0003067F"/>
    <w:rsid w:val="000378C5"/>
    <w:rsid w:val="00043608"/>
    <w:rsid w:val="000479AE"/>
    <w:rsid w:val="00056D25"/>
    <w:rsid w:val="000616A1"/>
    <w:rsid w:val="000767C6"/>
    <w:rsid w:val="00084C23"/>
    <w:rsid w:val="000869AE"/>
    <w:rsid w:val="00092F81"/>
    <w:rsid w:val="00096858"/>
    <w:rsid w:val="00096E8B"/>
    <w:rsid w:val="000A224C"/>
    <w:rsid w:val="000B3377"/>
    <w:rsid w:val="000C4052"/>
    <w:rsid w:val="000C42A7"/>
    <w:rsid w:val="000D7B85"/>
    <w:rsid w:val="00105B9A"/>
    <w:rsid w:val="00115999"/>
    <w:rsid w:val="00134912"/>
    <w:rsid w:val="00135804"/>
    <w:rsid w:val="001359EF"/>
    <w:rsid w:val="00141A0C"/>
    <w:rsid w:val="00145EF8"/>
    <w:rsid w:val="00146DD9"/>
    <w:rsid w:val="00163600"/>
    <w:rsid w:val="0016371B"/>
    <w:rsid w:val="001643D1"/>
    <w:rsid w:val="00166723"/>
    <w:rsid w:val="00173429"/>
    <w:rsid w:val="001875F6"/>
    <w:rsid w:val="00190128"/>
    <w:rsid w:val="00192C29"/>
    <w:rsid w:val="001A3023"/>
    <w:rsid w:val="001B18D7"/>
    <w:rsid w:val="001D6E7F"/>
    <w:rsid w:val="001D7F40"/>
    <w:rsid w:val="001E240F"/>
    <w:rsid w:val="001F0490"/>
    <w:rsid w:val="001F292A"/>
    <w:rsid w:val="001F480F"/>
    <w:rsid w:val="00202DED"/>
    <w:rsid w:val="00206D20"/>
    <w:rsid w:val="002113FB"/>
    <w:rsid w:val="00212EDC"/>
    <w:rsid w:val="0023795E"/>
    <w:rsid w:val="0024485B"/>
    <w:rsid w:val="00244905"/>
    <w:rsid w:val="00244D48"/>
    <w:rsid w:val="0025517D"/>
    <w:rsid w:val="002569C3"/>
    <w:rsid w:val="00262128"/>
    <w:rsid w:val="00272DAE"/>
    <w:rsid w:val="0028068B"/>
    <w:rsid w:val="0028125A"/>
    <w:rsid w:val="00286FEF"/>
    <w:rsid w:val="002937DA"/>
    <w:rsid w:val="00294DF4"/>
    <w:rsid w:val="002A4AE7"/>
    <w:rsid w:val="002B03C4"/>
    <w:rsid w:val="002B3E1E"/>
    <w:rsid w:val="002C0563"/>
    <w:rsid w:val="002C3C52"/>
    <w:rsid w:val="002C3E69"/>
    <w:rsid w:val="002D4094"/>
    <w:rsid w:val="002D74E8"/>
    <w:rsid w:val="00303B90"/>
    <w:rsid w:val="00310775"/>
    <w:rsid w:val="00313A91"/>
    <w:rsid w:val="00314B68"/>
    <w:rsid w:val="00317CCB"/>
    <w:rsid w:val="00324EDD"/>
    <w:rsid w:val="003314E7"/>
    <w:rsid w:val="003353A5"/>
    <w:rsid w:val="0034035B"/>
    <w:rsid w:val="00374CAF"/>
    <w:rsid w:val="00377A58"/>
    <w:rsid w:val="0038519F"/>
    <w:rsid w:val="0039102D"/>
    <w:rsid w:val="00394256"/>
    <w:rsid w:val="00395C90"/>
    <w:rsid w:val="003A50BF"/>
    <w:rsid w:val="003B1497"/>
    <w:rsid w:val="003B1FE3"/>
    <w:rsid w:val="003B4D7E"/>
    <w:rsid w:val="003D3A5D"/>
    <w:rsid w:val="003D7BD6"/>
    <w:rsid w:val="003E4DD6"/>
    <w:rsid w:val="003E67DC"/>
    <w:rsid w:val="003F0F88"/>
    <w:rsid w:val="003F334A"/>
    <w:rsid w:val="003F6294"/>
    <w:rsid w:val="0040238B"/>
    <w:rsid w:val="004160EB"/>
    <w:rsid w:val="00416537"/>
    <w:rsid w:val="004213A6"/>
    <w:rsid w:val="00453D1C"/>
    <w:rsid w:val="00453F26"/>
    <w:rsid w:val="00461F03"/>
    <w:rsid w:val="0047750D"/>
    <w:rsid w:val="004838F5"/>
    <w:rsid w:val="0048567F"/>
    <w:rsid w:val="004A1A6D"/>
    <w:rsid w:val="004D14AB"/>
    <w:rsid w:val="004D3499"/>
    <w:rsid w:val="004F1298"/>
    <w:rsid w:val="004F670F"/>
    <w:rsid w:val="00500A15"/>
    <w:rsid w:val="00502BEF"/>
    <w:rsid w:val="00511850"/>
    <w:rsid w:val="0051457E"/>
    <w:rsid w:val="00514BE0"/>
    <w:rsid w:val="00516936"/>
    <w:rsid w:val="005276EF"/>
    <w:rsid w:val="00537FB6"/>
    <w:rsid w:val="005560D9"/>
    <w:rsid w:val="00590EFD"/>
    <w:rsid w:val="005A6AA6"/>
    <w:rsid w:val="005A7B3E"/>
    <w:rsid w:val="005B0E9E"/>
    <w:rsid w:val="005B389D"/>
    <w:rsid w:val="005F5B54"/>
    <w:rsid w:val="0060312E"/>
    <w:rsid w:val="00620248"/>
    <w:rsid w:val="00623CEE"/>
    <w:rsid w:val="00634054"/>
    <w:rsid w:val="0064442C"/>
    <w:rsid w:val="0064794E"/>
    <w:rsid w:val="00660569"/>
    <w:rsid w:val="00667FD4"/>
    <w:rsid w:val="00683637"/>
    <w:rsid w:val="00683D06"/>
    <w:rsid w:val="00687D83"/>
    <w:rsid w:val="00694384"/>
    <w:rsid w:val="006A0428"/>
    <w:rsid w:val="006A3945"/>
    <w:rsid w:val="006C2DBD"/>
    <w:rsid w:val="006C6D32"/>
    <w:rsid w:val="006D6FA6"/>
    <w:rsid w:val="006E5D7C"/>
    <w:rsid w:val="006F1A45"/>
    <w:rsid w:val="00700EE8"/>
    <w:rsid w:val="00727782"/>
    <w:rsid w:val="00740A3C"/>
    <w:rsid w:val="00755902"/>
    <w:rsid w:val="00763FE2"/>
    <w:rsid w:val="00785564"/>
    <w:rsid w:val="00794B76"/>
    <w:rsid w:val="007D26DE"/>
    <w:rsid w:val="007D317E"/>
    <w:rsid w:val="007D68E9"/>
    <w:rsid w:val="007D7613"/>
    <w:rsid w:val="00801313"/>
    <w:rsid w:val="008029F4"/>
    <w:rsid w:val="008045E4"/>
    <w:rsid w:val="00813924"/>
    <w:rsid w:val="00815C13"/>
    <w:rsid w:val="00817436"/>
    <w:rsid w:val="00836D01"/>
    <w:rsid w:val="008420CD"/>
    <w:rsid w:val="008465DB"/>
    <w:rsid w:val="00876B9F"/>
    <w:rsid w:val="00886955"/>
    <w:rsid w:val="00886CA5"/>
    <w:rsid w:val="00887420"/>
    <w:rsid w:val="008A3834"/>
    <w:rsid w:val="008B7096"/>
    <w:rsid w:val="008B7607"/>
    <w:rsid w:val="008F34AA"/>
    <w:rsid w:val="008F3794"/>
    <w:rsid w:val="008F41F7"/>
    <w:rsid w:val="009429F7"/>
    <w:rsid w:val="009447FE"/>
    <w:rsid w:val="00947F96"/>
    <w:rsid w:val="00956C97"/>
    <w:rsid w:val="00957327"/>
    <w:rsid w:val="0096586A"/>
    <w:rsid w:val="00973970"/>
    <w:rsid w:val="00974D3D"/>
    <w:rsid w:val="009766C2"/>
    <w:rsid w:val="009924AF"/>
    <w:rsid w:val="009B0FB0"/>
    <w:rsid w:val="009B78D3"/>
    <w:rsid w:val="009B7CC7"/>
    <w:rsid w:val="009D5093"/>
    <w:rsid w:val="009E53D8"/>
    <w:rsid w:val="00A06502"/>
    <w:rsid w:val="00A12EDB"/>
    <w:rsid w:val="00A17A4C"/>
    <w:rsid w:val="00A35747"/>
    <w:rsid w:val="00A45B4A"/>
    <w:rsid w:val="00A51BF1"/>
    <w:rsid w:val="00A5585A"/>
    <w:rsid w:val="00A645E5"/>
    <w:rsid w:val="00A64917"/>
    <w:rsid w:val="00A70E6A"/>
    <w:rsid w:val="00A7212D"/>
    <w:rsid w:val="00A72564"/>
    <w:rsid w:val="00A7403C"/>
    <w:rsid w:val="00A84035"/>
    <w:rsid w:val="00AA1F0B"/>
    <w:rsid w:val="00AD09EF"/>
    <w:rsid w:val="00AE4B3E"/>
    <w:rsid w:val="00B32136"/>
    <w:rsid w:val="00B33818"/>
    <w:rsid w:val="00B3687D"/>
    <w:rsid w:val="00B4258E"/>
    <w:rsid w:val="00B61023"/>
    <w:rsid w:val="00B673E9"/>
    <w:rsid w:val="00B719DB"/>
    <w:rsid w:val="00B90892"/>
    <w:rsid w:val="00B910AB"/>
    <w:rsid w:val="00B93515"/>
    <w:rsid w:val="00B97558"/>
    <w:rsid w:val="00BB1EB7"/>
    <w:rsid w:val="00BE14C5"/>
    <w:rsid w:val="00BF4457"/>
    <w:rsid w:val="00BF4685"/>
    <w:rsid w:val="00BF5944"/>
    <w:rsid w:val="00C20651"/>
    <w:rsid w:val="00C2337A"/>
    <w:rsid w:val="00C2642D"/>
    <w:rsid w:val="00C3429A"/>
    <w:rsid w:val="00CB0951"/>
    <w:rsid w:val="00CB09F9"/>
    <w:rsid w:val="00CE0128"/>
    <w:rsid w:val="00CE04CD"/>
    <w:rsid w:val="00CE4A22"/>
    <w:rsid w:val="00CF67E5"/>
    <w:rsid w:val="00D0064C"/>
    <w:rsid w:val="00D04BFA"/>
    <w:rsid w:val="00D2428E"/>
    <w:rsid w:val="00D36881"/>
    <w:rsid w:val="00D53085"/>
    <w:rsid w:val="00D54CCA"/>
    <w:rsid w:val="00D61788"/>
    <w:rsid w:val="00D679DF"/>
    <w:rsid w:val="00D81349"/>
    <w:rsid w:val="00D82EC4"/>
    <w:rsid w:val="00D87F9A"/>
    <w:rsid w:val="00D97D73"/>
    <w:rsid w:val="00DA05C0"/>
    <w:rsid w:val="00DA5A74"/>
    <w:rsid w:val="00DB1965"/>
    <w:rsid w:val="00DB6CDE"/>
    <w:rsid w:val="00DB73F9"/>
    <w:rsid w:val="00DC23A4"/>
    <w:rsid w:val="00DC46A1"/>
    <w:rsid w:val="00DC6B55"/>
    <w:rsid w:val="00DF3238"/>
    <w:rsid w:val="00DF3D2D"/>
    <w:rsid w:val="00DF6E4B"/>
    <w:rsid w:val="00E05C5B"/>
    <w:rsid w:val="00E15B09"/>
    <w:rsid w:val="00E23E18"/>
    <w:rsid w:val="00E318AC"/>
    <w:rsid w:val="00E50AE4"/>
    <w:rsid w:val="00E54422"/>
    <w:rsid w:val="00E65420"/>
    <w:rsid w:val="00E73148"/>
    <w:rsid w:val="00E76051"/>
    <w:rsid w:val="00E77515"/>
    <w:rsid w:val="00E843E2"/>
    <w:rsid w:val="00E875DD"/>
    <w:rsid w:val="00EB1BCE"/>
    <w:rsid w:val="00EB556B"/>
    <w:rsid w:val="00EE2E69"/>
    <w:rsid w:val="00EE4F39"/>
    <w:rsid w:val="00F1025A"/>
    <w:rsid w:val="00F11E72"/>
    <w:rsid w:val="00F159E1"/>
    <w:rsid w:val="00F165EB"/>
    <w:rsid w:val="00F35FFF"/>
    <w:rsid w:val="00F47E91"/>
    <w:rsid w:val="00F62537"/>
    <w:rsid w:val="00F6257B"/>
    <w:rsid w:val="00F66A8C"/>
    <w:rsid w:val="00F81A12"/>
    <w:rsid w:val="00F9222D"/>
    <w:rsid w:val="00FB61B7"/>
    <w:rsid w:val="00FC7800"/>
    <w:rsid w:val="00FE12BF"/>
    <w:rsid w:val="00FE1BAE"/>
    <w:rsid w:val="00FE5FFE"/>
    <w:rsid w:val="00FE6602"/>
    <w:rsid w:val="00FF0A23"/>
    <w:rsid w:val="00FF38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616AE"/>
  <w15:docId w15:val="{B37484F6-F661-49B6-9F2D-A00D57CB0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4258E"/>
    <w:pPr>
      <w:spacing w:after="200" w:line="276" w:lineRule="auto"/>
    </w:pPr>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4258E"/>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B4258E"/>
    <w:rPr>
      <w:rFonts w:ascii="Calibri" w:eastAsia="Calibri" w:hAnsi="Calibri" w:cs="Times New Roman"/>
    </w:rPr>
  </w:style>
  <w:style w:type="character" w:styleId="Hyperlink">
    <w:name w:val="Hyperlink"/>
    <w:basedOn w:val="DefaultParagraphFont"/>
    <w:unhideWhenUsed/>
    <w:rsid w:val="00B4258E"/>
    <w:rPr>
      <w:color w:val="0000FF"/>
      <w:u w:val="single"/>
    </w:rPr>
  </w:style>
  <w:style w:type="paragraph" w:styleId="Header">
    <w:name w:val="header"/>
    <w:basedOn w:val="Normal"/>
    <w:link w:val="HeaderChar"/>
    <w:uiPriority w:val="99"/>
    <w:unhideWhenUsed/>
    <w:rsid w:val="00BF59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5944"/>
  </w:style>
  <w:style w:type="paragraph" w:styleId="BalloonText">
    <w:name w:val="Balloon Text"/>
    <w:basedOn w:val="Normal"/>
    <w:link w:val="BalloonTextChar"/>
    <w:uiPriority w:val="99"/>
    <w:semiHidden/>
    <w:unhideWhenUsed/>
    <w:rsid w:val="00BF59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5944"/>
    <w:rPr>
      <w:rFonts w:ascii="Tahoma" w:hAnsi="Tahoma" w:cs="Tahoma"/>
      <w:sz w:val="16"/>
      <w:szCs w:val="16"/>
    </w:rPr>
  </w:style>
  <w:style w:type="paragraph" w:styleId="ListParagraph">
    <w:name w:val="List Paragraph"/>
    <w:basedOn w:val="Normal"/>
    <w:uiPriority w:val="34"/>
    <w:qFormat/>
    <w:rsid w:val="00145EF8"/>
    <w:pPr>
      <w:ind w:left="720"/>
      <w:contextualSpacing/>
    </w:pPr>
  </w:style>
  <w:style w:type="character" w:customStyle="1" w:styleId="UnresolvedMention1">
    <w:name w:val="Unresolved Mention1"/>
    <w:basedOn w:val="DefaultParagraphFont"/>
    <w:uiPriority w:val="99"/>
    <w:semiHidden/>
    <w:unhideWhenUsed/>
    <w:rsid w:val="00CF67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jpeg"/><Relationship Id="rId10" Type="http://schemas.openxmlformats.org/officeDocument/2006/relationships/footnotes" Target="foot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146</Nr_x002e__x0020_akti>
    <Data_x0020_e_x0020_Krijimit xmlns="0e656187-b300-4fb0-8bf4-3a50f872073c">2026-07-28T08:38:15Z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2026-07-28T00:00:00Z</Date_x0020_protokolli>
    <Titulli xmlns="0e656187-b300-4fb0-8bf4-3a50f872073c">Për miratimin e rregullores "Për llogaritjen, publikimin dhe formatin e përzierjes së mbetur dhe të strukturës së burimeve të energjisë elektrike të furnizuar klientëve fundorë"</Titulli>
    <Modifikuesi xmlns="0e656187-b300-4fb0-8bf4-3a50f872073c">Fjora.Cahani</Modifikuesi>
    <Nr_x002e__x0020_prot_x0020_QBZ xmlns="0e656187-b300-4fb0-8bf4-3a50f872073c">1726/1</Nr_x002e__x0020_prot_x0020_QBZ>
    <Data_x0020_e_x0020_Modifikimit xmlns="0e656187-b300-4fb0-8bf4-3a50f872073c">2026-07-28T09:25:19Z</Data_x0020_e_x0020_Modifikimit>
    <Dekretuar xmlns="0e656187-b300-4fb0-8bf4-3a50f872073c">false</Dekretuar>
    <Data xmlns="0e656187-b300-4fb0-8bf4-3a50f872073c">2026-06-30T00:00:00Z</Data>
    <Nr_x002e__x0020_protokolli_x0020_i_x0020_aktit xmlns="0e656187-b300-4fb0-8bf4-3a50f872073c">5494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BD8646C7C084211B7DC9278CAF4592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BD8646C7C084211B7DC9278CAF4592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1556665-0E99-43D0-96EA-E8F745751673}">
  <ds:schemaRefs>
    <ds:schemaRef ds:uri="http://schemas.microsoft.com/office/2006/documentManagement/types"/>
    <ds:schemaRef ds:uri="http://purl.org/dc/dcmitype/"/>
    <ds:schemaRef ds:uri="http://schemas.openxmlformats.org/package/2006/metadata/core-properties"/>
    <ds:schemaRef ds:uri="0e656187-b300-4fb0-8bf4-3a50f872073c"/>
    <ds:schemaRef ds:uri="http://purl.org/dc/elements/1.1/"/>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0315B851-4084-4E0D-9E42-710F493AAF8C}">
  <ds:schemaRefs>
    <ds:schemaRef ds:uri="http://schemas.microsoft.com/sharepoint/v3/contenttype/forms"/>
  </ds:schemaRefs>
</ds:datastoreItem>
</file>

<file path=customXml/itemProps3.xml><?xml version="1.0" encoding="utf-8"?>
<ds:datastoreItem xmlns:ds="http://schemas.openxmlformats.org/officeDocument/2006/customXml" ds:itemID="{5B61D16D-D1F7-4720-8970-0FBE9DA692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E838097-4F26-4DA1-A56D-A2900AC8A5E4}">
  <ds:schemaRefs>
    <ds:schemaRef ds:uri="http://schemas.microsoft.com/sharepoint/v3/contenttype/forms"/>
  </ds:schemaRefs>
</ds:datastoreItem>
</file>

<file path=customXml/itemProps5.xml><?xml version="1.0" encoding="utf-8"?>
<ds:datastoreItem xmlns:ds="http://schemas.openxmlformats.org/officeDocument/2006/customXml" ds:itemID="{851282B2-3847-481B-9609-270792C073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39</TotalTime>
  <Pages>13</Pages>
  <Words>1730</Words>
  <Characters>9867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Për miratimin e rregullores "Për llogaritjen, publikimin dhe formatin e përzierjes së mbetur dhe të strukturës së burimeve të energjisë elektrike të furnizuar klientëve fundorë"</vt:lpstr>
    </vt:vector>
  </TitlesOfParts>
  <Company>Hewlett-Packard Company</Company>
  <LinksUpToDate>false</LinksUpToDate>
  <CharactersWithSpaces>11574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llogaritjen, publikimin dhe formatin e përzierjes së mbetur dhe të strukturës së burimeve të energjisë elektrike të furnizuar klientëve fundorë"</dc:title>
  <dc:creator>User</dc:creator>
  <cp:lastModifiedBy>Amarilda Muja</cp:lastModifiedBy>
  <cp:revision>10</cp:revision>
  <cp:lastPrinted>2026-06-30T15:42:00Z</cp:lastPrinted>
  <dcterms:created xsi:type="dcterms:W3CDTF">2026-07-28T08:33:00Z</dcterms:created>
  <dcterms:modified xsi:type="dcterms:W3CDTF">2026-07-28T09:52:00Z</dcterms:modified>
</cp:coreProperties>
</file>