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A72" w:rsidRDefault="00C46D0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URDHËR</w:t>
      </w:r>
    </w:p>
    <w:p w:rsidR="00551A72" w:rsidRDefault="00C46D0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437, datë 23.7.2020</w:t>
      </w:r>
    </w:p>
    <w:p w:rsidR="00551A72" w:rsidRDefault="00551A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1A72" w:rsidRPr="00A722E3" w:rsidRDefault="00C46D0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MIRATIMIN E PROCEDURËS SË KRYERJES SË TESTIMEVE MOLEKULARE RT-PCR PËR SARS-CoV-2 DHE NJOHJES SË LABORATORËVE JOPUBLIKË PËR </w:t>
      </w:r>
      <w:r w:rsidRPr="00A722E3">
        <w:rPr>
          <w:rFonts w:ascii="Garamond" w:hAnsi="Garamond"/>
          <w:b/>
          <w:sz w:val="24"/>
          <w:szCs w:val="24"/>
          <w:lang w:val="sq-AL"/>
        </w:rPr>
        <w:t>KRYERJEN E TESTIMIT PËR NEVOJA ADMINISTRATIVE</w:t>
      </w:r>
    </w:p>
    <w:p w:rsidR="00551A72" w:rsidRPr="00A722E3" w:rsidRDefault="00C46D01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A722E3">
        <w:rPr>
          <w:rFonts w:ascii="Garamond" w:hAnsi="Garamond"/>
          <w:i/>
          <w:sz w:val="24"/>
          <w:szCs w:val="24"/>
          <w:lang w:val="sq-AL"/>
        </w:rPr>
        <w:t>(</w:t>
      </w:r>
      <w:r w:rsidR="00A722E3" w:rsidRPr="00A722E3">
        <w:rPr>
          <w:rFonts w:ascii="Garamond" w:hAnsi="Garamond"/>
          <w:i/>
          <w:sz w:val="24"/>
          <w:szCs w:val="24"/>
          <w:lang w:val="sq-AL"/>
        </w:rPr>
        <w:t>ndryshuar me urdhrin nr. 412, datë 24.9.2021)</w:t>
      </w:r>
    </w:p>
    <w:p w:rsidR="00A722E3" w:rsidRPr="00A722E3" w:rsidRDefault="00A722E3" w:rsidP="00A722E3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A722E3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51A72" w:rsidRPr="00A722E3" w:rsidRDefault="00551A7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zbatim të nenit 100, pika 4,</w:t>
      </w:r>
      <w:r>
        <w:rPr>
          <w:rFonts w:ascii="Garamond" w:hAnsi="Garamond"/>
          <w:sz w:val="24"/>
          <w:szCs w:val="24"/>
          <w:lang w:val="sq-AL"/>
        </w:rPr>
        <w:t xml:space="preserve"> të Kushtetutës së Republikës së Shqipërisë, ligjit nr. 10138, datë 11.5.2009 “Për shëndetin publik”, i ndryshuar, ligjit nr. 15/2016 “Për parandalimin dhe luftimin e infeksioneve dhe sëmundjeve infektive”, i ndryshuar dhe vendimit të Komitetit Teknik të E</w:t>
      </w:r>
      <w:r>
        <w:rPr>
          <w:rFonts w:ascii="Garamond" w:hAnsi="Garamond"/>
          <w:sz w:val="24"/>
          <w:szCs w:val="24"/>
          <w:lang w:val="sq-AL"/>
        </w:rPr>
        <w:t>kspertëve, datë 23.7.2020,</w:t>
      </w:r>
    </w:p>
    <w:p w:rsidR="00551A72" w:rsidRDefault="00551A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1A72" w:rsidRDefault="00C46D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URDHËROJ:</w:t>
      </w:r>
    </w:p>
    <w:p w:rsidR="00551A72" w:rsidRDefault="00551A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1A72" w:rsidRPr="00A722E3" w:rsidRDefault="00C46D01" w:rsidP="00A722E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A722E3">
        <w:rPr>
          <w:rFonts w:ascii="Garamond" w:hAnsi="Garamond"/>
          <w:sz w:val="24"/>
          <w:szCs w:val="24"/>
          <w:lang w:val="sq-AL"/>
        </w:rPr>
        <w:t>Miratimin e procedurës së kryerjes së testimeve molekurale RT-PCR për SARS-CoV-2 dhe njohjes së laboratorëve jopublikë për kryerjen e testimit për nevoja administrative të qytetarëve, sipas tekstit që i bashkëlidhe</w:t>
      </w:r>
      <w:r w:rsidRPr="00A722E3">
        <w:rPr>
          <w:rFonts w:ascii="Garamond" w:hAnsi="Garamond"/>
          <w:sz w:val="24"/>
          <w:szCs w:val="24"/>
          <w:lang w:val="sq-AL"/>
        </w:rPr>
        <w:t>t këtij urdhri.</w:t>
      </w:r>
    </w:p>
    <w:p w:rsidR="00A722E3" w:rsidRPr="00A722E3" w:rsidRDefault="00A722E3" w:rsidP="00A722E3">
      <w:pPr>
        <w:spacing w:after="0" w:line="240" w:lineRule="auto"/>
        <w:ind w:left="284"/>
        <w:rPr>
          <w:rFonts w:ascii="Garamond" w:hAnsi="Garamond"/>
          <w:i/>
          <w:sz w:val="24"/>
          <w:szCs w:val="24"/>
          <w:lang w:val="sq-AL"/>
        </w:rPr>
      </w:pPr>
      <w:r w:rsidRPr="00A722E3">
        <w:rPr>
          <w:rFonts w:ascii="Garamond" w:hAnsi="Garamond"/>
          <w:i/>
          <w:sz w:val="24"/>
          <w:szCs w:val="24"/>
          <w:lang w:val="sq-AL"/>
        </w:rPr>
        <w:t xml:space="preserve">1.1. </w:t>
      </w:r>
      <w:r w:rsidRPr="00A722E3">
        <w:rPr>
          <w:rFonts w:ascii="Garamond" w:hAnsi="Garamond"/>
          <w:i/>
          <w:sz w:val="24"/>
        </w:rPr>
        <w:t>Laboratorët e përcaktuar në pikën 1, të këtij urdhri, kryejnë edhe testimin e antigenit, sipas udhëzimeve të përcaktuara nga Ministria e Shëndetësisë dhe Mbrojtjes Sociale.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</w:t>
      </w:r>
      <w:r>
        <w:rPr>
          <w:rFonts w:ascii="Garamond" w:hAnsi="Garamond"/>
          <w:sz w:val="24"/>
          <w:szCs w:val="24"/>
          <w:lang w:val="sq-AL"/>
        </w:rPr>
        <w:t xml:space="preserve">. Ngarkohet për zbatimin e këtij urdhri, Ministria e Shëndetësisë 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dhe Mbrojtjes Sociale, Instituti i Shëndetit Publik, Operatori Qendror i Kujdesit Shëndetësor, Agjencia Kombëtare e Barnave dhe Pajisjeve Mjekësore, si dhe Inspektorati Shën</w:t>
      </w:r>
      <w:r>
        <w:rPr>
          <w:rFonts w:ascii="Garamond" w:hAnsi="Garamond"/>
          <w:sz w:val="24"/>
          <w:szCs w:val="24"/>
          <w:lang w:val="sq-AL"/>
        </w:rPr>
        <w:t xml:space="preserve">detësor Shtetëror për inspektimet e laboratorëve të njohur nga MSHMS-ja.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:rsidR="00551A72" w:rsidRDefault="00551A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1A72" w:rsidRDefault="00C46D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MINISTËR I SHËNDETËSISË DHE </w:t>
      </w:r>
    </w:p>
    <w:p w:rsidR="00551A72" w:rsidRDefault="00C46D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MBROJTJES SOCIALE</w:t>
      </w:r>
    </w:p>
    <w:p w:rsidR="00551A72" w:rsidRDefault="00C46D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Ogerta Manastirliu</w:t>
      </w:r>
    </w:p>
    <w:p w:rsidR="00551A72" w:rsidRDefault="00551A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1A72" w:rsidRDefault="00C46D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PROCEDURA E KRYERJES SË TESTIMEVE MOLEKULARE RT-P</w:t>
      </w:r>
      <w:r>
        <w:rPr>
          <w:rFonts w:ascii="Garamond" w:hAnsi="Garamond"/>
          <w:sz w:val="24"/>
          <w:szCs w:val="24"/>
          <w:lang w:val="sq-AL"/>
        </w:rPr>
        <w:t>CR PËR SARS-COV-2 DHE NJOHJES SË LABORATORVE JOPUBLIKË PËR KRYERJEN E TESTIMIT PËR NEVOJA ADMINISTRATIVE</w:t>
      </w:r>
    </w:p>
    <w:p w:rsidR="00551A72" w:rsidRDefault="00551A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:rsidR="00551A72" w:rsidRDefault="00551A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551A72" w:rsidRDefault="00C46D01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A. TESTIMI DHE METODOLOGJIA </w:t>
      </w:r>
    </w:p>
    <w:p w:rsidR="00551A72" w:rsidRDefault="00C46D01">
      <w:pPr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1. Testimi për prezencën e RNA për SARS-CoV-2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testim (për efekte administrative/dokumentacion) do të kryhet me metodën PCR (</w:t>
      </w:r>
      <w:r>
        <w:rPr>
          <w:rFonts w:ascii="Garamond" w:hAnsi="Garamond"/>
          <w:i/>
          <w:sz w:val="24"/>
          <w:szCs w:val="24"/>
          <w:lang w:val="sq-AL"/>
        </w:rPr>
        <w:t>Polymeraste Chain Reaction</w:t>
      </w:r>
      <w:r>
        <w:rPr>
          <w:rFonts w:ascii="Garamond" w:hAnsi="Garamond"/>
          <w:sz w:val="24"/>
          <w:szCs w:val="24"/>
          <w:lang w:val="sq-AL"/>
        </w:rPr>
        <w:t>).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Testimi me metodën PCR është i bazuar në metodën e dedektimit të virusit SARS-CoV-2 në nivel RNA dhe klasifikohet si metodë direkte e rekomanduar </w:t>
      </w:r>
      <w:r>
        <w:rPr>
          <w:rFonts w:ascii="Garamond" w:hAnsi="Garamond"/>
          <w:sz w:val="24"/>
          <w:szCs w:val="24"/>
          <w:lang w:val="sq-AL"/>
        </w:rPr>
        <w:t>nga ECDC-ja dhe OBSH-ja.</w:t>
      </w:r>
    </w:p>
    <w:p w:rsidR="00551A72" w:rsidRDefault="00C46D01">
      <w:pPr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Testimi për prezencën e RNA të virusit SARS-CoV-2, shërben si bazë për identifikimin e këtij virusi. Ky testim  nuk do të shërbejë si test dignostik i lidhur me infeksionin dhe sëmundshmërinë e COVID-19.</w:t>
      </w:r>
    </w:p>
    <w:p w:rsidR="00551A72" w:rsidRDefault="00C46D01">
      <w:pPr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Testimi duhet kryer në resp</w:t>
      </w:r>
      <w:r>
        <w:rPr>
          <w:rFonts w:ascii="Garamond" w:hAnsi="Garamond"/>
          <w:sz w:val="24"/>
          <w:szCs w:val="24"/>
          <w:lang w:val="sq-AL"/>
        </w:rPr>
        <w:t>ektim të plotë të masave të mbrojtjes së personelit shëndetësor në kushtet e biosigurisë dhe përdorimit të mjeteve të mbrojtjes personale, dhe mbrojtjes së vet</w:t>
      </w:r>
      <w:r>
        <w:rPr>
          <w:rFonts w:ascii="Garamond" w:eastAsia="MingLiU-ExtB" w:hAnsi="Garamond" w:cs="MingLiU-ExtB"/>
          <w:sz w:val="24"/>
          <w:szCs w:val="24"/>
          <w:lang w:val="sq-AL"/>
        </w:rPr>
        <w:t>ë personit dhe të tjerëve në kopntakt me të.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Vetëm testet e pajisura me certifikatë regjistrimi n</w:t>
      </w:r>
      <w:r>
        <w:rPr>
          <w:rFonts w:ascii="Garamond" w:hAnsi="Garamond"/>
          <w:sz w:val="24"/>
          <w:szCs w:val="24"/>
          <w:lang w:val="sq-AL"/>
        </w:rPr>
        <w:t>ga Agjencia Kombëtare e Barnave dhe Pajisjeve Mjekësore, duhet të lejohen për kryerjen e këtij lloj testimi.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Laboratori i Virologjisë pranë ISHP-së, është i vetmi laborator, i cili do të konfirmojë diagnozën në rastin e rezultatit pozitiv ardhur nga labora</w:t>
      </w:r>
      <w:r>
        <w:rPr>
          <w:rFonts w:ascii="Garamond" w:hAnsi="Garamond"/>
          <w:sz w:val="24"/>
          <w:szCs w:val="24"/>
          <w:lang w:val="sq-AL"/>
        </w:rPr>
        <w:t>torët e tjerë.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Është përgjegjësia e laboratorëve që do të kryejnë këtë testim sigurimi i kiteve, materialeve të konsumit dhe mjeteve të mbrojtjes personale.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2. Metodologjia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Metodat që mund të përdoren për zbulimin e SARS-Cov-2, përfshijnë: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 metodën e hap</w:t>
      </w:r>
      <w:r>
        <w:rPr>
          <w:rFonts w:ascii="Garamond" w:hAnsi="Garamond"/>
          <w:sz w:val="24"/>
          <w:szCs w:val="24"/>
          <w:lang w:val="sq-AL"/>
        </w:rPr>
        <w:t>ur;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b) autoanalizator.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Pavarësisht metodës së përdorur, procesi duhet të garantojë zbatimin e saktë të protokollit teknik dhe kushtet e biosigurisë BSL 2 për përpunimin e mostrës dhe mbrojtjen e personelit.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Dobia e testeve varet nga sensititviteti dhe spec</w:t>
      </w:r>
      <w:r>
        <w:rPr>
          <w:rFonts w:ascii="Garamond" w:hAnsi="Garamond"/>
          <w:sz w:val="24"/>
          <w:szCs w:val="24"/>
          <w:lang w:val="sq-AL"/>
        </w:rPr>
        <w:t>ificiteti i analizave, që për COVID-19 është në varësi edhe të </w:t>
      </w:r>
      <w:r>
        <w:rPr>
          <w:rFonts w:ascii="Garamond" w:hAnsi="Garamond"/>
          <w:i/>
          <w:sz w:val="24"/>
          <w:szCs w:val="24"/>
          <w:lang w:val="sq-AL"/>
        </w:rPr>
        <w:t>geneve screening</w:t>
      </w:r>
      <w:r>
        <w:rPr>
          <w:rFonts w:ascii="Garamond" w:hAnsi="Garamond"/>
          <w:sz w:val="24"/>
          <w:szCs w:val="24"/>
          <w:lang w:val="sq-AL"/>
        </w:rPr>
        <w:t>; këto karakteristika të performancës përcaktohen duke përdorur një grup të përcaktuar të mostrave negativë dhe pozitivë. Për më tepër, vlerat parashikuese të një testi duhet të</w:t>
      </w:r>
      <w:r>
        <w:rPr>
          <w:rFonts w:ascii="Garamond" w:hAnsi="Garamond"/>
          <w:sz w:val="24"/>
          <w:szCs w:val="24"/>
          <w:lang w:val="sq-AL"/>
        </w:rPr>
        <w:t xml:space="preserve"> merren parasysh, sepse këto vlera ndikojnë në rezultatin e përgjithshëm të testimit. 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Rekomandohet të lejohen të përdoren testet me specificitet dhe sensitivitet të lartë.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Vlera pozitive</w:t>
      </w:r>
      <w:r>
        <w:rPr>
          <w:rFonts w:ascii="Garamond" w:hAnsi="Garamond"/>
          <w:sz w:val="24"/>
          <w:szCs w:val="24"/>
          <w:lang w:val="sq-AL"/>
        </w:rPr>
        <w:t> e testit të kryer dëshmon që individët me rezultate pozitive të test</w:t>
      </w:r>
      <w:r>
        <w:rPr>
          <w:rFonts w:ascii="Garamond" w:hAnsi="Garamond"/>
          <w:sz w:val="24"/>
          <w:szCs w:val="24"/>
          <w:lang w:val="sq-AL"/>
        </w:rPr>
        <w:t>it të kenë prani të RNA të virusit SARS Cov-2, pra, konsiderohen pozitivë. 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Vlera negative</w:t>
      </w:r>
      <w:r>
        <w:rPr>
          <w:rFonts w:ascii="Garamond" w:hAnsi="Garamond"/>
          <w:sz w:val="24"/>
          <w:szCs w:val="24"/>
          <w:lang w:val="sq-AL"/>
        </w:rPr>
        <w:t> e testit të kryer dëshmon që individët me rezultate negative të testit nuk kanë prani të/ose sasi të dedektueshme të RNA-së virale të SARS-Cov-2, pra,</w:t>
      </w:r>
      <w:r>
        <w:rPr>
          <w:rFonts w:ascii="Garamond" w:hAnsi="Garamond"/>
          <w:sz w:val="24"/>
          <w:szCs w:val="24"/>
          <w:lang w:val="sq-AL"/>
        </w:rPr>
        <w:t> konsiderohen negativë.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3. Regjistrimi i testeve/kiteve PCR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Testet duhet të regjistrohen pranë Agjencisë Kombëtare të Barnave dhe Pajisjeve Mjekësore sipas legjislacionit në fuqi për pajisjet mjekësore.  Përpara regjistrimit nga Agjencia Kombëtare e Barnav</w:t>
      </w:r>
      <w:r>
        <w:rPr>
          <w:rFonts w:ascii="Garamond" w:hAnsi="Garamond"/>
          <w:sz w:val="24"/>
          <w:szCs w:val="24"/>
          <w:lang w:val="sq-AL"/>
        </w:rPr>
        <w:t>e dhe Pajisjeve Mjekësore këto teste  duhet të jenë teste të njohura nga Organizata Botërore e Shëndetësisë, si dhe të jenë të pajisur me deklarimin që këto teste të jenë të regjistruara të paktën në një nga agjencitë EMA dhe FDA. 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B. PROCEDURA E NJOHJES S</w:t>
      </w:r>
      <w:r>
        <w:rPr>
          <w:rFonts w:ascii="Garamond" w:hAnsi="Garamond"/>
          <w:b/>
          <w:sz w:val="24"/>
          <w:szCs w:val="24"/>
          <w:lang w:val="sq-AL"/>
        </w:rPr>
        <w:t>Ë LABORATORËVE JOPUBLIKË PËR KRYERJEN E TESTIMEVE MOLEKULARE RT-PCR PËR SARS-CoV-2 PËR NEVOJA ADMINISTRATIVE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Laboratori jopublik i licencuar sipas legjislacionit në fuqi (këtu e më poshtë laboratori), i cili do të kryej testimet molekulare RT-PCR për SARS-</w:t>
      </w:r>
      <w:r>
        <w:rPr>
          <w:rFonts w:ascii="Garamond" w:hAnsi="Garamond"/>
          <w:sz w:val="24"/>
          <w:szCs w:val="24"/>
          <w:lang w:val="sq-AL"/>
        </w:rPr>
        <w:t xml:space="preserve">CoV-2, për shtetasit shqiptar dhe të huaj, për efekt dokumentacioni duhet të ndjekë procedurën e njohjes pranë MSHMS-së.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1. Kriteret dhe standardet që duhet të plotësojë laboratori: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 të jetë i licencuar për ushtrimin e veprimtarisë së shërbimeve laborat</w:t>
      </w:r>
      <w:r>
        <w:rPr>
          <w:rFonts w:ascii="Garamond" w:hAnsi="Garamond"/>
          <w:sz w:val="24"/>
          <w:szCs w:val="24"/>
          <w:lang w:val="sq-AL"/>
        </w:rPr>
        <w:t>orike sipas legjislacionit në fuqi;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b) të përdorë teste të pajisura me certifikatë regjistrimi nga Agjencia Kombëtare e Barnave dhe Pajisjeve Mjekësore;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c) të sigurojë kushtet e biosigurisë;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>
        <w:rPr>
          <w:rFonts w:ascii="Garamond" w:hAnsi="Garamond"/>
          <w:sz w:val="24"/>
          <w:szCs w:val="24"/>
          <w:lang w:val="sq-AL"/>
        </w:rPr>
        <w:t xml:space="preserve">të ketë recepsion të dedikuar për paraqitjen e personave të interesuar;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e) të ketë ambiente të veçanta për marrjen e mostrave dhe ambient të veçantë për analizimin e mostrave;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f) stafi duhet të jetë i pajisur me mjetet e mbrojtjes personale dhe të dispono</w:t>
      </w:r>
      <w:r>
        <w:rPr>
          <w:rFonts w:ascii="Garamond" w:hAnsi="Garamond"/>
          <w:sz w:val="24"/>
          <w:szCs w:val="24"/>
          <w:lang w:val="sq-AL"/>
        </w:rPr>
        <w:t xml:space="preserve">jë ambiente të posaçme për veshjen dhe heqjen e tyre;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g) të sigurojë ambient 100% steril sipas standardeve ndërkombëtare për kryerjen e RT-PCR;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h) të jetë i ndarë me derë hermetike dhe dhoma e ekstraktimit të mostrës të jetë e pajisur me dy </w:t>
      </w:r>
      <w:r>
        <w:rPr>
          <w:rFonts w:ascii="Garamond" w:hAnsi="Garamond"/>
          <w:i/>
          <w:sz w:val="24"/>
          <w:szCs w:val="24"/>
          <w:lang w:val="sq-AL"/>
        </w:rPr>
        <w:t>laminar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i/>
          <w:sz w:val="24"/>
          <w:szCs w:val="24"/>
          <w:lang w:val="sq-AL"/>
        </w:rPr>
        <w:t>flow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BSL 2 dhe të jetë e ndarë nga dhoma e testimit apo analizimit të mostrës;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i) ambientet e testimit të jenë të pajisur me lavaman dhe të kenë një autoklavë vetëm për sterilizimin e instrumenteve të këtij laboratori;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j) të ketë ambient të dedikuar të mbetje</w:t>
      </w:r>
      <w:r>
        <w:rPr>
          <w:rFonts w:ascii="Garamond" w:hAnsi="Garamond"/>
          <w:sz w:val="24"/>
          <w:szCs w:val="24"/>
          <w:lang w:val="sq-AL"/>
        </w:rPr>
        <w:t xml:space="preserve">ve të rrezikshme për këtë laborator.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2. Procedura e njohjes nga MSHMS-ja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 Administratori i laboratorit ose përfaqësuesi i tij i autorizuar paraqet pranë Drejtorisë së Derregullimit, Lejeve, Licencave dhe e Monitorimit në MSHMS dokumentacionin e mëposhtë</w:t>
      </w:r>
      <w:r>
        <w:rPr>
          <w:rFonts w:ascii="Garamond" w:hAnsi="Garamond"/>
          <w:sz w:val="24"/>
          <w:szCs w:val="24"/>
          <w:lang w:val="sq-AL"/>
        </w:rPr>
        <w:t>m: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i. kërkesë për njohje dhe kopje të kartës së identitetit të administratorit;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ii. vetëdeklarimin që plotëson të gjithë kriteret e përcaktuara në pikën 3, të këtij urdhri sipas formatit bashkëlidhur këtij urdhri në aneksin 2;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iii. kopje të lejes së ushtr</w:t>
      </w:r>
      <w:r>
        <w:rPr>
          <w:rFonts w:ascii="Garamond" w:hAnsi="Garamond"/>
          <w:sz w:val="24"/>
          <w:szCs w:val="24"/>
          <w:lang w:val="sq-AL"/>
        </w:rPr>
        <w:t>imit të profesionit të drejtuesit teknik të laboratorit; dhe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iv. kopje të certifikatës së regjistrimit të testeve pranë Agjencisë Kombëtare të Barnave dhe Pajisjeve Mjekësore.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b) Drejtoria e Derregullimit, Lejeve, Licencave dhe e Monitorimit brenda 7 (shta</w:t>
      </w:r>
      <w:r>
        <w:rPr>
          <w:rFonts w:ascii="Garamond" w:hAnsi="Garamond"/>
          <w:sz w:val="24"/>
          <w:szCs w:val="24"/>
          <w:lang w:val="sq-AL"/>
        </w:rPr>
        <w:t>të) ditëve kalendarike kryen vlerësimin dhe i propozon ministrit të Shëndetësisë dhe Mbrojtjes Sociale njohjen e subjektit si laborator për kryerjen e testit RT-PCR për SARS-CoV-2.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c) Në rast të konstatimit nga ana e Drejtorisë së Derregullimit, Lejeve, Li</w:t>
      </w:r>
      <w:r>
        <w:rPr>
          <w:rFonts w:ascii="Garamond" w:hAnsi="Garamond"/>
          <w:sz w:val="24"/>
          <w:szCs w:val="24"/>
          <w:lang w:val="sq-AL"/>
        </w:rPr>
        <w:t>cencave dhe e Monitorimit të mosplotësimit të kushteve të përcaktuara në këtë urdhër subjekti informohet zyrtarisht për arsyet e mosnjohjes nga MSHMS-ja.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d) Drejtoria e Derregullimit Lejeve, Licencave dhe e Monitorimit duhet t’i dërgojë Institutit të Shënd</w:t>
      </w:r>
      <w:r>
        <w:rPr>
          <w:rFonts w:ascii="Garamond" w:hAnsi="Garamond"/>
          <w:sz w:val="24"/>
          <w:szCs w:val="24"/>
          <w:lang w:val="sq-AL"/>
        </w:rPr>
        <w:t xml:space="preserve">etit Publik dhe Drejtorisë Qendrore të Operatorit të Shërbimit të Kujdesit Shëndetësor dhe Inspektoratit Shëndetësor Shtetërorë me </w:t>
      </w:r>
      <w:r>
        <w:rPr>
          <w:rFonts w:ascii="Garamond" w:hAnsi="Garamond"/>
          <w:i/>
          <w:sz w:val="24"/>
          <w:szCs w:val="24"/>
          <w:lang w:val="sq-AL"/>
        </w:rPr>
        <w:t>email</w:t>
      </w:r>
      <w:r>
        <w:rPr>
          <w:rFonts w:ascii="Garamond" w:hAnsi="Garamond"/>
          <w:sz w:val="24"/>
          <w:szCs w:val="24"/>
          <w:lang w:val="sq-AL"/>
        </w:rPr>
        <w:t xml:space="preserve"> dhe shkresë zyrtare kopjen e njohjes. 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e)  Laboratorët pas njohjes nga MSHMS-ja lëshon vërtetim për individin e testuar</w:t>
      </w:r>
      <w:r>
        <w:rPr>
          <w:rFonts w:ascii="Garamond" w:hAnsi="Garamond"/>
          <w:sz w:val="24"/>
          <w:szCs w:val="24"/>
          <w:lang w:val="sq-AL"/>
        </w:rPr>
        <w:t xml:space="preserve"> sipas formatit të aneksit 1, bashkëlidhur këtij urdhri.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f) Laboratori i njohur nga MSHMS-ja për kryerjen e testit RT-PCR për SARS-CoV-2 duhet të mbajë një regjistër të posaçëm për të gjithë personat që kanë kryer testin.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g) Laboratori i njohur nga MSHMS-j</w:t>
      </w:r>
      <w:r>
        <w:rPr>
          <w:rFonts w:ascii="Garamond" w:hAnsi="Garamond"/>
          <w:sz w:val="24"/>
          <w:szCs w:val="24"/>
          <w:lang w:val="sq-AL"/>
        </w:rPr>
        <w:t>a ka detyrim që për çdo testim ku mostra përkatës rezulton pozitive për COVID-19 të informojë menjëherë Laboratorin e Referencës në Institutin e Shëndetit Publik me qëllim konfirmimin pranë ISHP-së.</w:t>
      </w:r>
    </w:p>
    <w:p w:rsidR="00551A72" w:rsidRDefault="00C46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h) Laboratori i njohur nga MSHMS-ja duhet të raportojë çd</w:t>
      </w:r>
      <w:r>
        <w:rPr>
          <w:rFonts w:ascii="Garamond" w:hAnsi="Garamond"/>
          <w:sz w:val="24"/>
          <w:szCs w:val="24"/>
          <w:lang w:val="sq-AL"/>
        </w:rPr>
        <w:t xml:space="preserve">o 24 orë në 7 ditë të javës numrin e testimeve të kryera RT-PCR për SARS-CoV-2 për nevoja administrative sipas skedës së miratuar për COVID-19 nga Instituti i Shëndetit Publik pranë MSHMS-së dhe ISHP-së në adresat respektive të </w:t>
      </w:r>
      <w:r>
        <w:rPr>
          <w:rFonts w:ascii="Garamond" w:hAnsi="Garamond"/>
          <w:i/>
          <w:sz w:val="24"/>
          <w:szCs w:val="24"/>
          <w:lang w:val="sq-AL"/>
        </w:rPr>
        <w:t>emaili</w:t>
      </w:r>
      <w:r>
        <w:rPr>
          <w:rFonts w:ascii="Garamond" w:hAnsi="Garamond"/>
          <w:sz w:val="24"/>
          <w:szCs w:val="24"/>
          <w:lang w:val="sq-AL"/>
        </w:rPr>
        <w:t xml:space="preserve">-t </w:t>
      </w:r>
      <w:hyperlink r:id="rId7" w:history="1">
        <w:r>
          <w:rPr>
            <w:rStyle w:val="Hyperlink"/>
            <w:rFonts w:ascii="Garamond" w:hAnsi="Garamond"/>
            <w:sz w:val="24"/>
            <w:szCs w:val="24"/>
            <w:lang w:val="sq-AL"/>
          </w:rPr>
          <w:t>alma.robo@ishp.gov.al</w:t>
        </w:r>
      </w:hyperlink>
      <w:r>
        <w:rPr>
          <w:rFonts w:ascii="Garamond" w:hAnsi="Garamond"/>
          <w:sz w:val="24"/>
          <w:szCs w:val="24"/>
          <w:lang w:val="sq-AL"/>
        </w:rPr>
        <w:t xml:space="preserve"> dhe </w:t>
      </w:r>
      <w:hyperlink r:id="rId8" w:history="1">
        <w:r>
          <w:rPr>
            <w:rStyle w:val="Hyperlink"/>
            <w:rFonts w:ascii="Garamond" w:hAnsi="Garamond"/>
            <w:sz w:val="24"/>
            <w:szCs w:val="24"/>
            <w:lang w:val="sq-AL"/>
          </w:rPr>
          <w:t>flutra.beqo@shendetesia.gov.al</w:t>
        </w:r>
      </w:hyperlink>
      <w:r>
        <w:rPr>
          <w:rFonts w:ascii="Garamond" w:hAnsi="Garamond"/>
          <w:sz w:val="24"/>
          <w:szCs w:val="24"/>
          <w:lang w:val="sq-AL"/>
        </w:rPr>
        <w:t xml:space="preserve">. </w:t>
      </w:r>
    </w:p>
    <w:p w:rsidR="00551A72" w:rsidRDefault="00551A72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:rsidR="00551A72" w:rsidRDefault="00C46D0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344906" cy="6349593"/>
                <wp:effectExtent l="0" t="0" r="8254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rcRect l="52927" t="16193" r="14332" b="14661"/>
                        <a:stretch/>
                      </pic:blipFill>
                      <pic:spPr bwMode="auto">
                        <a:xfrm>
                          <a:off x="0" y="0"/>
                          <a:ext cx="5345274" cy="63500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20.9pt;height:500.0pt;">
                <v:path textboxrect="0,0,0,0"/>
                <v:imagedata r:id="rId10" o:title=""/>
              </v:shape>
            </w:pict>
          </mc:Fallback>
        </mc:AlternateContent>
      </w:r>
    </w:p>
    <w:p w:rsidR="00551A72" w:rsidRDefault="00551A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551A72" w:rsidRDefault="00C46D0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684940" cy="6473952"/>
                <wp:effectExtent l="0" t="0" r="0" b="3174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rcRect l="14155" t="23195" r="51258" b="6783"/>
                        <a:stretch/>
                      </pic:blipFill>
                      <pic:spPr bwMode="auto">
                        <a:xfrm>
                          <a:off x="0" y="0"/>
                          <a:ext cx="5685331" cy="64743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447.6pt;height:509.8pt;">
                <v:path textboxrect="0,0,0,0"/>
                <v:imagedata r:id="rId12" o:title=""/>
              </v:shape>
            </w:pict>
          </mc:Fallback>
        </mc:AlternateContent>
      </w:r>
    </w:p>
    <w:sectPr w:rsidR="00551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D01" w:rsidRDefault="00C46D01">
      <w:pPr>
        <w:spacing w:after="0" w:line="240" w:lineRule="auto"/>
      </w:pPr>
      <w:r>
        <w:separator/>
      </w:r>
    </w:p>
  </w:endnote>
  <w:endnote w:type="continuationSeparator" w:id="0">
    <w:p w:rsidR="00C46D01" w:rsidRDefault="00C46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D01" w:rsidRDefault="00C46D01">
      <w:pPr>
        <w:spacing w:after="0" w:line="240" w:lineRule="auto"/>
      </w:pPr>
      <w:r>
        <w:separator/>
      </w:r>
    </w:p>
  </w:footnote>
  <w:footnote w:type="continuationSeparator" w:id="0">
    <w:p w:rsidR="00C46D01" w:rsidRDefault="00C46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739A6"/>
    <w:multiLevelType w:val="hybridMultilevel"/>
    <w:tmpl w:val="9A9E0B80"/>
    <w:lvl w:ilvl="0" w:tplc="A29003AE">
      <w:start w:val="1"/>
      <w:numFmt w:val="lowerLetter"/>
      <w:lvlText w:val="%1."/>
      <w:lvlJc w:val="left"/>
      <w:pPr>
        <w:ind w:left="644" w:hanging="359"/>
      </w:pPr>
      <w:rPr>
        <w:rFonts w:hint="default"/>
      </w:rPr>
    </w:lvl>
    <w:lvl w:ilvl="1" w:tplc="A7283494">
      <w:start w:val="1"/>
      <w:numFmt w:val="lowerLetter"/>
      <w:lvlText w:val="%2."/>
      <w:lvlJc w:val="left"/>
      <w:pPr>
        <w:ind w:left="1364" w:hanging="359"/>
      </w:pPr>
    </w:lvl>
    <w:lvl w:ilvl="2" w:tplc="64BE4A8C">
      <w:start w:val="1"/>
      <w:numFmt w:val="lowerRoman"/>
      <w:lvlText w:val="%3."/>
      <w:lvlJc w:val="right"/>
      <w:pPr>
        <w:ind w:left="2084" w:hanging="179"/>
      </w:pPr>
    </w:lvl>
    <w:lvl w:ilvl="3" w:tplc="67885B96">
      <w:start w:val="1"/>
      <w:numFmt w:val="decimal"/>
      <w:lvlText w:val="%4."/>
      <w:lvlJc w:val="left"/>
      <w:pPr>
        <w:ind w:left="2804" w:hanging="359"/>
      </w:pPr>
    </w:lvl>
    <w:lvl w:ilvl="4" w:tplc="FF9E0316">
      <w:start w:val="1"/>
      <w:numFmt w:val="lowerLetter"/>
      <w:lvlText w:val="%5."/>
      <w:lvlJc w:val="left"/>
      <w:pPr>
        <w:ind w:left="3524" w:hanging="359"/>
      </w:pPr>
    </w:lvl>
    <w:lvl w:ilvl="5" w:tplc="A4E0A094">
      <w:start w:val="1"/>
      <w:numFmt w:val="lowerRoman"/>
      <w:lvlText w:val="%6."/>
      <w:lvlJc w:val="right"/>
      <w:pPr>
        <w:ind w:left="4244" w:hanging="179"/>
      </w:pPr>
    </w:lvl>
    <w:lvl w:ilvl="6" w:tplc="BDF85984">
      <w:start w:val="1"/>
      <w:numFmt w:val="decimal"/>
      <w:lvlText w:val="%7."/>
      <w:lvlJc w:val="left"/>
      <w:pPr>
        <w:ind w:left="4964" w:hanging="359"/>
      </w:pPr>
    </w:lvl>
    <w:lvl w:ilvl="7" w:tplc="890CFC6A">
      <w:start w:val="1"/>
      <w:numFmt w:val="lowerLetter"/>
      <w:lvlText w:val="%8."/>
      <w:lvlJc w:val="left"/>
      <w:pPr>
        <w:ind w:left="5684" w:hanging="359"/>
      </w:pPr>
    </w:lvl>
    <w:lvl w:ilvl="8" w:tplc="39AA886A">
      <w:start w:val="1"/>
      <w:numFmt w:val="lowerRoman"/>
      <w:lvlText w:val="%9."/>
      <w:lvlJc w:val="right"/>
      <w:pPr>
        <w:ind w:left="6404" w:hanging="179"/>
      </w:pPr>
    </w:lvl>
  </w:abstractNum>
  <w:abstractNum w:abstractNumId="1">
    <w:nsid w:val="5DC80651"/>
    <w:multiLevelType w:val="hybridMultilevel"/>
    <w:tmpl w:val="80F48FFC"/>
    <w:lvl w:ilvl="0" w:tplc="450088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72"/>
    <w:rsid w:val="00551A72"/>
    <w:rsid w:val="00A722E3"/>
    <w:rsid w:val="00C46D01"/>
    <w:rsid w:val="00CF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94FE33-1B2F-4CA4-BAA0-CAE6F547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utra.beqo@shendetesia.gov.a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ma.robo@ishp.gov.al" TargetMode="External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Sara Mborja</cp:lastModifiedBy>
  <cp:revision>2</cp:revision>
  <dcterms:created xsi:type="dcterms:W3CDTF">2021-11-04T13:30:00Z</dcterms:created>
  <dcterms:modified xsi:type="dcterms:W3CDTF">2021-11-04T13:30:00Z</dcterms:modified>
</cp:coreProperties>
</file>