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7A8F2" w14:textId="77777777" w:rsidR="005D447A" w:rsidRPr="00637CDE" w:rsidRDefault="005D447A" w:rsidP="005D447A">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URDHËR</w:t>
      </w:r>
    </w:p>
    <w:p w14:paraId="42D8F8B9" w14:textId="3A374DE9" w:rsidR="005D447A" w:rsidRPr="00637CDE" w:rsidRDefault="005D447A" w:rsidP="005D447A">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Nr.</w:t>
      </w:r>
      <w:r w:rsidR="00637CDE" w:rsidRPr="00637CDE">
        <w:rPr>
          <w:rFonts w:ascii="Garamond" w:hAnsi="Garamond" w:cs="Times New Roman"/>
          <w:b/>
          <w:bCs/>
          <w:color w:val="000000"/>
          <w:sz w:val="24"/>
          <w:szCs w:val="24"/>
          <w:lang w:val="sq-AL"/>
          <w14:ligatures w14:val="standardContextual"/>
        </w:rPr>
        <w:t xml:space="preserve"> </w:t>
      </w:r>
      <w:r w:rsidRPr="00637CDE">
        <w:rPr>
          <w:rFonts w:ascii="Garamond" w:hAnsi="Garamond" w:cs="Times New Roman"/>
          <w:b/>
          <w:bCs/>
          <w:color w:val="000000"/>
          <w:sz w:val="24"/>
          <w:szCs w:val="24"/>
          <w:lang w:val="sq-AL"/>
          <w14:ligatures w14:val="standardContextual"/>
        </w:rPr>
        <w:t>564, datë 31.8.2023</w:t>
      </w:r>
    </w:p>
    <w:p w14:paraId="0AFFAA92" w14:textId="77777777" w:rsidR="005D447A" w:rsidRPr="00637CDE" w:rsidRDefault="005D447A" w:rsidP="005D447A">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18CA9C83" w14:textId="31111526" w:rsidR="005D447A" w:rsidRPr="00637CDE" w:rsidRDefault="005D447A" w:rsidP="00637CDE">
      <w:pPr>
        <w:autoSpaceDE w:val="0"/>
        <w:autoSpaceDN w:val="0"/>
        <w:adjustRightInd w:val="0"/>
        <w:spacing w:after="0" w:line="240" w:lineRule="auto"/>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PËR MIRATIMIN E RREGULLORES MBI PRAKTIKËN E PËRGATITJES SË MIRË TË PËRGATESAVE GALENIKE</w:t>
      </w:r>
    </w:p>
    <w:p w14:paraId="540EBECB"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2FE3161F" w14:textId="34DF19B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Në mbështetje të nenit 102, pika 4, të Kushtetutës së Republikës së Shqipërisë, të nenit 9, pika 3</w:t>
      </w:r>
      <w:r w:rsidR="00B453F0">
        <w:rPr>
          <w:rFonts w:ascii="Garamond" w:hAnsi="Garamond" w:cs="Times New Roman"/>
          <w:color w:val="000000"/>
          <w:sz w:val="24"/>
          <w:szCs w:val="24"/>
          <w:lang w:val="sq-AL"/>
          <w14:ligatures w14:val="standardContextual"/>
        </w:rPr>
        <w:t>,</w:t>
      </w:r>
      <w:r w:rsidRPr="00637CDE">
        <w:rPr>
          <w:rFonts w:ascii="Garamond" w:hAnsi="Garamond" w:cs="Times New Roman"/>
          <w:color w:val="000000"/>
          <w:sz w:val="24"/>
          <w:szCs w:val="24"/>
          <w:lang w:val="sq-AL"/>
          <w14:ligatures w14:val="standardContextual"/>
        </w:rPr>
        <w:t xml:space="preserve"> të </w:t>
      </w:r>
      <w:r w:rsidR="00637CDE">
        <w:rPr>
          <w:rFonts w:ascii="Garamond" w:hAnsi="Garamond" w:cs="Times New Roman"/>
          <w:color w:val="000000"/>
          <w:sz w:val="24"/>
          <w:szCs w:val="24"/>
          <w:lang w:val="sq-AL"/>
          <w14:ligatures w14:val="standardContextual"/>
        </w:rPr>
        <w:t>l</w:t>
      </w:r>
      <w:r w:rsidRPr="00637CDE">
        <w:rPr>
          <w:rFonts w:ascii="Garamond" w:hAnsi="Garamond" w:cs="Times New Roman"/>
          <w:color w:val="000000"/>
          <w:sz w:val="24"/>
          <w:szCs w:val="24"/>
          <w:lang w:val="sq-AL"/>
          <w14:ligatures w14:val="standardContextual"/>
        </w:rPr>
        <w:t>igjit nr. 105/2014</w:t>
      </w:r>
      <w:r w:rsidR="00B453F0">
        <w:rPr>
          <w:rFonts w:ascii="Garamond" w:hAnsi="Garamond" w:cs="Times New Roman"/>
          <w:color w:val="000000"/>
          <w:sz w:val="24"/>
          <w:szCs w:val="24"/>
          <w:lang w:val="sq-AL"/>
          <w14:ligatures w14:val="standardContextual"/>
        </w:rPr>
        <w:t>,</w:t>
      </w:r>
      <w:r w:rsidRPr="00637CDE">
        <w:rPr>
          <w:rFonts w:ascii="Garamond" w:hAnsi="Garamond" w:cs="Times New Roman"/>
          <w:color w:val="000000"/>
          <w:sz w:val="24"/>
          <w:szCs w:val="24"/>
          <w:lang w:val="sq-AL"/>
          <w14:ligatures w14:val="standardContextual"/>
        </w:rPr>
        <w:t xml:space="preserve"> “Për barnat dhe shërbimin farmaceutik”, të ndryshuar, </w:t>
      </w:r>
    </w:p>
    <w:p w14:paraId="35D4768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32D32B80" w14:textId="47A7C7DB" w:rsidR="005D447A" w:rsidRPr="00637CDE" w:rsidRDefault="005D447A" w:rsidP="005D447A">
      <w:pPr>
        <w:tabs>
          <w:tab w:val="left" w:pos="2720"/>
        </w:tabs>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URDHËROJ:</w:t>
      </w:r>
    </w:p>
    <w:p w14:paraId="0AAAF3EE" w14:textId="77777777" w:rsidR="005D447A" w:rsidRPr="00637CDE" w:rsidRDefault="005D447A" w:rsidP="005D447A">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6A3891E8" w14:textId="09DB3715" w:rsidR="005D447A" w:rsidRPr="00637CDE" w:rsidRDefault="005D447A" w:rsidP="005D447A">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Miratimin e </w:t>
      </w:r>
      <w:r w:rsidR="00B3187F">
        <w:rPr>
          <w:rFonts w:ascii="Garamond" w:hAnsi="Garamond" w:cs="Times New Roman"/>
          <w:color w:val="000000"/>
          <w:sz w:val="24"/>
          <w:szCs w:val="24"/>
          <w:lang w:val="sq-AL"/>
          <w14:ligatures w14:val="standardContextual"/>
        </w:rPr>
        <w:t>r</w:t>
      </w:r>
      <w:r w:rsidRPr="00637CDE">
        <w:rPr>
          <w:rFonts w:ascii="Garamond" w:hAnsi="Garamond" w:cs="Times New Roman"/>
          <w:color w:val="000000"/>
          <w:sz w:val="24"/>
          <w:szCs w:val="24"/>
          <w:lang w:val="sq-AL"/>
          <w14:ligatures w14:val="standardContextual"/>
        </w:rPr>
        <w:t xml:space="preserve">regullores mbi praktikën e përgatitjes së mirë të përgatesave galenike, sipas tekstit bashkëlidhur këtij </w:t>
      </w:r>
      <w:r w:rsidR="001E1C4E">
        <w:rPr>
          <w:rFonts w:ascii="Garamond" w:hAnsi="Garamond" w:cs="Times New Roman"/>
          <w:color w:val="000000"/>
          <w:sz w:val="24"/>
          <w:szCs w:val="24"/>
          <w:lang w:val="sq-AL"/>
          <w14:ligatures w14:val="standardContextual"/>
        </w:rPr>
        <w:t>u</w:t>
      </w:r>
      <w:r w:rsidRPr="00637CDE">
        <w:rPr>
          <w:rFonts w:ascii="Garamond" w:hAnsi="Garamond" w:cs="Times New Roman"/>
          <w:color w:val="000000"/>
          <w:sz w:val="24"/>
          <w:szCs w:val="24"/>
          <w:lang w:val="sq-AL"/>
          <w14:ligatures w14:val="standardContextual"/>
        </w:rPr>
        <w:t>rdhri.</w:t>
      </w:r>
    </w:p>
    <w:p w14:paraId="6A19DE73" w14:textId="43E50935" w:rsidR="005D447A" w:rsidRPr="00637CDE" w:rsidRDefault="005D447A" w:rsidP="005D447A">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2. Ngarkohen për zbatimin e këtij </w:t>
      </w:r>
      <w:r w:rsidR="001E1C4E">
        <w:rPr>
          <w:rFonts w:ascii="Garamond" w:hAnsi="Garamond" w:cs="Times New Roman"/>
          <w:color w:val="000000"/>
          <w:sz w:val="24"/>
          <w:szCs w:val="24"/>
          <w:lang w:val="sq-AL"/>
          <w14:ligatures w14:val="standardContextual"/>
        </w:rPr>
        <w:t>u</w:t>
      </w:r>
      <w:r w:rsidRPr="00637CDE">
        <w:rPr>
          <w:rFonts w:ascii="Garamond" w:hAnsi="Garamond" w:cs="Times New Roman"/>
          <w:color w:val="000000"/>
          <w:sz w:val="24"/>
          <w:szCs w:val="24"/>
          <w:lang w:val="sq-AL"/>
          <w14:ligatures w14:val="standardContextual"/>
        </w:rPr>
        <w:t>rdhri subjektet që ofrojnë shërbim farmaceutik sipas legjislacionit në fuqi për barnat dhe shërbimin farmaceutik dhe Agjencia Kombëtare e Barnave dhe Pajisjeve Mjekësore.</w:t>
      </w:r>
    </w:p>
    <w:p w14:paraId="7A985230" w14:textId="3CF62531" w:rsidR="005D447A" w:rsidRPr="00637CDE" w:rsidRDefault="005D447A" w:rsidP="005D447A">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Ky urdhër hyn në fuqi menjëherë dhe botohet në Fletoren Zyrtare.</w:t>
      </w:r>
    </w:p>
    <w:p w14:paraId="56594383" w14:textId="77777777" w:rsidR="005D447A" w:rsidRPr="00637CDE" w:rsidRDefault="005D447A" w:rsidP="005D447A">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397FDA4C" w14:textId="24420B31" w:rsidR="005D447A" w:rsidRPr="00637CDE" w:rsidRDefault="005D447A" w:rsidP="005D447A">
      <w:pPr>
        <w:tabs>
          <w:tab w:val="left" w:pos="1680"/>
        </w:tabs>
        <w:autoSpaceDE w:val="0"/>
        <w:autoSpaceDN w:val="0"/>
        <w:adjustRightInd w:val="0"/>
        <w:spacing w:after="0" w:line="240" w:lineRule="auto"/>
        <w:ind w:firstLine="284"/>
        <w:jc w:val="right"/>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 xml:space="preserve"> MINISTËR I SHËNDETËSISË DHE MBROJTJES SOCIALE</w:t>
      </w:r>
    </w:p>
    <w:p w14:paraId="78E66A0D" w14:textId="24EF4E69" w:rsidR="005D447A" w:rsidRPr="00637CDE" w:rsidRDefault="005D447A" w:rsidP="005D447A">
      <w:pPr>
        <w:tabs>
          <w:tab w:val="left" w:pos="3860"/>
        </w:tabs>
        <w:autoSpaceDE w:val="0"/>
        <w:autoSpaceDN w:val="0"/>
        <w:adjustRightInd w:val="0"/>
        <w:spacing w:after="0" w:line="240" w:lineRule="auto"/>
        <w:ind w:firstLine="284"/>
        <w:jc w:val="right"/>
        <w:rPr>
          <w:rFonts w:ascii="Garamond" w:hAnsi="Garamond" w:cs="Times New Roman"/>
          <w:b/>
          <w:bCs/>
          <w:color w:val="000000"/>
          <w:sz w:val="24"/>
          <w:szCs w:val="24"/>
          <w:lang w:val="sq-AL"/>
          <w14:ligatures w14:val="standardContextual"/>
        </w:rPr>
      </w:pPr>
      <w:proofErr w:type="spellStart"/>
      <w:r w:rsidRPr="00637CDE">
        <w:rPr>
          <w:rFonts w:ascii="Garamond" w:hAnsi="Garamond" w:cs="Times New Roman"/>
          <w:b/>
          <w:bCs/>
          <w:color w:val="000000"/>
          <w:sz w:val="24"/>
          <w:szCs w:val="24"/>
          <w:lang w:val="sq-AL"/>
          <w14:ligatures w14:val="standardContextual"/>
        </w:rPr>
        <w:t>Ogerta</w:t>
      </w:r>
      <w:proofErr w:type="spellEnd"/>
      <w:r w:rsidRPr="00637CDE">
        <w:rPr>
          <w:rFonts w:ascii="Garamond" w:hAnsi="Garamond" w:cs="Times New Roman"/>
          <w:b/>
          <w:bCs/>
          <w:color w:val="000000"/>
          <w:sz w:val="24"/>
          <w:szCs w:val="24"/>
          <w:lang w:val="sq-AL"/>
          <w14:ligatures w14:val="standardContextual"/>
        </w:rPr>
        <w:t xml:space="preserve"> </w:t>
      </w:r>
      <w:proofErr w:type="spellStart"/>
      <w:r w:rsidRPr="00637CDE">
        <w:rPr>
          <w:rFonts w:ascii="Garamond" w:hAnsi="Garamond" w:cs="Times New Roman"/>
          <w:b/>
          <w:bCs/>
          <w:color w:val="000000"/>
          <w:sz w:val="24"/>
          <w:szCs w:val="24"/>
          <w:lang w:val="sq-AL"/>
          <w14:ligatures w14:val="standardContextual"/>
        </w:rPr>
        <w:t>Manastirliu</w:t>
      </w:r>
      <w:proofErr w:type="spellEnd"/>
    </w:p>
    <w:p w14:paraId="044DDF86"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FB2C77A" w14:textId="77777777" w:rsidR="001E1C4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 xml:space="preserve">RREGULLORE </w:t>
      </w:r>
    </w:p>
    <w:p w14:paraId="3A84CD07" w14:textId="1D6FA8FE" w:rsidR="005D447A" w:rsidRPr="001E1C4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1E1C4E">
        <w:rPr>
          <w:rFonts w:ascii="Garamond" w:hAnsi="Garamond" w:cs="Times New Roman"/>
          <w:bCs/>
          <w:color w:val="000000"/>
          <w:sz w:val="24"/>
          <w:szCs w:val="24"/>
          <w:lang w:val="sq-AL"/>
          <w14:ligatures w14:val="standardContextual"/>
        </w:rPr>
        <w:t>MBI PRAKTIKËN E PËRGATITJES SË MIRË TË PËRGATESAVE GALENIKE</w:t>
      </w:r>
    </w:p>
    <w:p w14:paraId="13BA6BF9"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p>
    <w:p w14:paraId="71CCEE8B"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1</w:t>
      </w:r>
    </w:p>
    <w:p w14:paraId="5DE84873"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 xml:space="preserve">Qëllimi </w:t>
      </w:r>
    </w:p>
    <w:p w14:paraId="33304AA8"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5EACD191"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Qëllimi i kësaj rregulloreje është përcaktimi i rregullave mbi praktikën e përgatitjes së mirë të përgatesave galenike në farmaci, në mënyrë të tillë që të sigurohet cilësia e barit si një karakteristikë thelbësore e efikasitetit dhe e sigurisë së tij.</w:t>
      </w:r>
    </w:p>
    <w:p w14:paraId="26F08CE8" w14:textId="05B056A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Përgatitja e barit në bazë të recetës së mjekut (përgatesë magjistrale) ose në bazë të udhëzimeve të </w:t>
      </w:r>
      <w:proofErr w:type="spellStart"/>
      <w:r w:rsidRPr="00637CDE">
        <w:rPr>
          <w:rFonts w:ascii="Garamond" w:hAnsi="Garamond" w:cs="Times New Roman"/>
          <w:color w:val="000000"/>
          <w:sz w:val="24"/>
          <w:szCs w:val="24"/>
          <w:lang w:val="sq-AL"/>
          <w14:ligatures w14:val="standardContextual"/>
        </w:rPr>
        <w:t>farmakopesë</w:t>
      </w:r>
      <w:proofErr w:type="spellEnd"/>
      <w:r w:rsidRPr="00637CDE">
        <w:rPr>
          <w:rFonts w:ascii="Garamond" w:hAnsi="Garamond" w:cs="Times New Roman"/>
          <w:color w:val="000000"/>
          <w:sz w:val="24"/>
          <w:szCs w:val="24"/>
          <w:lang w:val="sq-AL"/>
          <w14:ligatures w14:val="standardContextual"/>
        </w:rPr>
        <w:t xml:space="preserve"> evropiane apo </w:t>
      </w:r>
      <w:r w:rsidR="00424AB8" w:rsidRPr="00637CDE">
        <w:rPr>
          <w:rFonts w:ascii="Garamond" w:hAnsi="Garamond" w:cs="Times New Roman"/>
          <w:color w:val="000000"/>
          <w:sz w:val="24"/>
          <w:szCs w:val="24"/>
          <w:lang w:val="sq-AL"/>
          <w14:ligatures w14:val="standardContextual"/>
        </w:rPr>
        <w:t xml:space="preserve">të formularit farmaceutik të miratuar nga ministria </w:t>
      </w:r>
      <w:r w:rsidRPr="00637CDE">
        <w:rPr>
          <w:rFonts w:ascii="Garamond" w:hAnsi="Garamond" w:cs="Times New Roman"/>
          <w:color w:val="000000"/>
          <w:sz w:val="24"/>
          <w:szCs w:val="24"/>
          <w:lang w:val="sq-AL"/>
          <w14:ligatures w14:val="standardContextual"/>
        </w:rPr>
        <w:t xml:space="preserve">përgjegjëse për shëndetësinë (përgatesë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është një komponent shumë i rëndësishëm në ushtrimin e profesionit të farmacistit.</w:t>
      </w:r>
    </w:p>
    <w:p w14:paraId="5B6F56B7"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755A62F7"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2</w:t>
      </w:r>
    </w:p>
    <w:p w14:paraId="279390E6" w14:textId="595E9A76"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Fusha e zbatimit</w:t>
      </w:r>
    </w:p>
    <w:p w14:paraId="1D587949"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632A8212" w14:textId="58F84FA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Kjo rregullore përcakton procedurat që duhet të respektojnë farmacitë publike dhe private të rrjetit të hapur dhe farmacitë spitalore, të cilat përgatisin përgatesa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w:t>
      </w:r>
      <w:proofErr w:type="spellStart"/>
      <w:r w:rsidRPr="00637CDE">
        <w:rPr>
          <w:rFonts w:ascii="Garamond" w:hAnsi="Garamond" w:cs="Times New Roman"/>
          <w:color w:val="000000"/>
          <w:sz w:val="24"/>
          <w:szCs w:val="24"/>
          <w:lang w:val="sq-AL"/>
          <w14:ligatures w14:val="standardContextual"/>
        </w:rPr>
        <w:t>josterile</w:t>
      </w:r>
      <w:proofErr w:type="spellEnd"/>
      <w:r w:rsidRPr="00637CDE">
        <w:rPr>
          <w:rFonts w:ascii="Garamond" w:hAnsi="Garamond" w:cs="Times New Roman"/>
          <w:color w:val="000000"/>
          <w:sz w:val="24"/>
          <w:szCs w:val="24"/>
          <w:lang w:val="sq-AL"/>
          <w14:ligatures w14:val="standardContextual"/>
        </w:rPr>
        <w:t xml:space="preserve"> në shkallë të vogël dhe përgatesa magjistrale </w:t>
      </w:r>
      <w:proofErr w:type="spellStart"/>
      <w:r w:rsidRPr="00637CDE">
        <w:rPr>
          <w:rFonts w:ascii="Garamond" w:hAnsi="Garamond" w:cs="Times New Roman"/>
          <w:color w:val="000000"/>
          <w:sz w:val="24"/>
          <w:szCs w:val="24"/>
          <w:lang w:val="sq-AL"/>
          <w14:ligatures w14:val="standardContextual"/>
        </w:rPr>
        <w:t>josterile</w:t>
      </w:r>
      <w:proofErr w:type="spellEnd"/>
      <w:r w:rsidRPr="00637CDE">
        <w:rPr>
          <w:rFonts w:ascii="Garamond" w:hAnsi="Garamond" w:cs="Times New Roman"/>
          <w:color w:val="000000"/>
          <w:sz w:val="24"/>
          <w:szCs w:val="24"/>
          <w:lang w:val="sq-AL"/>
          <w14:ligatures w14:val="standardContextual"/>
        </w:rPr>
        <w:t xml:space="preserve">, me përjashtim të përgatitjeve toksike, </w:t>
      </w:r>
      <w:proofErr w:type="spellStart"/>
      <w:r w:rsidRPr="00637CDE">
        <w:rPr>
          <w:rFonts w:ascii="Garamond" w:hAnsi="Garamond" w:cs="Times New Roman"/>
          <w:color w:val="000000"/>
          <w:sz w:val="24"/>
          <w:szCs w:val="24"/>
          <w:lang w:val="sq-AL"/>
          <w14:ligatures w14:val="standardContextual"/>
        </w:rPr>
        <w:t>antikancerogjene</w:t>
      </w:r>
      <w:proofErr w:type="spellEnd"/>
      <w:r w:rsidRPr="00637CDE">
        <w:rPr>
          <w:rFonts w:ascii="Garamond" w:hAnsi="Garamond" w:cs="Times New Roman"/>
          <w:color w:val="000000"/>
          <w:sz w:val="24"/>
          <w:szCs w:val="24"/>
          <w:lang w:val="sq-AL"/>
          <w14:ligatures w14:val="standardContextual"/>
        </w:rPr>
        <w:t xml:space="preserve">, </w:t>
      </w:r>
      <w:proofErr w:type="spellStart"/>
      <w:r w:rsidRPr="00637CDE">
        <w:rPr>
          <w:rFonts w:ascii="Garamond" w:hAnsi="Garamond" w:cs="Times New Roman"/>
          <w:color w:val="000000"/>
          <w:sz w:val="24"/>
          <w:szCs w:val="24"/>
          <w:lang w:val="sq-AL"/>
          <w14:ligatures w14:val="standardContextual"/>
        </w:rPr>
        <w:t>radiofarmaceutike</w:t>
      </w:r>
      <w:proofErr w:type="spellEnd"/>
      <w:r w:rsidRPr="00637CDE">
        <w:rPr>
          <w:rFonts w:ascii="Garamond" w:hAnsi="Garamond" w:cs="Times New Roman"/>
          <w:color w:val="000000"/>
          <w:sz w:val="24"/>
          <w:szCs w:val="24"/>
          <w:lang w:val="sq-AL"/>
          <w14:ligatures w14:val="standardContextual"/>
        </w:rPr>
        <w:t xml:space="preserve">, të cilat duhet të përgatiten në kapa të përshtatshme dhe të posaçme biologjike dhe produkteve sterile për të cilat zbatohen praktikat e përgatitjes së mirë që përmban </w:t>
      </w:r>
      <w:proofErr w:type="spellStart"/>
      <w:r w:rsidRPr="00637CDE">
        <w:rPr>
          <w:rFonts w:ascii="Garamond" w:hAnsi="Garamond" w:cs="Times New Roman"/>
          <w:color w:val="000000"/>
          <w:sz w:val="24"/>
          <w:szCs w:val="24"/>
          <w:lang w:val="sq-AL"/>
          <w14:ligatures w14:val="standardContextual"/>
        </w:rPr>
        <w:t>Farmakopeja</w:t>
      </w:r>
      <w:proofErr w:type="spellEnd"/>
      <w:r w:rsidRPr="00637CDE">
        <w:rPr>
          <w:rFonts w:ascii="Garamond" w:hAnsi="Garamond" w:cs="Times New Roman"/>
          <w:color w:val="000000"/>
          <w:sz w:val="24"/>
          <w:szCs w:val="24"/>
          <w:lang w:val="sq-AL"/>
          <w14:ligatures w14:val="standardContextual"/>
        </w:rPr>
        <w:t xml:space="preserve"> Evropiane apo Formulari Farmaceutik.</w:t>
      </w:r>
    </w:p>
    <w:p w14:paraId="5A1F5375"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iCs/>
          <w:color w:val="000000"/>
          <w:sz w:val="24"/>
          <w:szCs w:val="24"/>
          <w:lang w:val="sq-AL"/>
          <w14:ligatures w14:val="standardContextual"/>
        </w:rPr>
      </w:pPr>
    </w:p>
    <w:p w14:paraId="70CCE76B" w14:textId="694A1548" w:rsidR="005D447A" w:rsidRPr="00637CDE" w:rsidRDefault="005D447A" w:rsidP="005D447A">
      <w:pPr>
        <w:autoSpaceDE w:val="0"/>
        <w:autoSpaceDN w:val="0"/>
        <w:adjustRightInd w:val="0"/>
        <w:spacing w:after="0" w:line="240" w:lineRule="auto"/>
        <w:ind w:firstLine="284"/>
        <w:jc w:val="center"/>
        <w:rPr>
          <w:rFonts w:ascii="Garamond" w:hAnsi="Garamond" w:cs="Times New Roman"/>
          <w:bCs/>
          <w:iCs/>
          <w:color w:val="000000"/>
          <w:sz w:val="24"/>
          <w:szCs w:val="24"/>
          <w:lang w:val="sq-AL"/>
          <w14:ligatures w14:val="standardContextual"/>
        </w:rPr>
      </w:pPr>
      <w:r w:rsidRPr="00637CDE">
        <w:rPr>
          <w:rFonts w:ascii="Garamond" w:hAnsi="Garamond" w:cs="Times New Roman"/>
          <w:bCs/>
          <w:iCs/>
          <w:color w:val="000000"/>
          <w:sz w:val="24"/>
          <w:szCs w:val="24"/>
          <w:lang w:val="sq-AL"/>
          <w14:ligatures w14:val="standardContextual"/>
        </w:rPr>
        <w:t>Neni 3</w:t>
      </w:r>
    </w:p>
    <w:p w14:paraId="7FD6EFE0" w14:textId="4913B7F8" w:rsidR="005D447A" w:rsidRDefault="005D447A" w:rsidP="005D447A">
      <w:pPr>
        <w:autoSpaceDE w:val="0"/>
        <w:autoSpaceDN w:val="0"/>
        <w:adjustRightInd w:val="0"/>
        <w:spacing w:after="0" w:line="240" w:lineRule="auto"/>
        <w:ind w:firstLine="284"/>
        <w:jc w:val="center"/>
        <w:rPr>
          <w:rFonts w:ascii="Garamond" w:hAnsi="Garamond" w:cs="Times New Roman"/>
          <w:b/>
          <w:bCs/>
          <w:iCs/>
          <w:color w:val="000000"/>
          <w:sz w:val="24"/>
          <w:szCs w:val="24"/>
          <w:lang w:val="sq-AL"/>
          <w14:ligatures w14:val="standardContextual"/>
        </w:rPr>
      </w:pPr>
      <w:r w:rsidRPr="00637CDE">
        <w:rPr>
          <w:rFonts w:ascii="Garamond" w:hAnsi="Garamond" w:cs="Times New Roman"/>
          <w:b/>
          <w:bCs/>
          <w:iCs/>
          <w:color w:val="000000"/>
          <w:sz w:val="24"/>
          <w:szCs w:val="24"/>
          <w:lang w:val="sq-AL"/>
          <w14:ligatures w14:val="standardContextual"/>
        </w:rPr>
        <w:t>Parimet kryesore</w:t>
      </w:r>
    </w:p>
    <w:p w14:paraId="14856ED3" w14:textId="77777777" w:rsidR="00424AB8" w:rsidRPr="00637CDE" w:rsidRDefault="00424AB8" w:rsidP="005D447A">
      <w:pPr>
        <w:autoSpaceDE w:val="0"/>
        <w:autoSpaceDN w:val="0"/>
        <w:adjustRightInd w:val="0"/>
        <w:spacing w:after="0" w:line="240" w:lineRule="auto"/>
        <w:ind w:firstLine="284"/>
        <w:jc w:val="center"/>
        <w:rPr>
          <w:rFonts w:ascii="Garamond" w:hAnsi="Garamond" w:cs="Times New Roman"/>
          <w:b/>
          <w:bCs/>
          <w:iCs/>
          <w:color w:val="000000"/>
          <w:sz w:val="24"/>
          <w:szCs w:val="24"/>
          <w:lang w:val="sq-AL"/>
          <w14:ligatures w14:val="standardContextual"/>
        </w:rPr>
      </w:pPr>
    </w:p>
    <w:p w14:paraId="73BD55E3"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iCs/>
          <w:color w:val="000000"/>
          <w:sz w:val="24"/>
          <w:szCs w:val="24"/>
          <w:lang w:val="sq-AL"/>
          <w14:ligatures w14:val="standardContextual"/>
        </w:rPr>
      </w:pPr>
      <w:r w:rsidRPr="00637CDE">
        <w:rPr>
          <w:rFonts w:ascii="Garamond" w:hAnsi="Garamond" w:cs="Times New Roman"/>
          <w:iCs/>
          <w:color w:val="000000"/>
          <w:sz w:val="24"/>
          <w:szCs w:val="24"/>
          <w:lang w:val="sq-AL"/>
          <w14:ligatures w14:val="standardContextual"/>
        </w:rPr>
        <w:lastRenderedPageBreak/>
        <w:t xml:space="preserve">Rregullat mbi praktikën e mirë të përgatesave galenike janë të bazuara në parimet e mëposhtme: </w:t>
      </w:r>
    </w:p>
    <w:p w14:paraId="4194ECDC" w14:textId="730EB89D" w:rsidR="005D447A" w:rsidRPr="00637CDE" w:rsidRDefault="005D447A" w:rsidP="005D447A">
      <w:pPr>
        <w:autoSpaceDE w:val="0"/>
        <w:autoSpaceDN w:val="0"/>
        <w:adjustRightInd w:val="0"/>
        <w:spacing w:after="0" w:line="240" w:lineRule="auto"/>
        <w:ind w:firstLine="284"/>
        <w:jc w:val="both"/>
        <w:rPr>
          <w:rFonts w:ascii="Garamond" w:hAnsi="Garamond" w:cs="Times New Roman"/>
          <w:iCs/>
          <w:color w:val="000000"/>
          <w:sz w:val="24"/>
          <w:szCs w:val="24"/>
          <w:lang w:val="sq-AL"/>
          <w14:ligatures w14:val="standardContextual"/>
        </w:rPr>
      </w:pPr>
      <w:r w:rsidRPr="00637CDE">
        <w:rPr>
          <w:rFonts w:ascii="Garamond" w:hAnsi="Garamond" w:cs="Times New Roman"/>
          <w:iCs/>
          <w:color w:val="000000"/>
          <w:sz w:val="24"/>
          <w:szCs w:val="24"/>
          <w:lang w:val="sq-AL"/>
          <w14:ligatures w14:val="standardContextual"/>
        </w:rPr>
        <w:t xml:space="preserve">a) përshtatshmërinë e burimeve strukturore, instrumentale, njerëzore, organizuese dhe </w:t>
      </w:r>
      <w:proofErr w:type="spellStart"/>
      <w:r w:rsidRPr="00637CDE">
        <w:rPr>
          <w:rFonts w:ascii="Garamond" w:hAnsi="Garamond" w:cs="Times New Roman"/>
          <w:iCs/>
          <w:color w:val="000000"/>
          <w:sz w:val="24"/>
          <w:szCs w:val="24"/>
          <w:lang w:val="sq-AL"/>
          <w14:ligatures w14:val="standardContextual"/>
        </w:rPr>
        <w:t>menaxhuese</w:t>
      </w:r>
      <w:proofErr w:type="spellEnd"/>
      <w:r w:rsidRPr="00637CDE">
        <w:rPr>
          <w:rFonts w:ascii="Garamond" w:hAnsi="Garamond" w:cs="Times New Roman"/>
          <w:iCs/>
          <w:color w:val="000000"/>
          <w:sz w:val="24"/>
          <w:szCs w:val="24"/>
          <w:lang w:val="sq-AL"/>
          <w14:ligatures w14:val="standardContextual"/>
        </w:rPr>
        <w:t xml:space="preserve"> lidhur me tipologjinë dhe ngarkesën e punës së kryer nga farmacia;</w:t>
      </w:r>
    </w:p>
    <w:p w14:paraId="094F9675" w14:textId="5F52BE56" w:rsidR="005D447A" w:rsidRPr="00637CDE" w:rsidRDefault="005D447A" w:rsidP="005D447A">
      <w:pPr>
        <w:autoSpaceDE w:val="0"/>
        <w:autoSpaceDN w:val="0"/>
        <w:adjustRightInd w:val="0"/>
        <w:spacing w:after="0" w:line="240" w:lineRule="auto"/>
        <w:ind w:firstLine="284"/>
        <w:jc w:val="both"/>
        <w:rPr>
          <w:rFonts w:ascii="Garamond" w:hAnsi="Garamond" w:cs="Times New Roman"/>
          <w:iCs/>
          <w:color w:val="000000"/>
          <w:sz w:val="24"/>
          <w:szCs w:val="24"/>
          <w:lang w:val="sq-AL"/>
          <w14:ligatures w14:val="standardContextual"/>
        </w:rPr>
      </w:pPr>
      <w:r w:rsidRPr="00637CDE">
        <w:rPr>
          <w:rFonts w:ascii="Garamond" w:hAnsi="Garamond" w:cs="Times New Roman"/>
          <w:iCs/>
          <w:color w:val="000000"/>
          <w:sz w:val="24"/>
          <w:szCs w:val="24"/>
          <w:lang w:val="sq-AL"/>
          <w14:ligatures w14:val="standardContextual"/>
        </w:rPr>
        <w:t>b) identifikimin e përgjegjësive;</w:t>
      </w:r>
    </w:p>
    <w:p w14:paraId="4D4BB482" w14:textId="79A0012A" w:rsidR="005D447A" w:rsidRPr="00637CDE" w:rsidRDefault="005D447A" w:rsidP="005D447A">
      <w:pPr>
        <w:autoSpaceDE w:val="0"/>
        <w:autoSpaceDN w:val="0"/>
        <w:adjustRightInd w:val="0"/>
        <w:spacing w:after="0" w:line="240" w:lineRule="auto"/>
        <w:ind w:firstLine="284"/>
        <w:jc w:val="both"/>
        <w:rPr>
          <w:rFonts w:ascii="Garamond" w:hAnsi="Garamond" w:cs="Times New Roman"/>
          <w:iCs/>
          <w:color w:val="000000"/>
          <w:sz w:val="24"/>
          <w:szCs w:val="24"/>
          <w:lang w:val="sq-AL"/>
          <w14:ligatures w14:val="standardContextual"/>
        </w:rPr>
      </w:pPr>
      <w:r w:rsidRPr="00637CDE">
        <w:rPr>
          <w:rFonts w:ascii="Garamond" w:hAnsi="Garamond" w:cs="Times New Roman"/>
          <w:iCs/>
          <w:color w:val="000000"/>
          <w:sz w:val="24"/>
          <w:szCs w:val="24"/>
          <w:lang w:val="sq-AL"/>
          <w14:ligatures w14:val="standardContextual"/>
        </w:rPr>
        <w:t>c) cilësinë e lëndës së parë;</w:t>
      </w:r>
    </w:p>
    <w:p w14:paraId="6C58CD4B" w14:textId="29BDC9ED" w:rsidR="005D447A" w:rsidRPr="00637CDE" w:rsidRDefault="005D447A" w:rsidP="005D447A">
      <w:pPr>
        <w:autoSpaceDE w:val="0"/>
        <w:autoSpaceDN w:val="0"/>
        <w:adjustRightInd w:val="0"/>
        <w:spacing w:after="0" w:line="240" w:lineRule="auto"/>
        <w:ind w:firstLine="284"/>
        <w:jc w:val="both"/>
        <w:rPr>
          <w:rFonts w:ascii="Garamond" w:hAnsi="Garamond" w:cs="Times New Roman"/>
          <w:iCs/>
          <w:color w:val="000000"/>
          <w:sz w:val="24"/>
          <w:szCs w:val="24"/>
          <w:lang w:val="sq-AL"/>
          <w14:ligatures w14:val="standardContextual"/>
        </w:rPr>
      </w:pPr>
      <w:r w:rsidRPr="00637CDE">
        <w:rPr>
          <w:rFonts w:ascii="Garamond" w:hAnsi="Garamond" w:cs="Times New Roman"/>
          <w:iCs/>
          <w:color w:val="000000"/>
          <w:sz w:val="24"/>
          <w:szCs w:val="24"/>
          <w:lang w:val="sq-AL"/>
          <w14:ligatures w14:val="standardContextual"/>
        </w:rPr>
        <w:t>d) kontrollin e vazhdueshëm dhe të dokumentuar të fazave të punës;</w:t>
      </w:r>
    </w:p>
    <w:p w14:paraId="25C8AFEE" w14:textId="03BC059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e) mirëmbajtjen, kalibrimin dhe përditësimin e pajisjeve instrumentale;</w:t>
      </w:r>
    </w:p>
    <w:p w14:paraId="1F1216B4" w14:textId="1EE2F5E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f) edukimin e vazhdueshëm specifik të personelit.</w:t>
      </w:r>
    </w:p>
    <w:p w14:paraId="13FDB7AF"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077C6236"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4</w:t>
      </w:r>
    </w:p>
    <w:p w14:paraId="49D0567B" w14:textId="7ED18358"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Përkufizime</w:t>
      </w:r>
    </w:p>
    <w:p w14:paraId="46A8D0FD"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892949C"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Në këtë rregullore, termat e mëposhtëm kanë këto kuptime:</w:t>
      </w:r>
    </w:p>
    <w:p w14:paraId="0A5BFC0B" w14:textId="1E00A05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1. “Përgatesë magjistrale” është bari që përgatitet në farmaci duke u bazuar në recetën mjekësore për një pacient specifik.</w:t>
      </w:r>
    </w:p>
    <w:p w14:paraId="05E0DD89" w14:textId="4CF56E9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2. “Përgatesë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është bari që përgatitet në farmaci duke u bazuar në </w:t>
      </w:r>
      <w:proofErr w:type="spellStart"/>
      <w:r w:rsidRPr="00637CDE">
        <w:rPr>
          <w:rFonts w:ascii="Garamond" w:hAnsi="Garamond" w:cs="Times New Roman"/>
          <w:color w:val="000000"/>
          <w:sz w:val="24"/>
          <w:szCs w:val="24"/>
          <w:lang w:val="sq-AL"/>
          <w14:ligatures w14:val="standardContextual"/>
        </w:rPr>
        <w:t>Farmakopenë</w:t>
      </w:r>
      <w:proofErr w:type="spellEnd"/>
      <w:r w:rsidRPr="00637CDE">
        <w:rPr>
          <w:rFonts w:ascii="Garamond" w:hAnsi="Garamond" w:cs="Times New Roman"/>
          <w:color w:val="000000"/>
          <w:sz w:val="24"/>
          <w:szCs w:val="24"/>
          <w:lang w:val="sq-AL"/>
          <w14:ligatures w14:val="standardContextual"/>
        </w:rPr>
        <w:t xml:space="preserve"> Evropiane ose formularin farmaceutik.</w:t>
      </w:r>
    </w:p>
    <w:p w14:paraId="1E9F7257" w14:textId="49A9778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 “Përgatitje në shkallë të vogël” është numri i “përgatitjeve” që mund të realizohen nga farmacisti. Numri i njësive të përgatitura, në përputhje me qëndrueshmërinë e vetë përgatesës, është ai numër njësish që mund të merret nga një peshë formulimi që nuk i kalon 3000 gram</w:t>
      </w:r>
      <w:r w:rsidR="00D843AD">
        <w:rPr>
          <w:rFonts w:ascii="Garamond" w:hAnsi="Garamond" w:cs="Times New Roman"/>
          <w:color w:val="000000"/>
          <w:sz w:val="24"/>
          <w:szCs w:val="24"/>
          <w:lang w:val="sq-AL"/>
          <w14:ligatures w14:val="standardContextual"/>
        </w:rPr>
        <w:t>ë</w:t>
      </w:r>
      <w:r w:rsidRPr="00637CDE">
        <w:rPr>
          <w:rFonts w:ascii="Garamond" w:hAnsi="Garamond" w:cs="Times New Roman"/>
          <w:color w:val="000000"/>
          <w:sz w:val="24"/>
          <w:szCs w:val="24"/>
          <w:lang w:val="sq-AL"/>
          <w14:ligatures w14:val="standardContextual"/>
        </w:rPr>
        <w:t xml:space="preserve">. Për përgatesat që përgatiten në bazë të një recete mjekësore, numri i njësive të përgatitura duhet të dokumentohet në bazë të recetave mjekësore të paraqitura nga pacientët. Farmacisti mund të vazhdojë me përgatitjen e radhës të një përgatese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për sa kohë që “stoku” i saj nuk e kalon në asnjë rast numrin e njësive të parashikuar nga përgatitja në shkallë të vogël. </w:t>
      </w:r>
    </w:p>
    <w:p w14:paraId="65F23577" w14:textId="2D1E909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4. “Aktiviteti kritik” është aktiviteti që ka ndikim në cilësinë e përgatitjes që i jepet pacientit.</w:t>
      </w:r>
    </w:p>
    <w:p w14:paraId="17FA0979" w14:textId="286D4A32"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5. “Limitet e </w:t>
      </w:r>
      <w:proofErr w:type="spellStart"/>
      <w:r w:rsidRPr="00637CDE">
        <w:rPr>
          <w:rFonts w:ascii="Garamond" w:hAnsi="Garamond" w:cs="Times New Roman"/>
          <w:color w:val="000000"/>
          <w:sz w:val="24"/>
          <w:szCs w:val="24"/>
          <w:lang w:val="sq-AL"/>
          <w14:ligatures w14:val="standardContextual"/>
        </w:rPr>
        <w:t>pranueshmërisë</w:t>
      </w:r>
      <w:proofErr w:type="spellEnd"/>
      <w:r w:rsidRPr="00637CDE">
        <w:rPr>
          <w:rFonts w:ascii="Garamond" w:hAnsi="Garamond" w:cs="Times New Roman"/>
          <w:color w:val="000000"/>
          <w:sz w:val="24"/>
          <w:szCs w:val="24"/>
          <w:lang w:val="sq-AL"/>
          <w14:ligatures w14:val="standardContextual"/>
        </w:rPr>
        <w:t xml:space="preserve">” është intervali numerik brenda të cilit duhet të gjendet rezultati sasior i një peshimi të caktuar të lëndës vepruese të pranishme në përgatesë. Limitet e </w:t>
      </w:r>
      <w:proofErr w:type="spellStart"/>
      <w:r w:rsidRPr="00637CDE">
        <w:rPr>
          <w:rFonts w:ascii="Garamond" w:hAnsi="Garamond" w:cs="Times New Roman"/>
          <w:color w:val="000000"/>
          <w:sz w:val="24"/>
          <w:szCs w:val="24"/>
          <w:lang w:val="sq-AL"/>
          <w14:ligatures w14:val="standardContextual"/>
        </w:rPr>
        <w:t>pranueshmërisë</w:t>
      </w:r>
      <w:proofErr w:type="spellEnd"/>
      <w:r w:rsidRPr="00637CDE">
        <w:rPr>
          <w:rFonts w:ascii="Garamond" w:hAnsi="Garamond" w:cs="Times New Roman"/>
          <w:color w:val="000000"/>
          <w:sz w:val="24"/>
          <w:szCs w:val="24"/>
          <w:lang w:val="sq-AL"/>
          <w14:ligatures w14:val="standardContextual"/>
        </w:rPr>
        <w:t xml:space="preserve"> janë përcaktuar duke pa</w:t>
      </w:r>
      <w:r w:rsidR="0060586F">
        <w:rPr>
          <w:rFonts w:ascii="Garamond" w:hAnsi="Garamond" w:cs="Times New Roman"/>
          <w:color w:val="000000"/>
          <w:sz w:val="24"/>
          <w:szCs w:val="24"/>
          <w:lang w:val="sq-AL"/>
          <w14:ligatures w14:val="standardContextual"/>
        </w:rPr>
        <w:t>s</w:t>
      </w:r>
      <w:r w:rsidRPr="00637CDE">
        <w:rPr>
          <w:rFonts w:ascii="Garamond" w:hAnsi="Garamond" w:cs="Times New Roman"/>
          <w:color w:val="000000"/>
          <w:sz w:val="24"/>
          <w:szCs w:val="24"/>
          <w:lang w:val="sq-AL"/>
          <w14:ligatures w14:val="standardContextual"/>
        </w:rPr>
        <w:t>ur parasysh:</w:t>
      </w:r>
    </w:p>
    <w:p w14:paraId="6E4A285E" w14:textId="5650225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a) përbërjen e përgatitjes;</w:t>
      </w:r>
    </w:p>
    <w:p w14:paraId="2DFB8DF1" w14:textId="3FE792AC"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b) procedurën e përgatitjes;</w:t>
      </w:r>
    </w:p>
    <w:p w14:paraId="268130B1" w14:textId="439739A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c) metodën e përdorur për një kontroll të mundshëm të përgatitjes;</w:t>
      </w:r>
    </w:p>
    <w:p w14:paraId="4535BD7C" w14:textId="7E0374F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d) procesin e degradimit të lëndës vepruese gjatë kohës së përdorimit të përgatesës.</w:t>
      </w:r>
    </w:p>
    <w:p w14:paraId="39B306F4" w14:textId="020B8A0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6. “Përgjegjës” është personi që ka për detyrë të kryejë dhe/ose monitorojë procesin e përgatitjes së përgatesave galenike</w:t>
      </w:r>
      <w:r w:rsidR="00E73593">
        <w:rPr>
          <w:rFonts w:ascii="Garamond" w:hAnsi="Garamond" w:cs="Times New Roman"/>
          <w:color w:val="000000"/>
          <w:sz w:val="24"/>
          <w:szCs w:val="24"/>
          <w:lang w:val="sq-AL"/>
          <w14:ligatures w14:val="standardContextual"/>
        </w:rPr>
        <w:t>.</w:t>
      </w:r>
      <w:r w:rsidRPr="00637CDE">
        <w:rPr>
          <w:rFonts w:ascii="Garamond" w:hAnsi="Garamond" w:cs="Times New Roman"/>
          <w:color w:val="000000"/>
          <w:sz w:val="24"/>
          <w:szCs w:val="24"/>
          <w:lang w:val="sq-AL"/>
          <w14:ligatures w14:val="standardContextual"/>
        </w:rPr>
        <w:t xml:space="preserve"> Në varësi të llojit dhe ngarkesës së farmacisë, mund të ketë nivele të ndryshme përgjegjësie, në mënyrë që të kemi një piramidë në të cilën nivelet më të ulëta (operuese) raportojnë në nivelin më të lartë (menaxhimi) dhe këta të fundit te drejtuesi teknik i farmacisë.</w:t>
      </w:r>
    </w:p>
    <w:p w14:paraId="241E8E5E" w14:textId="657E7B2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7. “</w:t>
      </w:r>
      <w:proofErr w:type="spellStart"/>
      <w:r w:rsidRPr="00637CDE">
        <w:rPr>
          <w:rFonts w:ascii="Garamond" w:hAnsi="Garamond" w:cs="Times New Roman"/>
          <w:color w:val="000000"/>
          <w:sz w:val="24"/>
          <w:szCs w:val="24"/>
          <w:lang w:val="sq-AL"/>
          <w14:ligatures w14:val="standardContextual"/>
        </w:rPr>
        <w:t>Konvalidimi</w:t>
      </w:r>
      <w:proofErr w:type="spellEnd"/>
      <w:r w:rsidRPr="00637CDE">
        <w:rPr>
          <w:rFonts w:ascii="Garamond" w:hAnsi="Garamond" w:cs="Times New Roman"/>
          <w:color w:val="000000"/>
          <w:sz w:val="24"/>
          <w:szCs w:val="24"/>
          <w:lang w:val="sq-AL"/>
          <w14:ligatures w14:val="standardContextual"/>
        </w:rPr>
        <w:t>”</w:t>
      </w:r>
      <w:r w:rsidRPr="00637CDE">
        <w:rPr>
          <w:rFonts w:ascii="Garamond" w:hAnsi="Garamond" w:cs="Times New Roman"/>
          <w:b/>
          <w:bCs/>
          <w:color w:val="000000"/>
          <w:sz w:val="24"/>
          <w:szCs w:val="24"/>
          <w:lang w:val="sq-AL"/>
          <w14:ligatures w14:val="standardContextual"/>
        </w:rPr>
        <w:t xml:space="preserve"> </w:t>
      </w:r>
      <w:r w:rsidRPr="00637CDE">
        <w:rPr>
          <w:rFonts w:ascii="Garamond" w:hAnsi="Garamond" w:cs="Times New Roman"/>
          <w:color w:val="000000"/>
          <w:sz w:val="24"/>
          <w:szCs w:val="24"/>
          <w:lang w:val="sq-AL"/>
          <w14:ligatures w14:val="standardContextual"/>
        </w:rPr>
        <w:t>është një pro</w:t>
      </w:r>
      <w:r w:rsidR="00AA2B88">
        <w:rPr>
          <w:rFonts w:ascii="Garamond" w:hAnsi="Garamond" w:cs="Times New Roman"/>
          <w:color w:val="000000"/>
          <w:sz w:val="24"/>
          <w:szCs w:val="24"/>
          <w:lang w:val="sq-AL"/>
          <w14:ligatures w14:val="standardContextual"/>
        </w:rPr>
        <w:t>c</w:t>
      </w:r>
      <w:r w:rsidRPr="00637CDE">
        <w:rPr>
          <w:rFonts w:ascii="Garamond" w:hAnsi="Garamond" w:cs="Times New Roman"/>
          <w:color w:val="000000"/>
          <w:sz w:val="24"/>
          <w:szCs w:val="24"/>
          <w:lang w:val="sq-AL"/>
          <w14:ligatures w14:val="standardContextual"/>
        </w:rPr>
        <w:t xml:space="preserve">es i dokumentuar që do të japë në mënyrë konstante një rezultat që përputhet me specifikimet e paracaktuara dhe që garanton një nivel të lartë cilësie dhe sigurie.  </w:t>
      </w:r>
    </w:p>
    <w:p w14:paraId="4F4659D7"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434869D1" w14:textId="556643DD"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5</w:t>
      </w:r>
    </w:p>
    <w:p w14:paraId="4C103D35" w14:textId="58F15DCD"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Kontrolli i cilësisë në farmaci</w:t>
      </w:r>
    </w:p>
    <w:p w14:paraId="3EA8735D"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260902A2" w14:textId="12B5799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Kontrolli i cilësisë, </w:t>
      </w:r>
      <w:proofErr w:type="spellStart"/>
      <w:r w:rsidRPr="00637CDE">
        <w:rPr>
          <w:rFonts w:ascii="Garamond" w:hAnsi="Garamond" w:cs="Times New Roman"/>
          <w:color w:val="000000"/>
          <w:sz w:val="24"/>
          <w:szCs w:val="24"/>
          <w:lang w:val="sq-AL"/>
          <w14:ligatures w14:val="standardContextual"/>
        </w:rPr>
        <w:t>kompleksiteti</w:t>
      </w:r>
      <w:proofErr w:type="spellEnd"/>
      <w:r w:rsidRPr="00637CDE">
        <w:rPr>
          <w:rFonts w:ascii="Garamond" w:hAnsi="Garamond" w:cs="Times New Roman"/>
          <w:color w:val="000000"/>
          <w:sz w:val="24"/>
          <w:szCs w:val="24"/>
          <w:lang w:val="sq-AL"/>
          <w14:ligatures w14:val="standardContextual"/>
        </w:rPr>
        <w:t xml:space="preserve"> dhe </w:t>
      </w:r>
      <w:proofErr w:type="spellStart"/>
      <w:r w:rsidRPr="00637CDE">
        <w:rPr>
          <w:rFonts w:ascii="Garamond" w:hAnsi="Garamond" w:cs="Times New Roman"/>
          <w:color w:val="000000"/>
          <w:sz w:val="24"/>
          <w:szCs w:val="24"/>
          <w:lang w:val="sq-AL"/>
          <w14:ligatures w14:val="standardContextual"/>
        </w:rPr>
        <w:t>formalizimi</w:t>
      </w:r>
      <w:proofErr w:type="spellEnd"/>
      <w:r w:rsidRPr="00637CDE">
        <w:rPr>
          <w:rFonts w:ascii="Garamond" w:hAnsi="Garamond" w:cs="Times New Roman"/>
          <w:color w:val="000000"/>
          <w:sz w:val="24"/>
          <w:szCs w:val="24"/>
          <w:lang w:val="sq-AL"/>
          <w14:ligatures w14:val="standardContextual"/>
        </w:rPr>
        <w:t xml:space="preserve"> i tij varen nga tipologjia dhe ngarkesa e punës së farmacisë. Farmacia që realizon përgatitjet duhet të mbajë nën kontroll të vazhdueshëm të gjitha fazat e procesit të përgatitjes. </w:t>
      </w:r>
    </w:p>
    <w:p w14:paraId="42B6B54D" w14:textId="0930447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Sistemi i kontrollit të cilësisë bazohet në 3 element</w:t>
      </w:r>
      <w:r w:rsidR="00A35E07">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xml:space="preserve"> kryesor</w:t>
      </w:r>
      <w:r w:rsidR="00A35E07">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përgjegjësia, planifikimi dhe dokumentimi i veprimtarisë së kryer.</w:t>
      </w:r>
    </w:p>
    <w:p w14:paraId="76562A81" w14:textId="730CA80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 xml:space="preserve">a) Përgjegjësia: </w:t>
      </w:r>
      <w:r w:rsidR="00A35E07">
        <w:rPr>
          <w:rFonts w:ascii="Garamond" w:hAnsi="Garamond" w:cs="Times New Roman"/>
          <w:color w:val="000000"/>
          <w:sz w:val="24"/>
          <w:szCs w:val="24"/>
          <w:lang w:val="sq-AL"/>
          <w14:ligatures w14:val="standardContextual"/>
        </w:rPr>
        <w:t>p</w:t>
      </w:r>
      <w:r w:rsidRPr="00637CDE">
        <w:rPr>
          <w:rFonts w:ascii="Garamond" w:hAnsi="Garamond" w:cs="Times New Roman"/>
          <w:color w:val="000000"/>
          <w:sz w:val="24"/>
          <w:szCs w:val="24"/>
          <w:lang w:val="sq-AL"/>
          <w14:ligatures w14:val="standardContextual"/>
        </w:rPr>
        <w:t>ersoni përgjegjës është drejtuesi teknik i farmacisë. Në kuadër të kontrollit të cilësisë, drejtuesi teknik ka përgjegjësitë si vijon:</w:t>
      </w:r>
    </w:p>
    <w:p w14:paraId="62A98767" w14:textId="47A600C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i. përcaktimin e objektivave dhe politikave të cilësisë së farmacisë;</w:t>
      </w:r>
    </w:p>
    <w:p w14:paraId="1CBC7407" w14:textId="48C53E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w:t>
      </w:r>
      <w:proofErr w:type="spellEnd"/>
      <w:r w:rsidRPr="00637CDE">
        <w:rPr>
          <w:rFonts w:ascii="Garamond" w:hAnsi="Garamond" w:cs="Times New Roman"/>
          <w:color w:val="000000"/>
          <w:sz w:val="24"/>
          <w:szCs w:val="24"/>
          <w:lang w:val="sq-AL"/>
          <w14:ligatures w14:val="standardContextual"/>
        </w:rPr>
        <w:t>. sigurimin e burimeve të nevojshme për të respektuar nivelet e paracaktuara të cilësisë;</w:t>
      </w:r>
    </w:p>
    <w:p w14:paraId="04BC02D1" w14:textId="06DE44B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iii</w:t>
      </w:r>
      <w:proofErr w:type="spellEnd"/>
      <w:r w:rsidRPr="00637CDE">
        <w:rPr>
          <w:rFonts w:ascii="Garamond" w:hAnsi="Garamond" w:cs="Times New Roman"/>
          <w:color w:val="000000"/>
          <w:sz w:val="24"/>
          <w:szCs w:val="24"/>
          <w:lang w:val="sq-AL"/>
          <w14:ligatures w14:val="standardContextual"/>
        </w:rPr>
        <w:t>. përcaktimin e përgjegjësive për aktivitetet kritike;</w:t>
      </w:r>
    </w:p>
    <w:p w14:paraId="3BC4D056" w14:textId="582AD77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iv</w:t>
      </w:r>
      <w:proofErr w:type="spellEnd"/>
      <w:r w:rsidRPr="00637CDE">
        <w:rPr>
          <w:rFonts w:ascii="Garamond" w:hAnsi="Garamond" w:cs="Times New Roman"/>
          <w:color w:val="000000"/>
          <w:sz w:val="24"/>
          <w:szCs w:val="24"/>
          <w:lang w:val="sq-AL"/>
          <w14:ligatures w14:val="standardContextual"/>
        </w:rPr>
        <w:t>. rishikimin në mënyrë periodike të sistemit të garantimit të cilësisë, në mënyrë që objektivat të jenë të përcaktuar dhe të realizuar në mënyrë efikase;</w:t>
      </w:r>
    </w:p>
    <w:p w14:paraId="087946DE" w14:textId="04EFD56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v. garantimi i procesit të përgatitjes dhe procesit të shërbimit të pacientit që të mos c</w:t>
      </w:r>
      <w:r w:rsidR="00F321D3">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xml:space="preserve">nojë njëra-tjetrën. </w:t>
      </w:r>
    </w:p>
    <w:p w14:paraId="2FA05B09" w14:textId="2DA75AA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Planifikimi: </w:t>
      </w:r>
      <w:r w:rsidR="00A35E07">
        <w:rPr>
          <w:rFonts w:ascii="Garamond" w:hAnsi="Garamond" w:cs="Times New Roman"/>
          <w:color w:val="000000"/>
          <w:sz w:val="24"/>
          <w:szCs w:val="24"/>
          <w:lang w:val="sq-AL"/>
          <w14:ligatures w14:val="standardContextual"/>
        </w:rPr>
        <w:t>p</w:t>
      </w:r>
      <w:r w:rsidRPr="00637CDE">
        <w:rPr>
          <w:rFonts w:ascii="Garamond" w:hAnsi="Garamond" w:cs="Times New Roman"/>
          <w:color w:val="000000"/>
          <w:sz w:val="24"/>
          <w:szCs w:val="24"/>
          <w:lang w:val="sq-AL"/>
          <w14:ligatures w14:val="standardContextual"/>
        </w:rPr>
        <w:t>lanifikimi i aktivitetit të farmacisë është thelbësor dhe përfshin të gjithë nivelet e aktivitetit të farmacisë, efikasiteti i të cilit është i lidhur drejtpërdrejt me efikasitetin e farmacisë për të realizuar kërkesat, të cilat për shkak të natyrës së tyre mund të mos jenë lehtësisht të realizueshme.</w:t>
      </w:r>
      <w:r w:rsidRPr="00637CDE">
        <w:rPr>
          <w:rFonts w:ascii="Garamond" w:hAnsi="Garamond" w:cs="Times New Roman"/>
          <w:i/>
          <w:iCs/>
          <w:color w:val="5F6368"/>
          <w:sz w:val="24"/>
          <w:szCs w:val="24"/>
          <w:lang w:val="sq-AL"/>
          <w14:ligatures w14:val="standardContextual"/>
        </w:rPr>
        <w:t xml:space="preserve"> </w:t>
      </w:r>
      <w:r w:rsidRPr="003A2352">
        <w:rPr>
          <w:rFonts w:ascii="Garamond" w:hAnsi="Garamond" w:cs="Times New Roman"/>
          <w:iCs/>
          <w:color w:val="000000"/>
          <w:sz w:val="24"/>
          <w:szCs w:val="24"/>
          <w:lang w:val="sq-AL"/>
          <w14:ligatures w14:val="standardContextual"/>
        </w:rPr>
        <w:t>Ç</w:t>
      </w:r>
      <w:r w:rsidRPr="00637CDE">
        <w:rPr>
          <w:rFonts w:ascii="Garamond" w:hAnsi="Garamond" w:cs="Times New Roman"/>
          <w:color w:val="000000"/>
          <w:sz w:val="24"/>
          <w:szCs w:val="24"/>
          <w:lang w:val="sq-AL"/>
          <w14:ligatures w14:val="standardContextual"/>
        </w:rPr>
        <w:t>do farmaci duhet të përcaktojë rregullat e veta të zhvillimit të punës për funksionimin e laboratorit galenik.</w:t>
      </w:r>
    </w:p>
    <w:p w14:paraId="35D13E70" w14:textId="18A9C2B4"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c) Dokumentimi: </w:t>
      </w:r>
      <w:r w:rsidR="00DE5ACA">
        <w:rPr>
          <w:rFonts w:ascii="Garamond" w:hAnsi="Garamond" w:cs="Times New Roman"/>
          <w:color w:val="000000"/>
          <w:sz w:val="24"/>
          <w:szCs w:val="24"/>
          <w:lang w:val="sq-AL"/>
          <w14:ligatures w14:val="standardContextual"/>
        </w:rPr>
        <w:t>p</w:t>
      </w:r>
      <w:r w:rsidRPr="00637CDE">
        <w:rPr>
          <w:rFonts w:ascii="Garamond" w:hAnsi="Garamond" w:cs="Times New Roman"/>
          <w:color w:val="000000"/>
          <w:sz w:val="24"/>
          <w:szCs w:val="24"/>
          <w:lang w:val="sq-AL"/>
          <w14:ligatures w14:val="standardContextual"/>
        </w:rPr>
        <w:t>ër aktivitetet e përshkruara në nenin 5 deri në nenin 12 të kësaj rregulloreje, farmacia duhet të punojë në bazë të pro</w:t>
      </w:r>
      <w:r w:rsidR="00DE5ACA">
        <w:rPr>
          <w:rFonts w:ascii="Garamond" w:hAnsi="Garamond" w:cs="Times New Roman"/>
          <w:color w:val="000000"/>
          <w:sz w:val="24"/>
          <w:szCs w:val="24"/>
          <w:lang w:val="sq-AL"/>
          <w14:ligatures w14:val="standardContextual"/>
        </w:rPr>
        <w:t>c</w:t>
      </w:r>
      <w:r w:rsidRPr="00637CDE">
        <w:rPr>
          <w:rFonts w:ascii="Garamond" w:hAnsi="Garamond" w:cs="Times New Roman"/>
          <w:color w:val="000000"/>
          <w:sz w:val="24"/>
          <w:szCs w:val="24"/>
          <w:lang w:val="sq-AL"/>
          <w14:ligatures w14:val="standardContextual"/>
        </w:rPr>
        <w:t xml:space="preserve">edurave të shkruara në mënyrë periodike dhe të përditësuara, që mund të jenë në formë elektronike apo shkresore. Në rast se procedurat janë vetëm në formë elektronike, atëherë duhet të jenë lehtësisht të </w:t>
      </w:r>
      <w:proofErr w:type="spellStart"/>
      <w:r w:rsidRPr="00637CDE">
        <w:rPr>
          <w:rFonts w:ascii="Garamond" w:hAnsi="Garamond" w:cs="Times New Roman"/>
          <w:color w:val="000000"/>
          <w:sz w:val="24"/>
          <w:szCs w:val="24"/>
          <w:lang w:val="sq-AL"/>
          <w14:ligatures w14:val="standardContextual"/>
        </w:rPr>
        <w:t>aksesueshme</w:t>
      </w:r>
      <w:proofErr w:type="spellEnd"/>
      <w:r w:rsidRPr="00637CDE">
        <w:rPr>
          <w:rFonts w:ascii="Garamond" w:hAnsi="Garamond" w:cs="Times New Roman"/>
          <w:color w:val="000000"/>
          <w:sz w:val="24"/>
          <w:szCs w:val="24"/>
          <w:lang w:val="sq-AL"/>
          <w14:ligatures w14:val="standardContextual"/>
        </w:rPr>
        <w:t xml:space="preserve"> nga personeli. Aktiviteti i lidhur me përgatitjen galenike, në mënyrë të drejtpërdrejtë ose jo duhet të jetë i dokumentuar. Dokumentacioni i lidhur me lëndët e para dhe përgatitjet sipas përcaktimeve në nenin 7 të kësaj rregulloreje duhet të jetë i shkruar në letër. Arkivi ku ndodhet dokumentacioni duhet të jetë i ruajtur në mënyrë efikase.</w:t>
      </w:r>
    </w:p>
    <w:p w14:paraId="3755242E"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p>
    <w:p w14:paraId="5859DC37"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6</w:t>
      </w:r>
    </w:p>
    <w:p w14:paraId="0A620C37" w14:textId="66321875"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Laboratori galenik dhe pajisjet</w:t>
      </w:r>
    </w:p>
    <w:p w14:paraId="2AE12309"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6E7B5279" w14:textId="1BF19E2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Laboratori galenik i farmacisë është një ambient i dedikuar i cili duhet të garantojë kryerjen korrekte të përgatitjes, paketimit, etiketimit dhe kontrollit të barnave. Ambienti i dedikuar për përgatitje duhet të jetë i veçantë dhe në çdo rast, gjatë përgatitjes së barit, </w:t>
      </w:r>
      <w:r w:rsidR="00B52215" w:rsidRPr="00637CDE">
        <w:rPr>
          <w:rFonts w:ascii="Garamond" w:hAnsi="Garamond" w:cs="Times New Roman"/>
          <w:color w:val="000000"/>
          <w:sz w:val="24"/>
          <w:szCs w:val="24"/>
          <w:lang w:val="sq-AL"/>
          <w14:ligatures w14:val="standardContextual"/>
        </w:rPr>
        <w:t>qëndrimi</w:t>
      </w:r>
      <w:r w:rsidRPr="00637CDE">
        <w:rPr>
          <w:rFonts w:ascii="Garamond" w:hAnsi="Garamond" w:cs="Times New Roman"/>
          <w:color w:val="000000"/>
          <w:sz w:val="24"/>
          <w:szCs w:val="24"/>
          <w:lang w:val="sq-AL"/>
          <w14:ligatures w14:val="standardContextual"/>
        </w:rPr>
        <w:t xml:space="preserve"> në ambientin e punës duhet të rezervohet për personelin e caktuar për atë detyrë specifike.</w:t>
      </w:r>
    </w:p>
    <w:p w14:paraId="0C17EA84" w14:textId="7EA786D5"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Pastrimi duhet të bëhet rregullisht sipas procedurave përkatëse, të cilat garantojnë higj</w:t>
      </w:r>
      <w:r w:rsidR="00B52215">
        <w:rPr>
          <w:rFonts w:ascii="Garamond" w:hAnsi="Garamond" w:cs="Times New Roman"/>
          <w:color w:val="000000"/>
          <w:sz w:val="24"/>
          <w:szCs w:val="24"/>
          <w:lang w:val="sq-AL"/>
          <w14:ligatures w14:val="standardContextual"/>
        </w:rPr>
        <w:t>i</w:t>
      </w:r>
      <w:r w:rsidRPr="00637CDE">
        <w:rPr>
          <w:rFonts w:ascii="Garamond" w:hAnsi="Garamond" w:cs="Times New Roman"/>
          <w:color w:val="000000"/>
          <w:sz w:val="24"/>
          <w:szCs w:val="24"/>
          <w:lang w:val="sq-AL"/>
          <w14:ligatures w14:val="standardContextual"/>
        </w:rPr>
        <w:t>enën maksimale. Laboratori duhet të ketë një tavolinë/</w:t>
      </w:r>
      <w:r w:rsidR="00B52215" w:rsidRPr="00637CDE">
        <w:rPr>
          <w:rFonts w:ascii="Garamond" w:hAnsi="Garamond" w:cs="Times New Roman"/>
          <w:color w:val="000000"/>
          <w:sz w:val="24"/>
          <w:szCs w:val="24"/>
          <w:lang w:val="sq-AL"/>
          <w14:ligatures w14:val="standardContextual"/>
        </w:rPr>
        <w:t>bankë</w:t>
      </w:r>
      <w:r w:rsidRPr="00637CDE">
        <w:rPr>
          <w:rFonts w:ascii="Garamond" w:hAnsi="Garamond" w:cs="Times New Roman"/>
          <w:color w:val="000000"/>
          <w:sz w:val="24"/>
          <w:szCs w:val="24"/>
          <w:lang w:val="sq-AL"/>
          <w14:ligatures w14:val="standardContextual"/>
        </w:rPr>
        <w:t xml:space="preserve"> pune me sipërfaqe prej materiali inert, </w:t>
      </w:r>
      <w:proofErr w:type="spellStart"/>
      <w:r w:rsidRPr="00637CDE">
        <w:rPr>
          <w:rFonts w:ascii="Garamond" w:hAnsi="Garamond" w:cs="Times New Roman"/>
          <w:color w:val="000000"/>
          <w:sz w:val="24"/>
          <w:szCs w:val="24"/>
          <w:lang w:val="sq-AL"/>
          <w14:ligatures w14:val="standardContextual"/>
        </w:rPr>
        <w:t>rezistent</w:t>
      </w:r>
      <w:proofErr w:type="spellEnd"/>
      <w:r w:rsidRPr="00637CDE">
        <w:rPr>
          <w:rFonts w:ascii="Garamond" w:hAnsi="Garamond" w:cs="Times New Roman"/>
          <w:color w:val="000000"/>
          <w:sz w:val="24"/>
          <w:szCs w:val="24"/>
          <w:lang w:val="sq-AL"/>
          <w14:ligatures w14:val="standardContextual"/>
        </w:rPr>
        <w:t xml:space="preserve"> dhe lehtësisht të </w:t>
      </w:r>
      <w:proofErr w:type="spellStart"/>
      <w:r w:rsidRPr="00637CDE">
        <w:rPr>
          <w:rFonts w:ascii="Garamond" w:hAnsi="Garamond" w:cs="Times New Roman"/>
          <w:color w:val="000000"/>
          <w:sz w:val="24"/>
          <w:szCs w:val="24"/>
          <w:lang w:val="sq-AL"/>
          <w14:ligatures w14:val="standardContextual"/>
        </w:rPr>
        <w:t>pastrueshëm</w:t>
      </w:r>
      <w:proofErr w:type="spellEnd"/>
      <w:r w:rsidRPr="00637CDE">
        <w:rPr>
          <w:rFonts w:ascii="Garamond" w:hAnsi="Garamond" w:cs="Times New Roman"/>
          <w:color w:val="000000"/>
          <w:sz w:val="24"/>
          <w:szCs w:val="24"/>
          <w:lang w:val="sq-AL"/>
          <w14:ligatures w14:val="standardContextual"/>
        </w:rPr>
        <w:t xml:space="preserve"> dhe që dezinfektohet lehtë në rast nevoje. Gjithashtu kushtet e ambientit duhet të jenë të përshtatshme dhe të tilla që të mos ushtrojnë efekte negative në mënyrë të drejtpërdrejtë ose indirekte, në përgatitjen e barnave dhe në funksionimin e aparaturave të ndryshme.</w:t>
      </w:r>
    </w:p>
    <w:p w14:paraId="0C8C757D"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03840458"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7</w:t>
      </w:r>
    </w:p>
    <w:p w14:paraId="7AA765D4" w14:textId="1A09E4A4"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Dokumentacioni në farmaci</w:t>
      </w:r>
    </w:p>
    <w:p w14:paraId="08952F4A"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02FA6942" w14:textId="439F3C39"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Për të realizuar sistemin e kontrollit të cilësisë është i nevojshëm një dokumentacion, i shkruar apo në sistem </w:t>
      </w:r>
      <w:proofErr w:type="spellStart"/>
      <w:r w:rsidRPr="00637CDE">
        <w:rPr>
          <w:rFonts w:ascii="Garamond" w:hAnsi="Garamond" w:cs="Times New Roman"/>
          <w:color w:val="000000"/>
          <w:sz w:val="24"/>
          <w:szCs w:val="24"/>
          <w:lang w:val="sq-AL"/>
          <w14:ligatures w14:val="standardContextual"/>
        </w:rPr>
        <w:t>informatik</w:t>
      </w:r>
      <w:proofErr w:type="spellEnd"/>
      <w:r w:rsidRPr="00637CDE">
        <w:rPr>
          <w:rFonts w:ascii="Garamond" w:hAnsi="Garamond" w:cs="Times New Roman"/>
          <w:color w:val="000000"/>
          <w:sz w:val="24"/>
          <w:szCs w:val="24"/>
          <w:lang w:val="sq-AL"/>
          <w14:ligatures w14:val="standardContextual"/>
        </w:rPr>
        <w:t>, i redaktuar në mënyrë të qartë për të shmangur paqartësi në interpretim, i datuar dhe i nënshkruar nga drejtuesi teknik.</w:t>
      </w:r>
    </w:p>
    <w:p w14:paraId="5BA4CA8A" w14:textId="3CC9B20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Dokumentacioni i lidhur me procesin e përgatitjes përfshin:</w:t>
      </w:r>
    </w:p>
    <w:p w14:paraId="5BFAE780" w14:textId="2B61372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a) </w:t>
      </w:r>
      <w:r w:rsidR="00865DA4" w:rsidRPr="00637CDE">
        <w:rPr>
          <w:rFonts w:ascii="Garamond" w:hAnsi="Garamond" w:cs="Times New Roman"/>
          <w:color w:val="000000"/>
          <w:sz w:val="24"/>
          <w:szCs w:val="24"/>
          <w:lang w:val="sq-AL"/>
          <w14:ligatures w14:val="standardContextual"/>
        </w:rPr>
        <w:t xml:space="preserve">ambientin </w:t>
      </w:r>
      <w:r w:rsidRPr="00637CDE">
        <w:rPr>
          <w:rFonts w:ascii="Garamond" w:hAnsi="Garamond" w:cs="Times New Roman"/>
          <w:color w:val="000000"/>
          <w:sz w:val="24"/>
          <w:szCs w:val="24"/>
          <w:lang w:val="sq-AL"/>
          <w14:ligatures w14:val="standardContextual"/>
        </w:rPr>
        <w:t>e punës;</w:t>
      </w:r>
    </w:p>
    <w:p w14:paraId="43900266" w14:textId="11E2CC8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w:t>
      </w:r>
      <w:r w:rsidR="00865DA4" w:rsidRPr="00637CDE">
        <w:rPr>
          <w:rFonts w:ascii="Garamond" w:hAnsi="Garamond" w:cs="Times New Roman"/>
          <w:color w:val="000000"/>
          <w:sz w:val="24"/>
          <w:szCs w:val="24"/>
          <w:lang w:val="sq-AL"/>
          <w14:ligatures w14:val="standardContextual"/>
        </w:rPr>
        <w:t>pajisjet</w:t>
      </w:r>
      <w:r w:rsidRPr="00637CDE">
        <w:rPr>
          <w:rFonts w:ascii="Garamond" w:hAnsi="Garamond" w:cs="Times New Roman"/>
          <w:color w:val="000000"/>
          <w:sz w:val="24"/>
          <w:szCs w:val="24"/>
          <w:lang w:val="sq-AL"/>
          <w14:ligatures w14:val="standardContextual"/>
        </w:rPr>
        <w:t>;</w:t>
      </w:r>
    </w:p>
    <w:p w14:paraId="06B8E849" w14:textId="25C9CF1C"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c) </w:t>
      </w:r>
      <w:r w:rsidR="00865DA4" w:rsidRPr="00637CDE">
        <w:rPr>
          <w:rFonts w:ascii="Garamond" w:hAnsi="Garamond" w:cs="Times New Roman"/>
          <w:color w:val="000000"/>
          <w:sz w:val="24"/>
          <w:szCs w:val="24"/>
          <w:lang w:val="sq-AL"/>
          <w14:ligatures w14:val="standardContextual"/>
        </w:rPr>
        <w:t xml:space="preserve">lëndët </w:t>
      </w:r>
      <w:r w:rsidRPr="00637CDE">
        <w:rPr>
          <w:rFonts w:ascii="Garamond" w:hAnsi="Garamond" w:cs="Times New Roman"/>
          <w:color w:val="000000"/>
          <w:sz w:val="24"/>
          <w:szCs w:val="24"/>
          <w:lang w:val="sq-AL"/>
          <w14:ligatures w14:val="standardContextual"/>
        </w:rPr>
        <w:t>e para;</w:t>
      </w:r>
    </w:p>
    <w:p w14:paraId="7EB3FB34" w14:textId="7FF6D2D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d) </w:t>
      </w:r>
      <w:r w:rsidR="00865DA4" w:rsidRPr="00637CDE">
        <w:rPr>
          <w:rFonts w:ascii="Garamond" w:hAnsi="Garamond" w:cs="Times New Roman"/>
          <w:color w:val="000000"/>
          <w:sz w:val="24"/>
          <w:szCs w:val="24"/>
          <w:lang w:val="sq-AL"/>
          <w14:ligatures w14:val="standardContextual"/>
        </w:rPr>
        <w:t xml:space="preserve">përgatesat </w:t>
      </w:r>
      <w:r w:rsidRPr="00637CDE">
        <w:rPr>
          <w:rFonts w:ascii="Garamond" w:hAnsi="Garamond" w:cs="Times New Roman"/>
          <w:color w:val="000000"/>
          <w:sz w:val="24"/>
          <w:szCs w:val="24"/>
          <w:lang w:val="sq-AL"/>
          <w14:ligatures w14:val="standardContextual"/>
        </w:rPr>
        <w:t xml:space="preserve">magjistrale dhe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w:t>
      </w:r>
    </w:p>
    <w:p w14:paraId="59B8ED0E" w14:textId="702272EF"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3. Dokumentacioni në lidhje me ambientin e punës përfshin përshtatshmërinë e ambientit dhe mirëmbajtjes periodi</w:t>
      </w:r>
      <w:bookmarkStart w:id="0" w:name="_GoBack"/>
      <w:bookmarkEnd w:id="0"/>
      <w:r w:rsidRPr="00637CDE">
        <w:rPr>
          <w:rFonts w:ascii="Garamond" w:hAnsi="Garamond" w:cs="Times New Roman"/>
          <w:color w:val="000000"/>
          <w:sz w:val="24"/>
          <w:szCs w:val="24"/>
          <w:lang w:val="sq-AL"/>
          <w14:ligatures w14:val="standardContextual"/>
        </w:rPr>
        <w:t>ke sipas përcaktimeve në nenin 6, pika 1 të kësaj rregulloreje.</w:t>
      </w:r>
    </w:p>
    <w:p w14:paraId="266B12F8" w14:textId="41B7BF1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4. Dokumentacioni në lidhje me pajisjet dhe mjetet përfshin:  </w:t>
      </w:r>
    </w:p>
    <w:p w14:paraId="74C3889C" w14:textId="1B95B7B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a) </w:t>
      </w:r>
      <w:r w:rsidR="007A0BEE">
        <w:rPr>
          <w:rFonts w:ascii="Garamond" w:hAnsi="Garamond" w:cs="Times New Roman"/>
          <w:color w:val="000000"/>
          <w:sz w:val="24"/>
          <w:szCs w:val="24"/>
          <w:lang w:val="sq-AL"/>
          <w14:ligatures w14:val="standardContextual"/>
        </w:rPr>
        <w:t>p</w:t>
      </w:r>
      <w:r w:rsidRPr="00637CDE">
        <w:rPr>
          <w:rFonts w:ascii="Garamond" w:hAnsi="Garamond" w:cs="Times New Roman"/>
          <w:color w:val="000000"/>
          <w:sz w:val="24"/>
          <w:szCs w:val="24"/>
          <w:lang w:val="sq-AL"/>
          <w14:ligatures w14:val="standardContextual"/>
        </w:rPr>
        <w:t xml:space="preserve">ajisjet, enët dhe materialet e tjera të detyrueshme sipas përcaktimeve në </w:t>
      </w:r>
      <w:r w:rsidR="00B52215">
        <w:rPr>
          <w:rFonts w:ascii="Garamond" w:hAnsi="Garamond" w:cs="Times New Roman"/>
          <w:color w:val="000000"/>
          <w:sz w:val="24"/>
          <w:szCs w:val="24"/>
          <w:lang w:val="sq-AL"/>
          <w14:ligatures w14:val="standardContextual"/>
        </w:rPr>
        <w:t>s</w:t>
      </w:r>
      <w:r w:rsidRPr="00637CDE">
        <w:rPr>
          <w:rFonts w:ascii="Garamond" w:hAnsi="Garamond" w:cs="Times New Roman"/>
          <w:color w:val="000000"/>
          <w:sz w:val="24"/>
          <w:szCs w:val="24"/>
          <w:lang w:val="sq-AL"/>
          <w14:ligatures w14:val="standardContextual"/>
        </w:rPr>
        <w:t>htojcën 1 të kësaj rregulloreje;</w:t>
      </w:r>
    </w:p>
    <w:p w14:paraId="0C5CC4AF" w14:textId="3AFA74D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w:t>
      </w:r>
      <w:r w:rsidR="007A0BEE">
        <w:rPr>
          <w:rFonts w:ascii="Garamond" w:hAnsi="Garamond" w:cs="Times New Roman"/>
          <w:color w:val="000000"/>
          <w:sz w:val="24"/>
          <w:szCs w:val="24"/>
          <w:lang w:val="sq-AL"/>
          <w14:ligatures w14:val="standardContextual"/>
        </w:rPr>
        <w:t>i</w:t>
      </w:r>
      <w:r w:rsidRPr="00637CDE">
        <w:rPr>
          <w:rFonts w:ascii="Garamond" w:hAnsi="Garamond" w:cs="Times New Roman"/>
          <w:color w:val="000000"/>
          <w:sz w:val="24"/>
          <w:szCs w:val="24"/>
          <w:lang w:val="sq-AL"/>
          <w14:ligatures w14:val="standardContextual"/>
        </w:rPr>
        <w:t xml:space="preserve">nstrumentet matëse duhet të kontrollohen rregullisht në mënyrë periodike sipas manualit me udhëzime për përdorimin e pajisjes. </w:t>
      </w:r>
    </w:p>
    <w:p w14:paraId="5DF2125D" w14:textId="4ED61F76"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5. Ruajtja e lëndëve të para duhet të realizohet në bazë të udhëzimeve të prodhuesit. Dokumentacioni lidhur me lëndët e para duhet të përmbajë informacionet e mëposhtme:</w:t>
      </w:r>
    </w:p>
    <w:p w14:paraId="2AB75ABE" w14:textId="6981C45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a) emrin e përgjithshëm të lëndës së parë dhe/ose emërtimin kimik;</w:t>
      </w:r>
    </w:p>
    <w:p w14:paraId="57210683" w14:textId="4F32AA7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b) sasinë e blerë;</w:t>
      </w:r>
    </w:p>
    <w:p w14:paraId="2903A11D" w14:textId="5ABE3FF2"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c) datën e blerjes;</w:t>
      </w:r>
    </w:p>
    <w:p w14:paraId="0B48A0FE" w14:textId="7CDB2AA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d) numrin e serisë, emrin e prodhuesit dhe/ose emrin e shpërndarësit;</w:t>
      </w:r>
    </w:p>
    <w:p w14:paraId="7C54E060" w14:textId="383D657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e) numrin e referencës së brendshme të caktuar nga farmacisti;</w:t>
      </w:r>
    </w:p>
    <w:p w14:paraId="5F30B43D" w14:textId="32CCC28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f) </w:t>
      </w:r>
      <w:r w:rsidR="00AC7E0C">
        <w:rPr>
          <w:rFonts w:ascii="Garamond" w:hAnsi="Garamond" w:cs="Times New Roman"/>
          <w:color w:val="000000"/>
          <w:sz w:val="24"/>
          <w:szCs w:val="24"/>
          <w:lang w:val="sq-AL"/>
          <w14:ligatures w14:val="standardContextual"/>
        </w:rPr>
        <w:t>c</w:t>
      </w:r>
      <w:r w:rsidRPr="00637CDE">
        <w:rPr>
          <w:rFonts w:ascii="Garamond" w:hAnsi="Garamond" w:cs="Times New Roman"/>
          <w:color w:val="000000"/>
          <w:sz w:val="24"/>
          <w:szCs w:val="24"/>
          <w:lang w:val="sq-AL"/>
          <w14:ligatures w14:val="standardContextual"/>
        </w:rPr>
        <w:t>ertifikatën e analizave, e datuar dhe e nënshkruar nga përgj</w:t>
      </w:r>
      <w:r w:rsidR="00B52215">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xml:space="preserve">gjësi i cilësisë së prodhuesit, që raporton përputhshmërinë me kriteret e </w:t>
      </w:r>
      <w:proofErr w:type="spellStart"/>
      <w:r w:rsidRPr="00637CDE">
        <w:rPr>
          <w:rFonts w:ascii="Garamond" w:hAnsi="Garamond" w:cs="Times New Roman"/>
          <w:color w:val="000000"/>
          <w:sz w:val="24"/>
          <w:szCs w:val="24"/>
          <w:lang w:val="sq-AL"/>
          <w14:ligatures w14:val="standardContextual"/>
        </w:rPr>
        <w:t>Farmakopesë</w:t>
      </w:r>
      <w:proofErr w:type="spellEnd"/>
      <w:r w:rsidRPr="00637CDE">
        <w:rPr>
          <w:rFonts w:ascii="Garamond" w:hAnsi="Garamond" w:cs="Times New Roman"/>
          <w:color w:val="000000"/>
          <w:sz w:val="24"/>
          <w:szCs w:val="24"/>
          <w:lang w:val="sq-AL"/>
          <w14:ligatures w14:val="standardContextual"/>
        </w:rPr>
        <w:t xml:space="preserve"> apo me karakteristikat e cilësisë së prodhuesit, datën limit për përdorim dhe/ose </w:t>
      </w:r>
      <w:proofErr w:type="spellStart"/>
      <w:r w:rsidRPr="00637CDE">
        <w:rPr>
          <w:rFonts w:ascii="Garamond" w:hAnsi="Garamond" w:cs="Times New Roman"/>
          <w:color w:val="000000"/>
          <w:sz w:val="24"/>
          <w:szCs w:val="24"/>
          <w:lang w:val="sq-AL"/>
          <w14:ligatures w14:val="standardContextual"/>
        </w:rPr>
        <w:t>rititullim</w:t>
      </w:r>
      <w:proofErr w:type="spellEnd"/>
      <w:r w:rsidRPr="00637CDE">
        <w:rPr>
          <w:rFonts w:ascii="Garamond" w:hAnsi="Garamond" w:cs="Times New Roman"/>
          <w:color w:val="000000"/>
          <w:sz w:val="24"/>
          <w:szCs w:val="24"/>
          <w:lang w:val="sq-AL"/>
          <w14:ligatures w14:val="standardContextual"/>
        </w:rPr>
        <w:t>, kushtet e ruajtjes dhe përdorimit;</w:t>
      </w:r>
    </w:p>
    <w:p w14:paraId="6A7F819E" w14:textId="6A47C00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g) të gjitha lëndët e para të pranishme në farmaci duhet të jenë të numëruara me një numër unik. Në </w:t>
      </w:r>
      <w:r w:rsidR="0050662E">
        <w:rPr>
          <w:rFonts w:ascii="Garamond" w:hAnsi="Garamond" w:cs="Times New Roman"/>
          <w:color w:val="000000"/>
          <w:sz w:val="24"/>
          <w:szCs w:val="24"/>
          <w:lang w:val="sq-AL"/>
          <w14:ligatures w14:val="standardContextual"/>
        </w:rPr>
        <w:t>c</w:t>
      </w:r>
      <w:r w:rsidRPr="00637CDE">
        <w:rPr>
          <w:rFonts w:ascii="Garamond" w:hAnsi="Garamond" w:cs="Times New Roman"/>
          <w:color w:val="000000"/>
          <w:sz w:val="24"/>
          <w:szCs w:val="24"/>
          <w:lang w:val="sq-AL"/>
          <w14:ligatures w14:val="standardContextual"/>
        </w:rPr>
        <w:t xml:space="preserve">ertifikatën e analizës duhet të vendosen numri dhe data e marrjes. Kjo </w:t>
      </w:r>
      <w:r w:rsidR="0050662E">
        <w:rPr>
          <w:rFonts w:ascii="Garamond" w:hAnsi="Garamond" w:cs="Times New Roman"/>
          <w:color w:val="000000"/>
          <w:sz w:val="24"/>
          <w:szCs w:val="24"/>
          <w:lang w:val="sq-AL"/>
          <w14:ligatures w14:val="standardContextual"/>
        </w:rPr>
        <w:t>c</w:t>
      </w:r>
      <w:r w:rsidRPr="00637CDE">
        <w:rPr>
          <w:rFonts w:ascii="Garamond" w:hAnsi="Garamond" w:cs="Times New Roman"/>
          <w:color w:val="000000"/>
          <w:sz w:val="24"/>
          <w:szCs w:val="24"/>
          <w:lang w:val="sq-AL"/>
          <w14:ligatures w14:val="standardContextual"/>
        </w:rPr>
        <w:t>ertifikatë duhet të ruhet;</w:t>
      </w:r>
    </w:p>
    <w:p w14:paraId="389C7519" w14:textId="64318469"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h) në momentin kur mbaron paketimi i lëndës së parë të përdorur, në etiketën e saj duhet të vendoset data e përdorur për herë të fundit. Flakoni bosh duhet të mbahet për gjashtë muaj nga ajo datë.</w:t>
      </w:r>
    </w:p>
    <w:p w14:paraId="65450CBB" w14:textId="07A41F69"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6. Dokumentacioni në lidhje me përgatesat magjistrale dhe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përfshin dokumentacionin si vijon</w:t>
      </w:r>
      <w:r w:rsidR="0050662E">
        <w:rPr>
          <w:rFonts w:ascii="Garamond" w:hAnsi="Garamond" w:cs="Times New Roman"/>
          <w:color w:val="000000"/>
          <w:sz w:val="24"/>
          <w:szCs w:val="24"/>
          <w:lang w:val="sq-AL"/>
          <w14:ligatures w14:val="standardContextual"/>
        </w:rPr>
        <w:t>:</w:t>
      </w:r>
    </w:p>
    <w:p w14:paraId="25065B2B" w14:textId="7AB7B82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a) </w:t>
      </w:r>
      <w:r w:rsidR="0050662E">
        <w:rPr>
          <w:rFonts w:ascii="Garamond" w:hAnsi="Garamond" w:cs="Times New Roman"/>
          <w:color w:val="000000"/>
          <w:sz w:val="24"/>
          <w:szCs w:val="24"/>
          <w:lang w:val="sq-AL"/>
          <w14:ligatures w14:val="standardContextual"/>
        </w:rPr>
        <w:t>f</w:t>
      </w:r>
      <w:r w:rsidRPr="00637CDE">
        <w:rPr>
          <w:rFonts w:ascii="Garamond" w:hAnsi="Garamond" w:cs="Times New Roman"/>
          <w:color w:val="000000"/>
          <w:sz w:val="24"/>
          <w:szCs w:val="24"/>
          <w:lang w:val="sq-AL"/>
          <w14:ligatures w14:val="standardContextual"/>
        </w:rPr>
        <w:t>armacisti duhet të shënojë në recetë të dhënat si më poshtë vijon:</w:t>
      </w:r>
    </w:p>
    <w:p w14:paraId="7FE45669" w14:textId="5C4FA01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i. datën e përgatitjes;</w:t>
      </w:r>
    </w:p>
    <w:p w14:paraId="75D3F985" w14:textId="005C7B49"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w:t>
      </w:r>
      <w:proofErr w:type="spellEnd"/>
      <w:r w:rsidRPr="00637CDE">
        <w:rPr>
          <w:rFonts w:ascii="Garamond" w:hAnsi="Garamond" w:cs="Times New Roman"/>
          <w:color w:val="000000"/>
          <w:sz w:val="24"/>
          <w:szCs w:val="24"/>
          <w:lang w:val="sq-AL"/>
          <w14:ligatures w14:val="standardContextual"/>
        </w:rPr>
        <w:t>. afatin e përdorimit;</w:t>
      </w:r>
    </w:p>
    <w:p w14:paraId="60185B6D" w14:textId="4ACB424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iii</w:t>
      </w:r>
      <w:proofErr w:type="spellEnd"/>
      <w:r w:rsidRPr="00637CDE">
        <w:rPr>
          <w:rFonts w:ascii="Garamond" w:hAnsi="Garamond" w:cs="Times New Roman"/>
          <w:color w:val="000000"/>
          <w:sz w:val="24"/>
          <w:szCs w:val="24"/>
          <w:lang w:val="sq-AL"/>
          <w14:ligatures w14:val="standardContextual"/>
        </w:rPr>
        <w:t>. lëndë ndihmëse të shtuara për realizimin e saktë të përgatesës;</w:t>
      </w:r>
    </w:p>
    <w:p w14:paraId="21784508" w14:textId="710BD2E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iv</w:t>
      </w:r>
      <w:proofErr w:type="spellEnd"/>
      <w:r w:rsidRPr="00637CDE">
        <w:rPr>
          <w:rFonts w:ascii="Garamond" w:hAnsi="Garamond" w:cs="Times New Roman"/>
          <w:color w:val="000000"/>
          <w:sz w:val="24"/>
          <w:szCs w:val="24"/>
          <w:lang w:val="sq-AL"/>
          <w14:ligatures w14:val="standardContextual"/>
        </w:rPr>
        <w:t>. çmimin e caktuar;</w:t>
      </w:r>
    </w:p>
    <w:p w14:paraId="1DFD14FB" w14:textId="001B554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v. udhëzimet për përdorim dhe kujdesin e mundshëm që duhet treguar</w:t>
      </w:r>
      <w:r w:rsidR="0050662E">
        <w:rPr>
          <w:rFonts w:ascii="Garamond" w:hAnsi="Garamond" w:cs="Times New Roman"/>
          <w:color w:val="000000"/>
          <w:sz w:val="24"/>
          <w:szCs w:val="24"/>
          <w:lang w:val="sq-AL"/>
          <w14:ligatures w14:val="standardContextual"/>
        </w:rPr>
        <w:t>;</w:t>
      </w:r>
    </w:p>
    <w:p w14:paraId="111AA931" w14:textId="362C22A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w:t>
      </w:r>
      <w:r w:rsidR="0050662E" w:rsidRPr="00637CDE">
        <w:rPr>
          <w:rFonts w:ascii="Garamond" w:hAnsi="Garamond" w:cs="Times New Roman"/>
          <w:color w:val="000000"/>
          <w:sz w:val="24"/>
          <w:szCs w:val="24"/>
          <w:lang w:val="sq-AL"/>
          <w14:ligatures w14:val="standardContextual"/>
        </w:rPr>
        <w:t xml:space="preserve">për </w:t>
      </w:r>
      <w:r w:rsidRPr="00637CDE">
        <w:rPr>
          <w:rFonts w:ascii="Garamond" w:hAnsi="Garamond" w:cs="Times New Roman"/>
          <w:color w:val="000000"/>
          <w:sz w:val="24"/>
          <w:szCs w:val="24"/>
          <w:lang w:val="sq-AL"/>
          <w14:ligatures w14:val="standardContextual"/>
        </w:rPr>
        <w:t xml:space="preserve">sa u përket përgatesave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farmacisti duhet të përdorë dhe të plotësojë në të gjitha pjesët e saj fletën e punës sipas përcaktimeve në shtojcën </w:t>
      </w:r>
      <w:proofErr w:type="spellStart"/>
      <w:r w:rsidRPr="00637CDE">
        <w:rPr>
          <w:rFonts w:ascii="Garamond" w:hAnsi="Garamond" w:cs="Times New Roman"/>
          <w:color w:val="000000"/>
          <w:sz w:val="24"/>
          <w:szCs w:val="24"/>
          <w:lang w:val="sq-AL"/>
          <w14:ligatures w14:val="standardContextual"/>
        </w:rPr>
        <w:t>II</w:t>
      </w:r>
      <w:proofErr w:type="spellEnd"/>
      <w:r w:rsidRPr="00637CDE">
        <w:rPr>
          <w:rFonts w:ascii="Garamond" w:hAnsi="Garamond" w:cs="Times New Roman"/>
          <w:color w:val="000000"/>
          <w:sz w:val="24"/>
          <w:szCs w:val="24"/>
          <w:lang w:val="sq-AL"/>
          <w14:ligatures w14:val="standardContextual"/>
        </w:rPr>
        <w:t xml:space="preserve"> bashkëlidhur rregullores dhe pjesë përbërëse e saj</w:t>
      </w:r>
      <w:r w:rsidR="0050662E">
        <w:rPr>
          <w:rFonts w:ascii="Garamond" w:hAnsi="Garamond" w:cs="Times New Roman"/>
          <w:color w:val="000000"/>
          <w:sz w:val="24"/>
          <w:szCs w:val="24"/>
          <w:lang w:val="sq-AL"/>
          <w14:ligatures w14:val="standardContextual"/>
        </w:rPr>
        <w:t>;</w:t>
      </w:r>
    </w:p>
    <w:p w14:paraId="46D985A2" w14:textId="0EE1C77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c) </w:t>
      </w:r>
      <w:r w:rsidR="0050662E" w:rsidRPr="00637CDE">
        <w:rPr>
          <w:rFonts w:ascii="Garamond" w:hAnsi="Garamond" w:cs="Times New Roman"/>
          <w:color w:val="000000"/>
          <w:sz w:val="24"/>
          <w:szCs w:val="24"/>
          <w:lang w:val="sq-AL"/>
          <w14:ligatures w14:val="standardContextual"/>
        </w:rPr>
        <w:t xml:space="preserve">farmacisti </w:t>
      </w:r>
      <w:r w:rsidRPr="00637CDE">
        <w:rPr>
          <w:rFonts w:ascii="Garamond" w:hAnsi="Garamond" w:cs="Times New Roman"/>
          <w:color w:val="000000"/>
          <w:sz w:val="24"/>
          <w:szCs w:val="24"/>
          <w:lang w:val="sq-AL"/>
          <w14:ligatures w14:val="standardContextual"/>
        </w:rPr>
        <w:t>përgatitës duhet të vërë nënshkrimin e tij mbi recetën ose fletën e punës.</w:t>
      </w:r>
    </w:p>
    <w:p w14:paraId="21E8609C" w14:textId="7E5CE3E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d) </w:t>
      </w:r>
      <w:r w:rsidR="0050662E" w:rsidRPr="00637CDE">
        <w:rPr>
          <w:rFonts w:ascii="Garamond" w:hAnsi="Garamond" w:cs="Times New Roman"/>
          <w:color w:val="000000"/>
          <w:sz w:val="24"/>
          <w:szCs w:val="24"/>
          <w:lang w:val="sq-AL"/>
          <w14:ligatures w14:val="standardContextual"/>
        </w:rPr>
        <w:t xml:space="preserve">për </w:t>
      </w:r>
      <w:r w:rsidRPr="00637CDE">
        <w:rPr>
          <w:rFonts w:ascii="Garamond" w:hAnsi="Garamond" w:cs="Times New Roman"/>
          <w:color w:val="000000"/>
          <w:sz w:val="24"/>
          <w:szCs w:val="24"/>
          <w:lang w:val="sq-AL"/>
          <w14:ligatures w14:val="standardContextual"/>
        </w:rPr>
        <w:t>përgatesat magjistrale në dokumentacion përveç parashikimeve të cituara nga shkronja “a” deri në shkronjën “d” të kësaj pike, duhet të përfshihet dhe:</w:t>
      </w:r>
    </w:p>
    <w:p w14:paraId="6ACF0275" w14:textId="1013DB1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i. numri progresiv;</w:t>
      </w:r>
    </w:p>
    <w:p w14:paraId="229E2EC7" w14:textId="638B891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w:t>
      </w:r>
      <w:proofErr w:type="spellEnd"/>
      <w:r w:rsidRPr="00637CDE">
        <w:rPr>
          <w:rFonts w:ascii="Garamond" w:hAnsi="Garamond" w:cs="Times New Roman"/>
          <w:color w:val="000000"/>
          <w:sz w:val="24"/>
          <w:szCs w:val="24"/>
          <w:lang w:val="sq-AL"/>
          <w14:ligatures w14:val="standardContextual"/>
        </w:rPr>
        <w:t>. emri i mjekut përshkrues;</w:t>
      </w:r>
    </w:p>
    <w:p w14:paraId="29754DE7" w14:textId="292D3E3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iii</w:t>
      </w:r>
      <w:proofErr w:type="spellEnd"/>
      <w:r w:rsidRPr="00637CDE">
        <w:rPr>
          <w:rFonts w:ascii="Garamond" w:hAnsi="Garamond" w:cs="Times New Roman"/>
          <w:color w:val="000000"/>
          <w:sz w:val="24"/>
          <w:szCs w:val="24"/>
          <w:lang w:val="sq-AL"/>
          <w14:ligatures w14:val="standardContextual"/>
        </w:rPr>
        <w:t>. emri i pacientit</w:t>
      </w:r>
      <w:r w:rsidR="0050662E">
        <w:rPr>
          <w:rFonts w:ascii="Garamond" w:hAnsi="Garamond" w:cs="Times New Roman"/>
          <w:color w:val="000000"/>
          <w:sz w:val="24"/>
          <w:szCs w:val="24"/>
          <w:lang w:val="sq-AL"/>
          <w14:ligatures w14:val="standardContextual"/>
        </w:rPr>
        <w:t>;</w:t>
      </w:r>
    </w:p>
    <w:p w14:paraId="143A66F2" w14:textId="02B18A5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e) </w:t>
      </w:r>
      <w:r w:rsidR="0050662E" w:rsidRPr="00637CDE">
        <w:rPr>
          <w:rFonts w:ascii="Garamond" w:hAnsi="Garamond" w:cs="Times New Roman"/>
          <w:color w:val="000000"/>
          <w:sz w:val="24"/>
          <w:szCs w:val="24"/>
          <w:lang w:val="sq-AL"/>
          <w14:ligatures w14:val="standardContextual"/>
        </w:rPr>
        <w:t xml:space="preserve">për </w:t>
      </w:r>
      <w:r w:rsidRPr="00637CDE">
        <w:rPr>
          <w:rFonts w:ascii="Garamond" w:hAnsi="Garamond" w:cs="Times New Roman"/>
          <w:color w:val="000000"/>
          <w:sz w:val="24"/>
          <w:szCs w:val="24"/>
          <w:lang w:val="sq-AL"/>
          <w14:ligatures w14:val="standardContextual"/>
        </w:rPr>
        <w:t xml:space="preserve">preparatet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 xml:space="preserve"> në dokumentacion, përveç parashikimeve të cituara nga shkronja “a” deri në shkronjën “d” të kësaj pike, duhet të përfshihet dhe:</w:t>
      </w:r>
    </w:p>
    <w:p w14:paraId="1F8C0518" w14:textId="4B3C33F5"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i. emri i përgatesës;</w:t>
      </w:r>
    </w:p>
    <w:p w14:paraId="59AC1F84" w14:textId="6B146D22"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roofErr w:type="spellStart"/>
      <w:r w:rsidRPr="00637CDE">
        <w:rPr>
          <w:rFonts w:ascii="Garamond" w:hAnsi="Garamond" w:cs="Times New Roman"/>
          <w:color w:val="000000"/>
          <w:sz w:val="24"/>
          <w:szCs w:val="24"/>
          <w:lang w:val="sq-AL"/>
          <w14:ligatures w14:val="standardContextual"/>
        </w:rPr>
        <w:t>ii</w:t>
      </w:r>
      <w:proofErr w:type="spellEnd"/>
      <w:r w:rsidRPr="00637CDE">
        <w:rPr>
          <w:rFonts w:ascii="Garamond" w:hAnsi="Garamond" w:cs="Times New Roman"/>
          <w:color w:val="000000"/>
          <w:sz w:val="24"/>
          <w:szCs w:val="24"/>
          <w:lang w:val="sq-AL"/>
          <w14:ligatures w14:val="standardContextual"/>
        </w:rPr>
        <w:t>. numri i serisë dhe sasia numerike e tij.</w:t>
      </w:r>
    </w:p>
    <w:p w14:paraId="3B41F4D4"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6C5A35BD"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8</w:t>
      </w:r>
    </w:p>
    <w:p w14:paraId="5BCC93DC" w14:textId="407C518A" w:rsidR="005D447A"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Proceset e përgatitjes</w:t>
      </w:r>
    </w:p>
    <w:p w14:paraId="7C50EC6D" w14:textId="77777777" w:rsidR="00CE1B84" w:rsidRPr="00637CDE" w:rsidRDefault="00CE1B84"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2515708" w14:textId="1B2921F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1. Të gjitha procedurat dhe udhëzimet e punës të raportohen me shkrim, në mënyrë të detajuar. Në udhëzimet e punës përcaktohen të gjitha kontrollet që do të kryhen. Në rastin e përgatesave magjistrale mund të mjaftojnë udhëzime të përgjithshme në varësi të formës farmaceutike.</w:t>
      </w:r>
    </w:p>
    <w:p w14:paraId="1584AE44" w14:textId="07B1B429"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Në rast përdorimi të produkteve të rrezikshme dhe/ose të dëmshme të parashikohen procedura të veçanta. Udhëzimet do të duhet të përditësohen periodikisht.</w:t>
      </w:r>
    </w:p>
    <w:p w14:paraId="1E1E30CF" w14:textId="486D57A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 Procesi i përgatitjes nuk duhet të ndërpritet për të zhvilluar detyra të tjera.</w:t>
      </w:r>
    </w:p>
    <w:p w14:paraId="07434155"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3A2DFBF9"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9</w:t>
      </w:r>
    </w:p>
    <w:p w14:paraId="11284BBD" w14:textId="5E43D6D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Kontrolli i cilësisë së përgatitjes</w:t>
      </w:r>
    </w:p>
    <w:p w14:paraId="6B95CF58"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1EE41B0"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Nën përgjegjësinë e tij personale, farmacisti përgatitës siguron dhe dokumenton cilësinë dhe sasinë e produkteve të përdorura, korrektësinë e operacioneve të kryera dhe respektimin e saktë të procedurave të përcaktuara. Në rastet kur farmacisti përgatitës dhe drejtuesi teknik i farmacisë nuk janë i njëjti person, të dy sigurojnë dhe dokumentojnë cilësinë dhe sasinë e produkteve të përdorura, korrektësinë e operacioneve të kryera dhe respektimin e saktë të procedurave të përcaktuara.</w:t>
      </w:r>
    </w:p>
    <w:p w14:paraId="355DAC73"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p>
    <w:p w14:paraId="3C5AE756" w14:textId="62496968"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10</w:t>
      </w:r>
    </w:p>
    <w:p w14:paraId="0669A563" w14:textId="6D40499E"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Ambalazhimi dhe etiketimi</w:t>
      </w:r>
    </w:p>
    <w:p w14:paraId="56552CE8"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1DFA83F5" w14:textId="18FA4799"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Ambalazhi parësor i përdorur duhet të jetë i pranuar nga </w:t>
      </w:r>
      <w:proofErr w:type="spellStart"/>
      <w:r w:rsidRPr="00637CDE">
        <w:rPr>
          <w:rFonts w:ascii="Garamond" w:hAnsi="Garamond" w:cs="Times New Roman"/>
          <w:color w:val="000000"/>
          <w:sz w:val="24"/>
          <w:szCs w:val="24"/>
          <w:lang w:val="sq-AL"/>
          <w14:ligatures w14:val="standardContextual"/>
        </w:rPr>
        <w:t>farmakopetë</w:t>
      </w:r>
      <w:proofErr w:type="spellEnd"/>
      <w:r w:rsidRPr="00637CDE">
        <w:rPr>
          <w:rFonts w:ascii="Garamond" w:hAnsi="Garamond" w:cs="Times New Roman"/>
          <w:color w:val="000000"/>
          <w:sz w:val="24"/>
          <w:szCs w:val="24"/>
          <w:lang w:val="sq-AL"/>
          <w14:ligatures w14:val="standardContextual"/>
        </w:rPr>
        <w:t>, i certifikuar nga fabrikuesi, i përshtatur me karakteristikat e përgatesës dhe të garantojë cilësinë e përgatesës për të gjithë periudhën e vlefshmërisë së saj. Ambalazhi parësor mund të mbyllet sipas kërkesave teknike të cilat janë më të këshillueshme dhe duhet përdorur me lehtësi nga pacienti, të ketë madhësi proporcionale me përmbajtjen dhe të ketë, në rast nevoje, një mbyllje të përshtatshme që të parandalojë hapjen nga fëmijët e vegjël.</w:t>
      </w:r>
    </w:p>
    <w:p w14:paraId="2EA5224D" w14:textId="4FE7000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Etiketimi duhet të përmbajë gjithmonë dhe të shprehur në mënyrë të qartë element</w:t>
      </w:r>
      <w:r w:rsidR="00E378B1">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t e mëposhtm</w:t>
      </w:r>
      <w:r w:rsidR="00E378B1">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xml:space="preserve">: </w:t>
      </w:r>
    </w:p>
    <w:p w14:paraId="1021A4B7" w14:textId="6DBCCCA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a) emrin, adresën dhe numrin e telefonit të farmacisë;</w:t>
      </w:r>
    </w:p>
    <w:p w14:paraId="75B8B18E" w14:textId="3DAC91D8"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emrin e mjekut përshkrues, në rastin e </w:t>
      </w:r>
      <w:r w:rsidR="00CE1B84" w:rsidRPr="00637CDE">
        <w:rPr>
          <w:rFonts w:ascii="Garamond" w:hAnsi="Garamond" w:cs="Times New Roman"/>
          <w:color w:val="000000"/>
          <w:sz w:val="24"/>
          <w:szCs w:val="24"/>
          <w:lang w:val="sq-AL"/>
          <w14:ligatures w14:val="standardContextual"/>
        </w:rPr>
        <w:t>përgatitjeve</w:t>
      </w:r>
      <w:r w:rsidRPr="00637CDE">
        <w:rPr>
          <w:rFonts w:ascii="Garamond" w:hAnsi="Garamond" w:cs="Times New Roman"/>
          <w:color w:val="000000"/>
          <w:sz w:val="24"/>
          <w:szCs w:val="24"/>
          <w:lang w:val="sq-AL"/>
          <w14:ligatures w14:val="standardContextual"/>
        </w:rPr>
        <w:t xml:space="preserve"> magjistrale dhe, nëse është e aplikueshme, emrin e pacientit;</w:t>
      </w:r>
    </w:p>
    <w:p w14:paraId="498093D0" w14:textId="66C9ED8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c) numrin rendor që bën të mundur gjurmimin e dokumentacionit;</w:t>
      </w:r>
    </w:p>
    <w:p w14:paraId="64B37CE2" w14:textId="6E049AA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d) datën e përgatitjes dhe datën e </w:t>
      </w:r>
      <w:proofErr w:type="spellStart"/>
      <w:r w:rsidRPr="00637CDE">
        <w:rPr>
          <w:rFonts w:ascii="Garamond" w:hAnsi="Garamond" w:cs="Times New Roman"/>
          <w:color w:val="000000"/>
          <w:sz w:val="24"/>
          <w:szCs w:val="24"/>
          <w:lang w:val="sq-AL"/>
          <w14:ligatures w14:val="standardContextual"/>
        </w:rPr>
        <w:t>skadencës</w:t>
      </w:r>
      <w:proofErr w:type="spellEnd"/>
      <w:r w:rsidRPr="00637CDE">
        <w:rPr>
          <w:rFonts w:ascii="Garamond" w:hAnsi="Garamond" w:cs="Times New Roman"/>
          <w:color w:val="000000"/>
          <w:sz w:val="24"/>
          <w:szCs w:val="24"/>
          <w:lang w:val="sq-AL"/>
          <w14:ligatures w14:val="standardContextual"/>
        </w:rPr>
        <w:t>;</w:t>
      </w:r>
    </w:p>
    <w:p w14:paraId="54CAE0A3" w14:textId="45630C1C"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e) titullin e monografisë në rastin e përgatitjeve </w:t>
      </w:r>
      <w:proofErr w:type="spellStart"/>
      <w:r w:rsidRPr="00637CDE">
        <w:rPr>
          <w:rFonts w:ascii="Garamond" w:hAnsi="Garamond" w:cs="Times New Roman"/>
          <w:color w:val="000000"/>
          <w:sz w:val="24"/>
          <w:szCs w:val="24"/>
          <w:lang w:val="sq-AL"/>
          <w14:ligatures w14:val="standardContextual"/>
        </w:rPr>
        <w:t>oficinale</w:t>
      </w:r>
      <w:proofErr w:type="spellEnd"/>
      <w:r w:rsidRPr="00637CDE">
        <w:rPr>
          <w:rFonts w:ascii="Garamond" w:hAnsi="Garamond" w:cs="Times New Roman"/>
          <w:color w:val="000000"/>
          <w:sz w:val="24"/>
          <w:szCs w:val="24"/>
          <w:lang w:val="sq-AL"/>
          <w14:ligatures w14:val="standardContextual"/>
        </w:rPr>
        <w:t>;</w:t>
      </w:r>
    </w:p>
    <w:p w14:paraId="0618B4B2" w14:textId="077EA31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f) sasinë dhe/ose numrin e dozave;</w:t>
      </w:r>
    </w:p>
    <w:p w14:paraId="7CD8BE38" w14:textId="306A1ADE"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g) përbërjen cilësore dhe sasiore të përgatesës;</w:t>
      </w:r>
    </w:p>
    <w:p w14:paraId="220654F8" w14:textId="10620DC5"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h) udhëzimet për përdorimin. </w:t>
      </w:r>
    </w:p>
    <w:p w14:paraId="67F673DA" w14:textId="30902BC2"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 Në mungesë të hapësirës, udhëzimet mund të jepen në një etiketë shtesë të aplikuar në ambalazh ose, nëse kjo nuk është e mundur, në një fletë të ngjitur në mënyrë të përshtatshme në ambalazh.</w:t>
      </w:r>
    </w:p>
    <w:p w14:paraId="7F0AF494"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74C75027" w14:textId="75EC2316"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11</w:t>
      </w:r>
    </w:p>
    <w:p w14:paraId="1D5ADFD5" w14:textId="6255E00D"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Qëndrueshmëria e përgatesës</w:t>
      </w:r>
    </w:p>
    <w:p w14:paraId="13815088"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4249A500" w14:textId="174BA07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1. Farmacisti përgatitës përcakton afatin e përdorimit të përgatesave të realizuara prej tij. Farmacisti, përveç faktorëve që lidhen me llojin e përgatesës dhe me procedurën e përgatitjes, duhet të konsultojë dhe të zbatojë dokumentacionin dhe literaturën përkatëse me karakter të përgjithshëm dhe në veçanti, në qoftë se është e mundur, atë që lidhet me përgatitjen specifike duke pa</w:t>
      </w:r>
      <w:r w:rsidR="0011146F">
        <w:rPr>
          <w:rFonts w:ascii="Garamond" w:hAnsi="Garamond" w:cs="Times New Roman"/>
          <w:color w:val="000000"/>
          <w:sz w:val="24"/>
          <w:szCs w:val="24"/>
          <w:lang w:val="sq-AL"/>
          <w14:ligatures w14:val="standardContextual"/>
        </w:rPr>
        <w:t>s</w:t>
      </w:r>
      <w:r w:rsidRPr="00637CDE">
        <w:rPr>
          <w:rFonts w:ascii="Garamond" w:hAnsi="Garamond" w:cs="Times New Roman"/>
          <w:color w:val="000000"/>
          <w:sz w:val="24"/>
          <w:szCs w:val="24"/>
          <w:lang w:val="sq-AL"/>
          <w14:ligatures w14:val="standardContextual"/>
        </w:rPr>
        <w:t xml:space="preserve">ur parasysh: </w:t>
      </w:r>
    </w:p>
    <w:p w14:paraId="1E4BDACD" w14:textId="0BCBBA7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a) natyrën e lëndëve dhe proceset që mund të shkaktojnë degradim (ndjeshmërinë ndaj dritës, temperaturën);</w:t>
      </w:r>
    </w:p>
    <w:p w14:paraId="5F15B03B" w14:textId="135CBD4F"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 xml:space="preserve">b) natyrën e ambalazhit dhe bashkëveprimet e mundshme mes ambalazhit dhe përgatesës duke përfshirë dhe dukuritë e </w:t>
      </w:r>
      <w:proofErr w:type="spellStart"/>
      <w:r w:rsidRPr="00637CDE">
        <w:rPr>
          <w:rFonts w:ascii="Garamond" w:hAnsi="Garamond" w:cs="Times New Roman"/>
          <w:color w:val="000000"/>
          <w:sz w:val="24"/>
          <w:szCs w:val="24"/>
          <w:lang w:val="sq-AL"/>
          <w14:ligatures w14:val="standardContextual"/>
        </w:rPr>
        <w:t>adsorbimit</w:t>
      </w:r>
      <w:proofErr w:type="spellEnd"/>
      <w:r w:rsidRPr="00637CDE">
        <w:rPr>
          <w:rFonts w:ascii="Garamond" w:hAnsi="Garamond" w:cs="Times New Roman"/>
          <w:color w:val="000000"/>
          <w:sz w:val="24"/>
          <w:szCs w:val="24"/>
          <w:lang w:val="sq-AL"/>
          <w14:ligatures w14:val="standardContextual"/>
        </w:rPr>
        <w:t>;</w:t>
      </w:r>
    </w:p>
    <w:p w14:paraId="5E16A564" w14:textId="47E9BEF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c) kushtet e paracaktuara të ruajtjes;</w:t>
      </w:r>
    </w:p>
    <w:p w14:paraId="25D3E4FE" w14:textId="2CE5A932"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d) pajtueshmërinë me lëndët ndihmëse;</w:t>
      </w:r>
    </w:p>
    <w:p w14:paraId="4D049AD2" w14:textId="5913BE01"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e) mundësinë e degradimit të lëndëve ndihmëse;</w:t>
      </w:r>
    </w:p>
    <w:p w14:paraId="44B44D1F" w14:textId="22DE92A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f) kohëzgjatjen e terapisë.</w:t>
      </w:r>
    </w:p>
    <w:p w14:paraId="53FF6824" w14:textId="23D44FC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Në mung</w:t>
      </w:r>
      <w:r w:rsidR="0032468A">
        <w:rPr>
          <w:rFonts w:ascii="Garamond" w:hAnsi="Garamond" w:cs="Times New Roman"/>
          <w:color w:val="000000"/>
          <w:sz w:val="24"/>
          <w:szCs w:val="24"/>
          <w:lang w:val="sq-AL"/>
          <w14:ligatures w14:val="standardContextual"/>
        </w:rPr>
        <w:t>e</w:t>
      </w:r>
      <w:r w:rsidRPr="00637CDE">
        <w:rPr>
          <w:rFonts w:ascii="Garamond" w:hAnsi="Garamond" w:cs="Times New Roman"/>
          <w:color w:val="000000"/>
          <w:sz w:val="24"/>
          <w:szCs w:val="24"/>
          <w:lang w:val="sq-AL"/>
          <w14:ligatures w14:val="standardContextual"/>
        </w:rPr>
        <w:t xml:space="preserve">së të informacioneve lidhur me qëndrueshmërinë, për përgatesat </w:t>
      </w:r>
      <w:proofErr w:type="spellStart"/>
      <w:r w:rsidRPr="00637CDE">
        <w:rPr>
          <w:rFonts w:ascii="Garamond" w:hAnsi="Garamond" w:cs="Times New Roman"/>
          <w:color w:val="000000"/>
          <w:sz w:val="24"/>
          <w:szCs w:val="24"/>
          <w:lang w:val="sq-AL"/>
          <w14:ligatures w14:val="standardContextual"/>
        </w:rPr>
        <w:t>josterile</w:t>
      </w:r>
      <w:proofErr w:type="spellEnd"/>
      <w:r w:rsidRPr="00637CDE">
        <w:rPr>
          <w:rFonts w:ascii="Garamond" w:hAnsi="Garamond" w:cs="Times New Roman"/>
          <w:color w:val="000000"/>
          <w:sz w:val="24"/>
          <w:szCs w:val="24"/>
          <w:lang w:val="sq-AL"/>
          <w14:ligatures w14:val="standardContextual"/>
        </w:rPr>
        <w:t>, duhen respektuar limitet e mëposhtme të përdorimit të përgatesës me kusht që të jetë ruajtur sipas kritereve të përcaktuara në etiketë:</w:t>
      </w:r>
    </w:p>
    <w:p w14:paraId="084B0AAB" w14:textId="22575E6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a) Për format farmaceutike të ngurta, format farmaceutike të lëngëta </w:t>
      </w:r>
      <w:proofErr w:type="spellStart"/>
      <w:r w:rsidRPr="00637CDE">
        <w:rPr>
          <w:rFonts w:ascii="Garamond" w:hAnsi="Garamond" w:cs="Times New Roman"/>
          <w:color w:val="000000"/>
          <w:sz w:val="24"/>
          <w:szCs w:val="24"/>
          <w:lang w:val="sq-AL"/>
          <w14:ligatures w14:val="standardContextual"/>
        </w:rPr>
        <w:t>joujore</w:t>
      </w:r>
      <w:proofErr w:type="spellEnd"/>
      <w:r w:rsidRPr="00637CDE">
        <w:rPr>
          <w:rFonts w:ascii="Garamond" w:hAnsi="Garamond" w:cs="Times New Roman"/>
          <w:color w:val="000000"/>
          <w:sz w:val="24"/>
          <w:szCs w:val="24"/>
          <w:lang w:val="sq-AL"/>
          <w14:ligatures w14:val="standardContextual"/>
        </w:rPr>
        <w:t xml:space="preserve"> ose me përmbajtje alkooli mbi 25%: </w:t>
      </w:r>
      <w:r w:rsidR="0032468A">
        <w:rPr>
          <w:rFonts w:ascii="Garamond" w:hAnsi="Garamond" w:cs="Times New Roman"/>
          <w:color w:val="000000"/>
          <w:sz w:val="24"/>
          <w:szCs w:val="24"/>
          <w:lang w:val="sq-AL"/>
          <w14:ligatures w14:val="standardContextual"/>
        </w:rPr>
        <w:t>j</w:t>
      </w:r>
      <w:r w:rsidRPr="00637CDE">
        <w:rPr>
          <w:rFonts w:ascii="Garamond" w:hAnsi="Garamond" w:cs="Times New Roman"/>
          <w:color w:val="000000"/>
          <w:sz w:val="24"/>
          <w:szCs w:val="24"/>
          <w:lang w:val="sq-AL"/>
          <w14:ligatures w14:val="standardContextual"/>
        </w:rPr>
        <w:t>o më shumë se 25% të kohëzgjatjes më të shkurtër të periudhës së vlefshmërisë të lëndëve të përdorura dhe kjo periudhë nuk mund të jetë më shumë se 6 muaj</w:t>
      </w:r>
      <w:r w:rsidR="0032468A">
        <w:rPr>
          <w:rFonts w:ascii="Garamond" w:hAnsi="Garamond" w:cs="Times New Roman"/>
          <w:color w:val="000000"/>
          <w:sz w:val="24"/>
          <w:szCs w:val="24"/>
          <w:lang w:val="sq-AL"/>
          <w14:ligatures w14:val="standardContextual"/>
        </w:rPr>
        <w:t>;</w:t>
      </w:r>
    </w:p>
    <w:p w14:paraId="41E4F094" w14:textId="6DCA234D"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b) Për të gjithë përgatesat e tjera: Të përdoren brenda 30 ditëve nga data e përgatitjes. Ky limit duhet të reduktohet ose mund të tejkalohet vetëm në bazë të veçorive specifike dhe masave paraprake që lidhen me kontaminimin </w:t>
      </w:r>
      <w:proofErr w:type="spellStart"/>
      <w:r w:rsidRPr="00637CDE">
        <w:rPr>
          <w:rFonts w:ascii="Garamond" w:hAnsi="Garamond" w:cs="Times New Roman"/>
          <w:color w:val="000000"/>
          <w:sz w:val="24"/>
          <w:szCs w:val="24"/>
          <w:lang w:val="sq-AL"/>
          <w14:ligatures w14:val="standardContextual"/>
        </w:rPr>
        <w:t>mikrobik</w:t>
      </w:r>
      <w:proofErr w:type="spellEnd"/>
      <w:r w:rsidRPr="00637CDE">
        <w:rPr>
          <w:rFonts w:ascii="Garamond" w:hAnsi="Garamond" w:cs="Times New Roman"/>
          <w:color w:val="000000"/>
          <w:sz w:val="24"/>
          <w:szCs w:val="24"/>
          <w:lang w:val="sq-AL"/>
          <w14:ligatures w14:val="standardContextual"/>
        </w:rPr>
        <w:t xml:space="preserve"> të përgatesës dhe me karakteristikat </w:t>
      </w:r>
      <w:proofErr w:type="spellStart"/>
      <w:r w:rsidRPr="00637CDE">
        <w:rPr>
          <w:rFonts w:ascii="Garamond" w:hAnsi="Garamond" w:cs="Times New Roman"/>
          <w:color w:val="000000"/>
          <w:sz w:val="24"/>
          <w:szCs w:val="24"/>
          <w:lang w:val="sq-AL"/>
          <w14:ligatures w14:val="standardContextual"/>
        </w:rPr>
        <w:t>kimiko</w:t>
      </w:r>
      <w:proofErr w:type="spellEnd"/>
      <w:r w:rsidRPr="00637CDE">
        <w:rPr>
          <w:rFonts w:ascii="Garamond" w:hAnsi="Garamond" w:cs="Times New Roman"/>
          <w:color w:val="000000"/>
          <w:sz w:val="24"/>
          <w:szCs w:val="24"/>
          <w:lang w:val="sq-AL"/>
          <w14:ligatures w14:val="standardContextual"/>
        </w:rPr>
        <w:t xml:space="preserve">-fizike të përbërësve të tij. </w:t>
      </w:r>
    </w:p>
    <w:p w14:paraId="06EE28EC"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12</w:t>
      </w:r>
    </w:p>
    <w:p w14:paraId="79A4A053" w14:textId="27DB13F8"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 xml:space="preserve">Aspektet mikrobiologjike të përgatesave </w:t>
      </w:r>
      <w:proofErr w:type="spellStart"/>
      <w:r w:rsidRPr="00637CDE">
        <w:rPr>
          <w:rFonts w:ascii="Garamond" w:hAnsi="Garamond" w:cs="Times New Roman"/>
          <w:b/>
          <w:bCs/>
          <w:color w:val="000000"/>
          <w:sz w:val="24"/>
          <w:szCs w:val="24"/>
          <w:lang w:val="sq-AL"/>
          <w14:ligatures w14:val="standardContextual"/>
        </w:rPr>
        <w:t>josterile</w:t>
      </w:r>
      <w:proofErr w:type="spellEnd"/>
    </w:p>
    <w:p w14:paraId="0B1669F9"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3BA79201" w14:textId="66CED555"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 Produktet për të cilat kërkohet një ngarkesë </w:t>
      </w:r>
      <w:proofErr w:type="spellStart"/>
      <w:r w:rsidRPr="00637CDE">
        <w:rPr>
          <w:rFonts w:ascii="Garamond" w:hAnsi="Garamond" w:cs="Times New Roman"/>
          <w:color w:val="000000"/>
          <w:sz w:val="24"/>
          <w:szCs w:val="24"/>
          <w:lang w:val="sq-AL"/>
          <w14:ligatures w14:val="standardContextual"/>
        </w:rPr>
        <w:t>mikrobike</w:t>
      </w:r>
      <w:proofErr w:type="spellEnd"/>
      <w:r w:rsidRPr="00637CDE">
        <w:rPr>
          <w:rFonts w:ascii="Garamond" w:hAnsi="Garamond" w:cs="Times New Roman"/>
          <w:color w:val="000000"/>
          <w:sz w:val="24"/>
          <w:szCs w:val="24"/>
          <w:lang w:val="sq-AL"/>
          <w14:ligatures w14:val="standardContextual"/>
        </w:rPr>
        <w:t xml:space="preserve"> e kontrolluar duhet t’</w:t>
      </w:r>
      <w:r w:rsidR="00632A0F">
        <w:rPr>
          <w:rFonts w:ascii="Garamond" w:hAnsi="Garamond" w:cs="Times New Roman"/>
          <w:color w:val="000000"/>
          <w:sz w:val="24"/>
          <w:szCs w:val="24"/>
          <w:lang w:val="sq-AL"/>
          <w14:ligatures w14:val="standardContextual"/>
        </w:rPr>
        <w:t>u</w:t>
      </w:r>
      <w:r w:rsidRPr="00637CDE">
        <w:rPr>
          <w:rFonts w:ascii="Garamond" w:hAnsi="Garamond" w:cs="Times New Roman"/>
          <w:color w:val="000000"/>
          <w:sz w:val="24"/>
          <w:szCs w:val="24"/>
          <w:lang w:val="sq-AL"/>
          <w14:ligatures w14:val="standardContextual"/>
        </w:rPr>
        <w:t xml:space="preserve"> përgjigjen kërkesave mikrobiologjike të përgatesave farmaceutike sipas </w:t>
      </w:r>
      <w:proofErr w:type="spellStart"/>
      <w:r w:rsidRPr="00637CDE">
        <w:rPr>
          <w:rFonts w:ascii="Garamond" w:hAnsi="Garamond" w:cs="Times New Roman"/>
          <w:color w:val="000000"/>
          <w:sz w:val="24"/>
          <w:szCs w:val="24"/>
          <w:lang w:val="sq-AL"/>
          <w14:ligatures w14:val="standardContextual"/>
        </w:rPr>
        <w:t>Farmakopesë</w:t>
      </w:r>
      <w:proofErr w:type="spellEnd"/>
      <w:r w:rsidRPr="00637CDE">
        <w:rPr>
          <w:rFonts w:ascii="Garamond" w:hAnsi="Garamond" w:cs="Times New Roman"/>
          <w:color w:val="000000"/>
          <w:sz w:val="24"/>
          <w:szCs w:val="24"/>
          <w:lang w:val="sq-AL"/>
          <w14:ligatures w14:val="standardContextual"/>
        </w:rPr>
        <w:t xml:space="preserve"> Evropiane.</w:t>
      </w:r>
    </w:p>
    <w:p w14:paraId="269901F6" w14:textId="23042DF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2. Garancia e cilësisë mikrobiologjike të përgatesave </w:t>
      </w:r>
      <w:proofErr w:type="spellStart"/>
      <w:r w:rsidRPr="00637CDE">
        <w:rPr>
          <w:rFonts w:ascii="Garamond" w:hAnsi="Garamond" w:cs="Times New Roman"/>
          <w:color w:val="000000"/>
          <w:sz w:val="24"/>
          <w:szCs w:val="24"/>
          <w:lang w:val="sq-AL"/>
          <w14:ligatures w14:val="standardContextual"/>
        </w:rPr>
        <w:t>josterile</w:t>
      </w:r>
      <w:proofErr w:type="spellEnd"/>
      <w:r w:rsidRPr="00637CDE">
        <w:rPr>
          <w:rFonts w:ascii="Garamond" w:hAnsi="Garamond" w:cs="Times New Roman"/>
          <w:color w:val="000000"/>
          <w:sz w:val="24"/>
          <w:szCs w:val="24"/>
          <w:lang w:val="sq-AL"/>
          <w14:ligatures w14:val="standardContextual"/>
        </w:rPr>
        <w:t xml:space="preserve"> varet nga faktorët si vijon:</w:t>
      </w:r>
    </w:p>
    <w:p w14:paraId="56ED0CCA" w14:textId="1C832B3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a) lëndët e para të përdorura;</w:t>
      </w:r>
    </w:p>
    <w:p w14:paraId="5F1073BA" w14:textId="3459758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b) materialet e ambalazhimit parësor;</w:t>
      </w:r>
    </w:p>
    <w:p w14:paraId="15349850" w14:textId="6438656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c) personeli;</w:t>
      </w:r>
    </w:p>
    <w:p w14:paraId="1DC40490" w14:textId="520EEA0C"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d) procesi i përgatitjes;</w:t>
      </w:r>
    </w:p>
    <w:p w14:paraId="03EFD771" w14:textId="25BE58F5"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e) dinamikat e procesit;</w:t>
      </w:r>
    </w:p>
    <w:p w14:paraId="2328B656" w14:textId="238496FF"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f) pajisjet;</w:t>
      </w:r>
    </w:p>
    <w:p w14:paraId="6BE7C221" w14:textId="3C43654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g) mjediset e përgatitjes dhe ruajtjes.</w:t>
      </w:r>
    </w:p>
    <w:p w14:paraId="350F515E" w14:textId="3EDC150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3. Përgatitësi duhet të vlerësojë, për </w:t>
      </w:r>
      <w:r w:rsidR="00632A0F" w:rsidRPr="00637CDE">
        <w:rPr>
          <w:rFonts w:ascii="Garamond" w:hAnsi="Garamond" w:cs="Times New Roman"/>
          <w:color w:val="000000"/>
          <w:sz w:val="24"/>
          <w:szCs w:val="24"/>
          <w:lang w:val="sq-AL"/>
          <w14:ligatures w14:val="standardContextual"/>
        </w:rPr>
        <w:t>faktorët</w:t>
      </w:r>
      <w:r w:rsidRPr="00637CDE">
        <w:rPr>
          <w:rFonts w:ascii="Garamond" w:hAnsi="Garamond" w:cs="Times New Roman"/>
          <w:color w:val="000000"/>
          <w:sz w:val="24"/>
          <w:szCs w:val="24"/>
          <w:lang w:val="sq-AL"/>
          <w14:ligatures w14:val="standardContextual"/>
        </w:rPr>
        <w:t xml:space="preserve"> e përshkruar më sipër, nivelin e riskut të kontaminimit mikrobiologjik, në mënyrë që të mbajë nën kontroll burimet, të cilat shkaktojnë kontaminimin mikrobiologjik.</w:t>
      </w:r>
    </w:p>
    <w:p w14:paraId="27B153D9" w14:textId="53E6D1F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4. Për përgatesat galenike me përdorim lokal ose përgatitjet e tjera me rrezik më të lartë ndotjeje këshillohet përdorimi i filtrave HEPA.</w:t>
      </w:r>
    </w:p>
    <w:p w14:paraId="58EA775C" w14:textId="543B259A"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5. Fazat e ndryshme të procesit të përgatitjes duhet të vlerësohen me kujdes sepse mund të kontribuojnë në kontaminimin </w:t>
      </w:r>
      <w:proofErr w:type="spellStart"/>
      <w:r w:rsidRPr="00637CDE">
        <w:rPr>
          <w:rFonts w:ascii="Garamond" w:hAnsi="Garamond" w:cs="Times New Roman"/>
          <w:color w:val="000000"/>
          <w:sz w:val="24"/>
          <w:szCs w:val="24"/>
          <w:lang w:val="sq-AL"/>
          <w14:ligatures w14:val="standardContextual"/>
        </w:rPr>
        <w:t>mikrobik</w:t>
      </w:r>
      <w:proofErr w:type="spellEnd"/>
      <w:r w:rsidRPr="00637CDE">
        <w:rPr>
          <w:rFonts w:ascii="Garamond" w:hAnsi="Garamond" w:cs="Times New Roman"/>
          <w:color w:val="000000"/>
          <w:sz w:val="24"/>
          <w:szCs w:val="24"/>
          <w:lang w:val="sq-AL"/>
          <w14:ligatures w14:val="standardContextual"/>
        </w:rPr>
        <w:t xml:space="preserve"> të përgatesës. Në veçanti disa parametra të procesit të përgatitjes (koha, temperatura, </w:t>
      </w:r>
      <w:proofErr w:type="spellStart"/>
      <w:r w:rsidRPr="00637CDE">
        <w:rPr>
          <w:rFonts w:ascii="Garamond" w:hAnsi="Garamond" w:cs="Times New Roman"/>
          <w:color w:val="000000"/>
          <w:sz w:val="24"/>
          <w:szCs w:val="24"/>
          <w:lang w:val="sq-AL"/>
          <w14:ligatures w14:val="standardContextual"/>
        </w:rPr>
        <w:t>pH</w:t>
      </w:r>
      <w:proofErr w:type="spellEnd"/>
      <w:r w:rsidRPr="00637CDE">
        <w:rPr>
          <w:rFonts w:ascii="Garamond" w:hAnsi="Garamond" w:cs="Times New Roman"/>
          <w:color w:val="000000"/>
          <w:sz w:val="24"/>
          <w:szCs w:val="24"/>
          <w:lang w:val="sq-AL"/>
          <w14:ligatures w14:val="standardContextual"/>
        </w:rPr>
        <w:t>-i), lloji i formulimit (i lëngët, i ngurtë, gjysm</w:t>
      </w:r>
      <w:r w:rsidR="00632A0F" w:rsidRPr="00637CDE">
        <w:rPr>
          <w:rFonts w:ascii="Garamond" w:hAnsi="Garamond" w:cs="Times New Roman"/>
          <w:color w:val="000000"/>
          <w:sz w:val="24"/>
          <w:szCs w:val="24"/>
          <w:lang w:val="sq-AL"/>
          <w14:ligatures w14:val="standardContextual"/>
        </w:rPr>
        <w:t>ë</w:t>
      </w:r>
      <w:r w:rsidRPr="00637CDE">
        <w:rPr>
          <w:rFonts w:ascii="Garamond" w:hAnsi="Garamond" w:cs="Times New Roman"/>
          <w:color w:val="000000"/>
          <w:sz w:val="24"/>
          <w:szCs w:val="24"/>
          <w:lang w:val="sq-AL"/>
          <w14:ligatures w14:val="standardContextual"/>
        </w:rPr>
        <w:t xml:space="preserve"> i ngurtë, mungesa e </w:t>
      </w:r>
      <w:proofErr w:type="spellStart"/>
      <w:r w:rsidRPr="00637CDE">
        <w:rPr>
          <w:rFonts w:ascii="Garamond" w:hAnsi="Garamond" w:cs="Times New Roman"/>
          <w:color w:val="000000"/>
          <w:sz w:val="24"/>
          <w:szCs w:val="24"/>
          <w:lang w:val="sq-AL"/>
          <w14:ligatures w14:val="standardContextual"/>
        </w:rPr>
        <w:t>konservuesve</w:t>
      </w:r>
      <w:proofErr w:type="spellEnd"/>
      <w:r w:rsidRPr="00637CDE">
        <w:rPr>
          <w:rFonts w:ascii="Garamond" w:hAnsi="Garamond" w:cs="Times New Roman"/>
          <w:color w:val="000000"/>
          <w:sz w:val="24"/>
          <w:szCs w:val="24"/>
          <w:lang w:val="sq-AL"/>
          <w14:ligatures w14:val="standardContextual"/>
        </w:rPr>
        <w:t xml:space="preserve">), mund të ndikojnë në rritjen </w:t>
      </w:r>
      <w:proofErr w:type="spellStart"/>
      <w:r w:rsidRPr="00637CDE">
        <w:rPr>
          <w:rFonts w:ascii="Garamond" w:hAnsi="Garamond" w:cs="Times New Roman"/>
          <w:color w:val="000000"/>
          <w:sz w:val="24"/>
          <w:szCs w:val="24"/>
          <w:lang w:val="sq-AL"/>
          <w14:ligatures w14:val="standardContextual"/>
        </w:rPr>
        <w:t>mikrobike</w:t>
      </w:r>
      <w:proofErr w:type="spellEnd"/>
      <w:r w:rsidRPr="00637CDE">
        <w:rPr>
          <w:rFonts w:ascii="Garamond" w:hAnsi="Garamond" w:cs="Times New Roman"/>
          <w:color w:val="000000"/>
          <w:sz w:val="24"/>
          <w:szCs w:val="24"/>
          <w:lang w:val="sq-AL"/>
          <w14:ligatures w14:val="standardContextual"/>
        </w:rPr>
        <w:t>. Nëse disa faza përbëjnë rrezik, procesi duhet të rishikohet në mënyrë të tillë që të reduktohet ose të eliminohet faza kritike.</w:t>
      </w:r>
    </w:p>
    <w:p w14:paraId="579D6574"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35F1E1DC" w14:textId="62FB23E8"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Neni 13</w:t>
      </w:r>
    </w:p>
    <w:p w14:paraId="1B727BCE" w14:textId="4C49FBBD"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637CDE">
        <w:rPr>
          <w:rFonts w:ascii="Garamond" w:hAnsi="Garamond" w:cs="Times New Roman"/>
          <w:b/>
          <w:bCs/>
          <w:color w:val="000000"/>
          <w:sz w:val="24"/>
          <w:szCs w:val="24"/>
          <w:lang w:val="sq-AL"/>
          <w14:ligatures w14:val="standardContextual"/>
        </w:rPr>
        <w:t>Ruajtja e dokumentacionit</w:t>
      </w:r>
    </w:p>
    <w:p w14:paraId="4D4B7161"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1204613C"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Recetat e ekzekutuara ruhen në farmaci sipas legjislacionit në fuqi.</w:t>
      </w:r>
    </w:p>
    <w:p w14:paraId="4D12F4A4"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65BB345A" w14:textId="77777777" w:rsidR="005D447A" w:rsidRPr="00637CDE"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7CDE">
        <w:rPr>
          <w:rFonts w:ascii="Garamond" w:hAnsi="Garamond" w:cs="Times New Roman"/>
          <w:bCs/>
          <w:color w:val="000000"/>
          <w:sz w:val="24"/>
          <w:szCs w:val="24"/>
          <w:lang w:val="sq-AL"/>
          <w14:ligatures w14:val="standardContextual"/>
        </w:rPr>
        <w:t>SHTOJCA 1</w:t>
      </w:r>
    </w:p>
    <w:p w14:paraId="59D441F3" w14:textId="77777777" w:rsidR="005D447A" w:rsidRPr="00632A0F" w:rsidRDefault="005D447A" w:rsidP="005D447A">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2A0F">
        <w:rPr>
          <w:rFonts w:ascii="Garamond" w:hAnsi="Garamond" w:cs="Times New Roman"/>
          <w:bCs/>
          <w:color w:val="000000"/>
          <w:sz w:val="24"/>
          <w:szCs w:val="24"/>
          <w:lang w:val="sq-AL"/>
          <w14:ligatures w14:val="standardContextual"/>
        </w:rPr>
        <w:t>PAJISJET DHE ENËT MBAJTËSE TË DETYRUESHME NË FARMACI</w:t>
      </w:r>
    </w:p>
    <w:p w14:paraId="32F0A4A9" w14:textId="77777777" w:rsidR="00632A0F" w:rsidRDefault="00632A0F"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3EF2FEA3" w14:textId="7C1E56B0"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 xml:space="preserve">1. Peshore për matjen e </w:t>
      </w:r>
      <w:proofErr w:type="spellStart"/>
      <w:r w:rsidRPr="00637CDE">
        <w:rPr>
          <w:rFonts w:ascii="Garamond" w:hAnsi="Garamond" w:cs="Times New Roman"/>
          <w:color w:val="000000"/>
          <w:sz w:val="24"/>
          <w:szCs w:val="24"/>
          <w:lang w:val="sq-AL"/>
          <w14:ligatures w14:val="standardContextual"/>
        </w:rPr>
        <w:t>mg</w:t>
      </w:r>
      <w:proofErr w:type="spellEnd"/>
      <w:r w:rsidRPr="00637CDE">
        <w:rPr>
          <w:rFonts w:ascii="Garamond" w:hAnsi="Garamond" w:cs="Times New Roman"/>
          <w:color w:val="000000"/>
          <w:sz w:val="24"/>
          <w:szCs w:val="24"/>
          <w:lang w:val="sq-AL"/>
          <w14:ligatures w14:val="standardContextual"/>
        </w:rPr>
        <w:t xml:space="preserve"> (ndarja reale (d) e peshores = </w:t>
      </w:r>
      <w:proofErr w:type="spellStart"/>
      <w:r w:rsidRPr="00637CDE">
        <w:rPr>
          <w:rFonts w:ascii="Garamond" w:hAnsi="Garamond" w:cs="Times New Roman"/>
          <w:color w:val="000000"/>
          <w:sz w:val="24"/>
          <w:szCs w:val="24"/>
          <w:lang w:val="sq-AL"/>
          <w14:ligatures w14:val="standardContextual"/>
        </w:rPr>
        <w:t>0.001g</w:t>
      </w:r>
      <w:proofErr w:type="spellEnd"/>
      <w:r w:rsidRPr="00637CDE">
        <w:rPr>
          <w:rFonts w:ascii="Garamond" w:hAnsi="Garamond" w:cs="Times New Roman"/>
          <w:color w:val="000000"/>
          <w:sz w:val="24"/>
          <w:szCs w:val="24"/>
          <w:lang w:val="sq-AL"/>
          <w14:ligatures w14:val="standardContextual"/>
        </w:rPr>
        <w:t xml:space="preserve">) me kapacitet prej të paktën 500 g ose në alternativë dy peshore të veçanta, njëra për matjen e </w:t>
      </w:r>
      <w:proofErr w:type="spellStart"/>
      <w:r w:rsidRPr="00637CDE">
        <w:rPr>
          <w:rFonts w:ascii="Garamond" w:hAnsi="Garamond" w:cs="Times New Roman"/>
          <w:color w:val="000000"/>
          <w:sz w:val="24"/>
          <w:szCs w:val="24"/>
          <w:lang w:val="sq-AL"/>
          <w14:ligatures w14:val="standardContextual"/>
        </w:rPr>
        <w:t>mg</w:t>
      </w:r>
      <w:proofErr w:type="spellEnd"/>
      <w:r w:rsidRPr="00637CDE">
        <w:rPr>
          <w:rFonts w:ascii="Garamond" w:hAnsi="Garamond" w:cs="Times New Roman"/>
          <w:color w:val="000000"/>
          <w:sz w:val="24"/>
          <w:szCs w:val="24"/>
          <w:lang w:val="sq-AL"/>
          <w14:ligatures w14:val="standardContextual"/>
        </w:rPr>
        <w:t xml:space="preserve"> (d=</w:t>
      </w:r>
      <w:proofErr w:type="spellStart"/>
      <w:r w:rsidRPr="00637CDE">
        <w:rPr>
          <w:rFonts w:ascii="Garamond" w:hAnsi="Garamond" w:cs="Times New Roman"/>
          <w:color w:val="000000"/>
          <w:sz w:val="24"/>
          <w:szCs w:val="24"/>
          <w:lang w:val="sq-AL"/>
          <w14:ligatures w14:val="standardContextual"/>
        </w:rPr>
        <w:t>0.001g</w:t>
      </w:r>
      <w:proofErr w:type="spellEnd"/>
      <w:r w:rsidRPr="00637CDE">
        <w:rPr>
          <w:rFonts w:ascii="Garamond" w:hAnsi="Garamond" w:cs="Times New Roman"/>
          <w:color w:val="000000"/>
          <w:sz w:val="24"/>
          <w:szCs w:val="24"/>
          <w:lang w:val="sq-AL"/>
          <w14:ligatures w14:val="standardContextual"/>
        </w:rPr>
        <w:t>) me kapacitet të paktën 50 g dhe tjetra për matjen me 0.50 g (d=</w:t>
      </w:r>
      <w:proofErr w:type="spellStart"/>
      <w:r w:rsidRPr="00637CDE">
        <w:rPr>
          <w:rFonts w:ascii="Garamond" w:hAnsi="Garamond" w:cs="Times New Roman"/>
          <w:color w:val="000000"/>
          <w:sz w:val="24"/>
          <w:szCs w:val="24"/>
          <w:lang w:val="sq-AL"/>
          <w14:ligatures w14:val="standardContextual"/>
        </w:rPr>
        <w:t>0.50g</w:t>
      </w:r>
      <w:proofErr w:type="spellEnd"/>
      <w:r w:rsidRPr="00637CDE">
        <w:rPr>
          <w:rFonts w:ascii="Garamond" w:hAnsi="Garamond" w:cs="Times New Roman"/>
          <w:color w:val="000000"/>
          <w:sz w:val="24"/>
          <w:szCs w:val="24"/>
          <w:lang w:val="sq-AL"/>
          <w14:ligatures w14:val="standardContextual"/>
        </w:rPr>
        <w:t>) me kapacitet të paktën 2 kg.</w:t>
      </w:r>
    </w:p>
    <w:p w14:paraId="0B1F9A9F" w14:textId="2451075F"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2. </w:t>
      </w:r>
      <w:r w:rsidR="00632A0F" w:rsidRPr="00637CDE">
        <w:rPr>
          <w:rFonts w:ascii="Garamond" w:hAnsi="Garamond" w:cs="Times New Roman"/>
          <w:color w:val="000000"/>
          <w:sz w:val="24"/>
          <w:szCs w:val="24"/>
          <w:lang w:val="sq-AL"/>
          <w14:ligatures w14:val="standardContextual"/>
        </w:rPr>
        <w:t>Banjëmari</w:t>
      </w:r>
      <w:r w:rsidRPr="00637CDE">
        <w:rPr>
          <w:rFonts w:ascii="Garamond" w:hAnsi="Garamond" w:cs="Times New Roman"/>
          <w:color w:val="000000"/>
          <w:sz w:val="24"/>
          <w:szCs w:val="24"/>
          <w:lang w:val="sq-AL"/>
          <w14:ligatures w14:val="standardContextual"/>
        </w:rPr>
        <w:t xml:space="preserve"> ose pajisje të tjera të përshtatshme për të siguruar, në ngrohje, temperatura deri në 100 °C.</w:t>
      </w:r>
    </w:p>
    <w:p w14:paraId="567B6C59"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 Dollap frigorifer që mund të sigurojë kushte të sakta ruajtjeje, duke përfshirë kufijtë e temperaturës kur parashikohen.</w:t>
      </w:r>
    </w:p>
    <w:p w14:paraId="57F88113"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4. Aparat për pikën e shkrirjes.</w:t>
      </w:r>
    </w:p>
    <w:p w14:paraId="737CA19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5. Komplet enësh qelqi kimike të zakonshme dhe të shkallëzuara, të mjaftueshme për kryerjen e preparateve.</w:t>
      </w:r>
    </w:p>
    <w:p w14:paraId="0F4F5EEB" w14:textId="216C2886"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6. </w:t>
      </w:r>
      <w:proofErr w:type="spellStart"/>
      <w:r w:rsidRPr="00637CDE">
        <w:rPr>
          <w:rFonts w:ascii="Garamond" w:hAnsi="Garamond" w:cs="Times New Roman"/>
          <w:color w:val="000000"/>
          <w:sz w:val="24"/>
          <w:szCs w:val="24"/>
          <w:lang w:val="sq-AL"/>
          <w14:ligatures w14:val="standardContextual"/>
        </w:rPr>
        <w:t>Perkolator</w:t>
      </w:r>
      <w:proofErr w:type="spellEnd"/>
      <w:r w:rsidRPr="00637CDE">
        <w:rPr>
          <w:rFonts w:ascii="Garamond" w:hAnsi="Garamond" w:cs="Times New Roman"/>
          <w:color w:val="000000"/>
          <w:sz w:val="24"/>
          <w:szCs w:val="24"/>
          <w:lang w:val="sq-AL"/>
          <w14:ligatures w14:val="standardContextual"/>
        </w:rPr>
        <w:t xml:space="preserve"> – </w:t>
      </w:r>
      <w:r w:rsidR="00632A0F">
        <w:rPr>
          <w:rFonts w:ascii="Garamond" w:hAnsi="Garamond" w:cs="Times New Roman"/>
          <w:color w:val="000000"/>
          <w:sz w:val="24"/>
          <w:szCs w:val="24"/>
          <w:lang w:val="sq-AL"/>
          <w14:ligatures w14:val="standardContextual"/>
        </w:rPr>
        <w:t>p</w:t>
      </w:r>
      <w:r w:rsidR="00632A0F" w:rsidRPr="00637CDE">
        <w:rPr>
          <w:rFonts w:ascii="Garamond" w:hAnsi="Garamond" w:cs="Times New Roman"/>
          <w:color w:val="000000"/>
          <w:sz w:val="24"/>
          <w:szCs w:val="24"/>
          <w:lang w:val="sq-AL"/>
          <w14:ligatures w14:val="standardContextual"/>
        </w:rPr>
        <w:t>ërqendrues</w:t>
      </w:r>
      <w:r w:rsidRPr="00637CDE">
        <w:rPr>
          <w:rFonts w:ascii="Garamond" w:hAnsi="Garamond" w:cs="Times New Roman"/>
          <w:color w:val="000000"/>
          <w:sz w:val="24"/>
          <w:szCs w:val="24"/>
          <w:lang w:val="sq-AL"/>
          <w14:ligatures w14:val="standardContextual"/>
        </w:rPr>
        <w:t xml:space="preserve"> me </w:t>
      </w:r>
      <w:proofErr w:type="spellStart"/>
      <w:r w:rsidRPr="00637CDE">
        <w:rPr>
          <w:rFonts w:ascii="Garamond" w:hAnsi="Garamond" w:cs="Times New Roman"/>
          <w:color w:val="000000"/>
          <w:sz w:val="24"/>
          <w:szCs w:val="24"/>
          <w:lang w:val="sq-AL"/>
          <w14:ligatures w14:val="standardContextual"/>
        </w:rPr>
        <w:t>vakuum</w:t>
      </w:r>
      <w:proofErr w:type="spellEnd"/>
      <w:r w:rsidRPr="00637CDE">
        <w:rPr>
          <w:rFonts w:ascii="Garamond" w:hAnsi="Garamond" w:cs="Times New Roman"/>
          <w:color w:val="000000"/>
          <w:sz w:val="24"/>
          <w:szCs w:val="24"/>
          <w:lang w:val="sq-AL"/>
          <w14:ligatures w14:val="standardContextual"/>
        </w:rPr>
        <w:t xml:space="preserve"> (1) .</w:t>
      </w:r>
    </w:p>
    <w:p w14:paraId="72F92107"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7. Aparat për mbushjen dhe mbylljen e kapsulave të forta (2)</w:t>
      </w:r>
    </w:p>
    <w:p w14:paraId="5A750A91"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8. Makinë </w:t>
      </w:r>
      <w:proofErr w:type="spellStart"/>
      <w:r w:rsidRPr="00637CDE">
        <w:rPr>
          <w:rFonts w:ascii="Garamond" w:hAnsi="Garamond" w:cs="Times New Roman"/>
          <w:color w:val="000000"/>
          <w:sz w:val="24"/>
          <w:szCs w:val="24"/>
          <w:lang w:val="sq-AL"/>
          <w14:ligatures w14:val="standardContextual"/>
        </w:rPr>
        <w:t>tabletimi</w:t>
      </w:r>
      <w:proofErr w:type="spellEnd"/>
      <w:r w:rsidRPr="00637CDE">
        <w:rPr>
          <w:rFonts w:ascii="Garamond" w:hAnsi="Garamond" w:cs="Times New Roman"/>
          <w:color w:val="000000"/>
          <w:sz w:val="24"/>
          <w:szCs w:val="24"/>
          <w:lang w:val="sq-AL"/>
          <w14:ligatures w14:val="standardContextual"/>
        </w:rPr>
        <w:t xml:space="preserve"> (3)</w:t>
      </w:r>
    </w:p>
    <w:p w14:paraId="572354C9"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9. Sistem të aspirimit të pluhurit (4).</w:t>
      </w:r>
    </w:p>
    <w:p w14:paraId="0178836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10. Kallëpe metalike ose plastike për </w:t>
      </w:r>
      <w:proofErr w:type="spellStart"/>
      <w:r w:rsidRPr="00637CDE">
        <w:rPr>
          <w:rFonts w:ascii="Garamond" w:hAnsi="Garamond" w:cs="Times New Roman"/>
          <w:color w:val="000000"/>
          <w:sz w:val="24"/>
          <w:szCs w:val="24"/>
          <w:lang w:val="sq-AL"/>
          <w14:ligatures w14:val="standardContextual"/>
        </w:rPr>
        <w:t>ovula</w:t>
      </w:r>
      <w:proofErr w:type="spellEnd"/>
      <w:r w:rsidRPr="00637CDE">
        <w:rPr>
          <w:rFonts w:ascii="Garamond" w:hAnsi="Garamond" w:cs="Times New Roman"/>
          <w:color w:val="000000"/>
          <w:sz w:val="24"/>
          <w:szCs w:val="24"/>
          <w:lang w:val="sq-AL"/>
          <w14:ligatures w14:val="standardContextual"/>
        </w:rPr>
        <w:t xml:space="preserve"> dhe </w:t>
      </w:r>
      <w:proofErr w:type="spellStart"/>
      <w:r w:rsidRPr="00637CDE">
        <w:rPr>
          <w:rFonts w:ascii="Garamond" w:hAnsi="Garamond" w:cs="Times New Roman"/>
          <w:color w:val="000000"/>
          <w:sz w:val="24"/>
          <w:szCs w:val="24"/>
          <w:lang w:val="sq-AL"/>
          <w14:ligatures w14:val="standardContextual"/>
        </w:rPr>
        <w:t>supozitorë</w:t>
      </w:r>
      <w:proofErr w:type="spellEnd"/>
      <w:r w:rsidRPr="00637CDE">
        <w:rPr>
          <w:rFonts w:ascii="Garamond" w:hAnsi="Garamond" w:cs="Times New Roman"/>
          <w:color w:val="000000"/>
          <w:sz w:val="24"/>
          <w:szCs w:val="24"/>
          <w:lang w:val="sq-AL"/>
          <w14:ligatures w14:val="standardContextual"/>
        </w:rPr>
        <w:t xml:space="preserve"> (5).</w:t>
      </w:r>
    </w:p>
    <w:p w14:paraId="0754EA59" w14:textId="16F786FC"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11. Instrumentet dhe pajisjet e nevojshme për të garantuar sterilitetin e preparateve (6)</w:t>
      </w:r>
      <w:r w:rsidR="00632A0F">
        <w:rPr>
          <w:rFonts w:ascii="Garamond" w:hAnsi="Garamond" w:cs="Times New Roman"/>
          <w:color w:val="000000"/>
          <w:sz w:val="24"/>
          <w:szCs w:val="24"/>
          <w:lang w:val="sq-AL"/>
          <w14:ligatures w14:val="standardContextual"/>
        </w:rPr>
        <w:t>.</w:t>
      </w:r>
    </w:p>
    <w:p w14:paraId="5FAEFE18"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Përveç pajisjeve të renditura më sipër, farmacitë duhet të jenë të pajisura me të gjitha pajisjet, enët, materialet, produktet dhe </w:t>
      </w:r>
      <w:proofErr w:type="spellStart"/>
      <w:r w:rsidRPr="00637CDE">
        <w:rPr>
          <w:rFonts w:ascii="Garamond" w:hAnsi="Garamond" w:cs="Times New Roman"/>
          <w:color w:val="000000"/>
          <w:sz w:val="24"/>
          <w:szCs w:val="24"/>
          <w:lang w:val="sq-AL"/>
          <w14:ligatures w14:val="standardContextual"/>
        </w:rPr>
        <w:t>reagentët</w:t>
      </w:r>
      <w:proofErr w:type="spellEnd"/>
      <w:r w:rsidRPr="00637CDE">
        <w:rPr>
          <w:rFonts w:ascii="Garamond" w:hAnsi="Garamond" w:cs="Times New Roman"/>
          <w:color w:val="000000"/>
          <w:sz w:val="24"/>
          <w:szCs w:val="24"/>
          <w:lang w:val="sq-AL"/>
          <w14:ligatures w14:val="standardContextual"/>
        </w:rPr>
        <w:t xml:space="preserve"> e përshtatshëm për numrin dhe natyrën e preparateve të kryera zakonisht dhe me pajisje të përshtatshme për kontrollin e tyre që do të kryhet sipas udhëzimeve të </w:t>
      </w:r>
      <w:proofErr w:type="spellStart"/>
      <w:r w:rsidRPr="00637CDE">
        <w:rPr>
          <w:rFonts w:ascii="Garamond" w:hAnsi="Garamond" w:cs="Times New Roman"/>
          <w:color w:val="000000"/>
          <w:sz w:val="24"/>
          <w:szCs w:val="24"/>
          <w:lang w:val="sq-AL"/>
          <w14:ligatures w14:val="standardContextual"/>
        </w:rPr>
        <w:t>Farmakopesë</w:t>
      </w:r>
      <w:proofErr w:type="spellEnd"/>
      <w:r w:rsidRPr="00637CDE">
        <w:rPr>
          <w:rFonts w:ascii="Garamond" w:hAnsi="Garamond" w:cs="Times New Roman"/>
          <w:color w:val="000000"/>
          <w:sz w:val="24"/>
          <w:szCs w:val="24"/>
          <w:lang w:val="sq-AL"/>
          <w14:ligatures w14:val="standardContextual"/>
        </w:rPr>
        <w:t>.</w:t>
      </w:r>
    </w:p>
    <w:p w14:paraId="5756D90A"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Farmacitë që realizojnë preparate injektuese duhet të pajisen gjithashtu edhe me materialin, me pajisjet dhe aparaturat e domosdoshme për përgatitjen dhe kryerjen e të gjitha kontrolleve të kërkuara nga </w:t>
      </w:r>
      <w:proofErr w:type="spellStart"/>
      <w:r w:rsidRPr="00637CDE">
        <w:rPr>
          <w:rFonts w:ascii="Garamond" w:hAnsi="Garamond" w:cs="Times New Roman"/>
          <w:color w:val="000000"/>
          <w:sz w:val="24"/>
          <w:szCs w:val="24"/>
          <w:lang w:val="sq-AL"/>
          <w14:ligatures w14:val="standardContextual"/>
        </w:rPr>
        <w:t>Farmakopeja</w:t>
      </w:r>
      <w:proofErr w:type="spellEnd"/>
      <w:r w:rsidRPr="00637CDE">
        <w:rPr>
          <w:rFonts w:ascii="Garamond" w:hAnsi="Garamond" w:cs="Times New Roman"/>
          <w:color w:val="000000"/>
          <w:sz w:val="24"/>
          <w:szCs w:val="24"/>
          <w:lang w:val="sq-AL"/>
          <w14:ligatures w14:val="standardContextual"/>
        </w:rPr>
        <w:t xml:space="preserve"> për këtë formë farmaceutike.</w:t>
      </w:r>
    </w:p>
    <w:p w14:paraId="39D12F99"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291BC7B1" w14:textId="635D8D03"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Shënime</w:t>
      </w:r>
      <w:r w:rsidR="00632A0F">
        <w:rPr>
          <w:rFonts w:ascii="Garamond" w:hAnsi="Garamond" w:cs="Times New Roman"/>
          <w:color w:val="000000"/>
          <w:sz w:val="24"/>
          <w:szCs w:val="24"/>
          <w:lang w:val="sq-AL"/>
          <w14:ligatures w14:val="standardContextual"/>
        </w:rPr>
        <w:t>.</w:t>
      </w:r>
    </w:p>
    <w:p w14:paraId="29C8933D"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(1) - E detyrueshme për farmacitë që përgatisin ekstrakte. Duhet të jenë me material dhe madhësi të përshtatshme për vëllimin dhe llojin e përgatitjeve që do të kryhen.</w:t>
      </w:r>
    </w:p>
    <w:p w14:paraId="0EC55F0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 - E detyrueshme për farmacitë që përgatisin kapsula.</w:t>
      </w:r>
    </w:p>
    <w:p w14:paraId="44DA8D05"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 - E detyrueshme për farmacitë që përgatisin tableta.</w:t>
      </w:r>
    </w:p>
    <w:p w14:paraId="0F60C2A0" w14:textId="29A1C634"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(4) - E detyrueshme për farmacitë që përgatisin tableta, kapsula, </w:t>
      </w:r>
      <w:proofErr w:type="spellStart"/>
      <w:r w:rsidRPr="00637CDE">
        <w:rPr>
          <w:rFonts w:ascii="Garamond" w:hAnsi="Garamond" w:cs="Times New Roman"/>
          <w:color w:val="000000"/>
          <w:sz w:val="24"/>
          <w:szCs w:val="24"/>
          <w:lang w:val="sq-AL"/>
          <w14:ligatures w14:val="standardContextual"/>
        </w:rPr>
        <w:t>çaj</w:t>
      </w:r>
      <w:r w:rsidR="00632A0F" w:rsidRPr="00637CDE">
        <w:rPr>
          <w:rFonts w:ascii="Garamond" w:hAnsi="Garamond" w:cs="Times New Roman"/>
          <w:color w:val="000000"/>
          <w:sz w:val="24"/>
          <w:szCs w:val="24"/>
          <w:lang w:val="sq-AL"/>
          <w14:ligatures w14:val="standardContextual"/>
        </w:rPr>
        <w:t>ë</w:t>
      </w:r>
      <w:r w:rsidRPr="00637CDE">
        <w:rPr>
          <w:rFonts w:ascii="Garamond" w:hAnsi="Garamond" w:cs="Times New Roman"/>
          <w:color w:val="000000"/>
          <w:sz w:val="24"/>
          <w:szCs w:val="24"/>
          <w:lang w:val="sq-AL"/>
          <w14:ligatures w14:val="standardContextual"/>
        </w:rPr>
        <w:t>ra</w:t>
      </w:r>
      <w:proofErr w:type="spellEnd"/>
      <w:r w:rsidRPr="00637CDE">
        <w:rPr>
          <w:rFonts w:ascii="Garamond" w:hAnsi="Garamond" w:cs="Times New Roman"/>
          <w:color w:val="000000"/>
          <w:sz w:val="24"/>
          <w:szCs w:val="24"/>
          <w:lang w:val="sq-AL"/>
          <w14:ligatures w14:val="standardContextual"/>
        </w:rPr>
        <w:t xml:space="preserve"> bimorë ose </w:t>
      </w:r>
      <w:proofErr w:type="spellStart"/>
      <w:r w:rsidRPr="00637CDE">
        <w:rPr>
          <w:rFonts w:ascii="Garamond" w:hAnsi="Garamond" w:cs="Times New Roman"/>
          <w:color w:val="000000"/>
          <w:sz w:val="24"/>
          <w:szCs w:val="24"/>
          <w:lang w:val="sq-AL"/>
          <w14:ligatures w14:val="standardContextual"/>
        </w:rPr>
        <w:t>bustina</w:t>
      </w:r>
      <w:proofErr w:type="spellEnd"/>
      <w:r w:rsidRPr="00637CDE">
        <w:rPr>
          <w:rFonts w:ascii="Garamond" w:hAnsi="Garamond" w:cs="Times New Roman"/>
          <w:color w:val="000000"/>
          <w:sz w:val="24"/>
          <w:szCs w:val="24"/>
          <w:lang w:val="sq-AL"/>
          <w14:ligatures w14:val="standardContextual"/>
        </w:rPr>
        <w:t>.</w:t>
      </w:r>
    </w:p>
    <w:p w14:paraId="0E17246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 xml:space="preserve">(5) - E detyrueshme për farmacitë që përgatisin </w:t>
      </w:r>
      <w:proofErr w:type="spellStart"/>
      <w:r w:rsidRPr="00637CDE">
        <w:rPr>
          <w:rFonts w:ascii="Garamond" w:hAnsi="Garamond" w:cs="Times New Roman"/>
          <w:color w:val="000000"/>
          <w:sz w:val="24"/>
          <w:szCs w:val="24"/>
          <w:lang w:val="sq-AL"/>
          <w14:ligatures w14:val="standardContextual"/>
        </w:rPr>
        <w:t>supozitorë</w:t>
      </w:r>
      <w:proofErr w:type="spellEnd"/>
      <w:r w:rsidRPr="00637CDE">
        <w:rPr>
          <w:rFonts w:ascii="Garamond" w:hAnsi="Garamond" w:cs="Times New Roman"/>
          <w:color w:val="000000"/>
          <w:sz w:val="24"/>
          <w:szCs w:val="24"/>
          <w:lang w:val="sq-AL"/>
          <w14:ligatures w14:val="standardContextual"/>
        </w:rPr>
        <w:t xml:space="preserve"> dhe/ose </w:t>
      </w:r>
      <w:proofErr w:type="spellStart"/>
      <w:r w:rsidRPr="00637CDE">
        <w:rPr>
          <w:rFonts w:ascii="Garamond" w:hAnsi="Garamond" w:cs="Times New Roman"/>
          <w:color w:val="000000"/>
          <w:sz w:val="24"/>
          <w:szCs w:val="24"/>
          <w:lang w:val="sq-AL"/>
          <w14:ligatures w14:val="standardContextual"/>
        </w:rPr>
        <w:t>ovula</w:t>
      </w:r>
      <w:proofErr w:type="spellEnd"/>
      <w:r w:rsidRPr="00637CDE">
        <w:rPr>
          <w:rFonts w:ascii="Garamond" w:hAnsi="Garamond" w:cs="Times New Roman"/>
          <w:color w:val="000000"/>
          <w:sz w:val="24"/>
          <w:szCs w:val="24"/>
          <w:lang w:val="sq-AL"/>
          <w14:ligatures w14:val="standardContextual"/>
        </w:rPr>
        <w:t>.</w:t>
      </w:r>
    </w:p>
    <w:p w14:paraId="28DB762E"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(6) - Për farmacitë që realizojnë preparate sterile.</w:t>
      </w:r>
    </w:p>
    <w:p w14:paraId="39196CE4"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p>
    <w:p w14:paraId="06518D7E" w14:textId="503C6C74" w:rsidR="005D447A" w:rsidRPr="00632A0F" w:rsidRDefault="005D447A" w:rsidP="00632A0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2A0F">
        <w:rPr>
          <w:rFonts w:ascii="Garamond" w:hAnsi="Garamond" w:cs="Times New Roman"/>
          <w:bCs/>
          <w:color w:val="000000"/>
          <w:sz w:val="24"/>
          <w:szCs w:val="24"/>
          <w:lang w:val="sq-AL"/>
          <w14:ligatures w14:val="standardContextual"/>
        </w:rPr>
        <w:t>SHTOJCA 2</w:t>
      </w:r>
    </w:p>
    <w:p w14:paraId="01ADD8E5" w14:textId="77777777" w:rsidR="005D447A" w:rsidRPr="00632A0F" w:rsidRDefault="005D447A" w:rsidP="00632A0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632A0F">
        <w:rPr>
          <w:rFonts w:ascii="Garamond" w:hAnsi="Garamond" w:cs="Times New Roman"/>
          <w:bCs/>
          <w:color w:val="000000"/>
          <w:sz w:val="24"/>
          <w:szCs w:val="24"/>
          <w:lang w:val="sq-AL"/>
          <w14:ligatures w14:val="standardContextual"/>
        </w:rPr>
        <w:t>FLETË PUNE</w:t>
      </w:r>
    </w:p>
    <w:p w14:paraId="5B6C5F04" w14:textId="77777777" w:rsidR="00632A0F" w:rsidRPr="00632A0F" w:rsidRDefault="00632A0F" w:rsidP="00632A0F">
      <w:pPr>
        <w:autoSpaceDE w:val="0"/>
        <w:autoSpaceDN w:val="0"/>
        <w:adjustRightInd w:val="0"/>
        <w:spacing w:after="0" w:line="240" w:lineRule="auto"/>
        <w:ind w:firstLine="284"/>
        <w:jc w:val="center"/>
        <w:rPr>
          <w:rFonts w:ascii="Garamond" w:hAnsi="Garamond" w:cs="Times New Roman"/>
          <w:color w:val="000000"/>
          <w:sz w:val="24"/>
          <w:szCs w:val="24"/>
          <w:lang w:val="sq-AL"/>
          <w14:ligatures w14:val="standardContextual"/>
        </w:rPr>
      </w:pPr>
    </w:p>
    <w:p w14:paraId="05666C90" w14:textId="3E3D943B"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Emri i përgatesës</w:t>
      </w:r>
    </w:p>
    <w:p w14:paraId="455F799A"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7AC8D6A2" w14:textId="1F733CFF" w:rsidR="005D447A" w:rsidRPr="00632A0F" w:rsidRDefault="005D447A" w:rsidP="005D447A">
      <w:pPr>
        <w:autoSpaceDE w:val="0"/>
        <w:autoSpaceDN w:val="0"/>
        <w:adjustRightInd w:val="0"/>
        <w:spacing w:after="0" w:line="240" w:lineRule="auto"/>
        <w:ind w:firstLine="284"/>
        <w:jc w:val="both"/>
        <w:rPr>
          <w:rFonts w:ascii="Garamond" w:hAnsi="Garamond" w:cs="Times New Roman"/>
          <w:i/>
          <w:color w:val="000000"/>
          <w:sz w:val="24"/>
          <w:szCs w:val="24"/>
          <w:lang w:val="sq-AL"/>
          <w14:ligatures w14:val="standardContextual"/>
        </w:rPr>
      </w:pPr>
      <w:r w:rsidRPr="00632A0F">
        <w:rPr>
          <w:rFonts w:ascii="Garamond" w:hAnsi="Garamond" w:cs="Times New Roman"/>
          <w:i/>
          <w:color w:val="000000"/>
          <w:sz w:val="24"/>
          <w:szCs w:val="24"/>
          <w:lang w:val="sq-AL"/>
          <w14:ligatures w14:val="standardContextual"/>
        </w:rPr>
        <w:t>Data                                    Numri progresiv</w:t>
      </w:r>
    </w:p>
    <w:p w14:paraId="05DF03A2" w14:textId="77777777" w:rsidR="005D447A" w:rsidRPr="00632A0F" w:rsidRDefault="005D447A" w:rsidP="005D447A">
      <w:pPr>
        <w:autoSpaceDE w:val="0"/>
        <w:autoSpaceDN w:val="0"/>
        <w:adjustRightInd w:val="0"/>
        <w:spacing w:after="0" w:line="240" w:lineRule="auto"/>
        <w:ind w:firstLine="284"/>
        <w:jc w:val="both"/>
        <w:rPr>
          <w:rFonts w:ascii="Garamond" w:hAnsi="Garamond" w:cs="Times New Roman"/>
          <w:i/>
          <w:color w:val="000000"/>
          <w:sz w:val="24"/>
          <w:szCs w:val="24"/>
          <w:lang w:val="sq-AL"/>
          <w14:ligatures w14:val="standardContextual"/>
        </w:rPr>
      </w:pPr>
      <w:r w:rsidRPr="00632A0F">
        <w:rPr>
          <w:rFonts w:ascii="Garamond" w:hAnsi="Garamond" w:cs="Times New Roman"/>
          <w:i/>
          <w:color w:val="000000"/>
          <w:sz w:val="24"/>
          <w:szCs w:val="24"/>
          <w:lang w:val="sq-AL"/>
          <w14:ligatures w14:val="standardContextual"/>
        </w:rPr>
        <w:t>Sasia totale e përgatitur</w:t>
      </w:r>
    </w:p>
    <w:p w14:paraId="579B1E37" w14:textId="4A16B15E" w:rsidR="005D447A" w:rsidRPr="00632A0F" w:rsidRDefault="005D447A" w:rsidP="005D447A">
      <w:pPr>
        <w:autoSpaceDE w:val="0"/>
        <w:autoSpaceDN w:val="0"/>
        <w:adjustRightInd w:val="0"/>
        <w:spacing w:after="0" w:line="240" w:lineRule="auto"/>
        <w:ind w:firstLine="284"/>
        <w:jc w:val="both"/>
        <w:rPr>
          <w:rFonts w:ascii="Garamond" w:hAnsi="Garamond" w:cs="Times New Roman"/>
          <w:i/>
          <w:color w:val="000000"/>
          <w:sz w:val="24"/>
          <w:szCs w:val="24"/>
          <w:lang w:val="sq-AL"/>
          <w14:ligatures w14:val="standardContextual"/>
        </w:rPr>
      </w:pPr>
      <w:r w:rsidRPr="00632A0F">
        <w:rPr>
          <w:rFonts w:ascii="Garamond" w:hAnsi="Garamond" w:cs="Times New Roman"/>
          <w:i/>
          <w:color w:val="000000"/>
          <w:sz w:val="24"/>
          <w:szCs w:val="24"/>
          <w:lang w:val="sq-AL"/>
          <w14:ligatures w14:val="standardContextual"/>
        </w:rPr>
        <w:t>Lëndët                                 Sasia</w:t>
      </w:r>
    </w:p>
    <w:p w14:paraId="74E2FEF1"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1.</w:t>
      </w:r>
    </w:p>
    <w:p w14:paraId="435B5105"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2.</w:t>
      </w:r>
    </w:p>
    <w:p w14:paraId="21401532"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3.</w:t>
      </w:r>
    </w:p>
    <w:p w14:paraId="3279D39D"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4.</w:t>
      </w:r>
    </w:p>
    <w:p w14:paraId="06B80D93"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5.</w:t>
      </w:r>
    </w:p>
    <w:p w14:paraId="5DED6437"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6.</w:t>
      </w:r>
    </w:p>
    <w:p w14:paraId="772A8B70"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7.</w:t>
      </w:r>
    </w:p>
    <w:p w14:paraId="36343263"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lastRenderedPageBreak/>
        <w:t>8.</w:t>
      </w:r>
    </w:p>
    <w:p w14:paraId="0B7DCC9F" w14:textId="77777777" w:rsidR="005D447A" w:rsidRPr="00632A0F" w:rsidRDefault="005D447A" w:rsidP="005D447A">
      <w:pPr>
        <w:autoSpaceDE w:val="0"/>
        <w:autoSpaceDN w:val="0"/>
        <w:adjustRightInd w:val="0"/>
        <w:spacing w:after="0" w:line="240" w:lineRule="auto"/>
        <w:ind w:firstLine="284"/>
        <w:jc w:val="both"/>
        <w:rPr>
          <w:rFonts w:ascii="Garamond" w:hAnsi="Garamond" w:cs="Times New Roman"/>
          <w:i/>
          <w:color w:val="000000"/>
          <w:sz w:val="24"/>
          <w:szCs w:val="24"/>
          <w:lang w:val="sq-AL"/>
          <w14:ligatures w14:val="standardContextual"/>
        </w:rPr>
      </w:pPr>
      <w:r w:rsidRPr="00632A0F">
        <w:rPr>
          <w:rFonts w:ascii="Garamond" w:hAnsi="Garamond" w:cs="Times New Roman"/>
          <w:i/>
          <w:color w:val="000000"/>
          <w:sz w:val="24"/>
          <w:szCs w:val="24"/>
          <w:lang w:val="sq-AL"/>
          <w14:ligatures w14:val="standardContextual"/>
        </w:rPr>
        <w:t xml:space="preserve">Periudha e vlefshmërisë </w:t>
      </w:r>
    </w:p>
    <w:p w14:paraId="741F9C44"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7BBAD8DB" w14:textId="77777777" w:rsidR="005D447A" w:rsidRPr="00637CDE" w:rsidRDefault="005D447A" w:rsidP="005D447A">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637CDE">
        <w:rPr>
          <w:rFonts w:ascii="Garamond" w:hAnsi="Garamond" w:cs="Times New Roman"/>
          <w:color w:val="000000"/>
          <w:sz w:val="24"/>
          <w:szCs w:val="24"/>
          <w:lang w:val="sq-AL"/>
          <w14:ligatures w14:val="standardContextual"/>
        </w:rPr>
        <w:t>Nënshkrimi i farmacistit përgatitës ose nënshkrimi i farmacistit përgatitës dhe i drejtuesit teknik të farmacisë kur janë dy persona.</w:t>
      </w:r>
    </w:p>
    <w:p w14:paraId="17FD16CC" w14:textId="714886A6" w:rsidR="00235189" w:rsidRPr="00637CDE" w:rsidRDefault="00235189" w:rsidP="005D447A">
      <w:pPr>
        <w:spacing w:after="0" w:line="240" w:lineRule="auto"/>
        <w:ind w:firstLine="284"/>
        <w:rPr>
          <w:rFonts w:ascii="Garamond" w:hAnsi="Garamond"/>
          <w:sz w:val="24"/>
          <w:szCs w:val="24"/>
          <w:lang w:val="sq-AL"/>
        </w:rPr>
      </w:pPr>
    </w:p>
    <w:sectPr w:rsidR="00235189" w:rsidRPr="00637CDE" w:rsidSect="00637CD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4DC8D" w14:textId="77777777" w:rsidR="00637CDE" w:rsidRDefault="00637CDE" w:rsidP="00F20C10">
      <w:pPr>
        <w:spacing w:after="0" w:line="240" w:lineRule="auto"/>
      </w:pPr>
      <w:r>
        <w:separator/>
      </w:r>
    </w:p>
  </w:endnote>
  <w:endnote w:type="continuationSeparator" w:id="0">
    <w:p w14:paraId="2DA4CC8F" w14:textId="77777777" w:rsidR="00637CDE" w:rsidRDefault="00637CDE" w:rsidP="00F20C10">
      <w:pPr>
        <w:spacing w:after="0" w:line="240" w:lineRule="auto"/>
      </w:pPr>
      <w:r>
        <w:continuationSeparator/>
      </w:r>
    </w:p>
  </w:endnote>
  <w:endnote w:type="continuationNotice" w:id="1">
    <w:p w14:paraId="3D85E377" w14:textId="77777777" w:rsidR="00637CDE" w:rsidRDefault="00637C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97E15" w14:textId="77777777" w:rsidR="00637CDE" w:rsidRDefault="00637CDE" w:rsidP="00F20C10">
      <w:pPr>
        <w:spacing w:after="0" w:line="240" w:lineRule="auto"/>
      </w:pPr>
      <w:r>
        <w:separator/>
      </w:r>
    </w:p>
  </w:footnote>
  <w:footnote w:type="continuationSeparator" w:id="0">
    <w:p w14:paraId="6AFC0730" w14:textId="77777777" w:rsidR="00637CDE" w:rsidRDefault="00637CDE" w:rsidP="00F20C10">
      <w:pPr>
        <w:spacing w:after="0" w:line="240" w:lineRule="auto"/>
      </w:pPr>
      <w:r>
        <w:continuationSeparator/>
      </w:r>
    </w:p>
  </w:footnote>
  <w:footnote w:type="continuationNotice" w:id="1">
    <w:p w14:paraId="375B38F4" w14:textId="77777777" w:rsidR="00637CDE" w:rsidRDefault="00637C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458B"/>
    <w:multiLevelType w:val="hybridMultilevel"/>
    <w:tmpl w:val="F72E30B8"/>
    <w:lvl w:ilvl="0" w:tplc="360011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B3C50"/>
    <w:multiLevelType w:val="hybridMultilevel"/>
    <w:tmpl w:val="287CAB2E"/>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3A2B6B"/>
    <w:multiLevelType w:val="hybridMultilevel"/>
    <w:tmpl w:val="9D7066F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7562AC"/>
    <w:multiLevelType w:val="hybridMultilevel"/>
    <w:tmpl w:val="F4B6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9703A"/>
    <w:multiLevelType w:val="hybridMultilevel"/>
    <w:tmpl w:val="B5147724"/>
    <w:lvl w:ilvl="0" w:tplc="1D747212">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55575B"/>
    <w:multiLevelType w:val="hybridMultilevel"/>
    <w:tmpl w:val="F392A9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E2DEE"/>
    <w:multiLevelType w:val="hybridMultilevel"/>
    <w:tmpl w:val="434AE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A660B"/>
    <w:multiLevelType w:val="hybridMultilevel"/>
    <w:tmpl w:val="1754651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9644760"/>
    <w:multiLevelType w:val="hybridMultilevel"/>
    <w:tmpl w:val="F67C9B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DE4158"/>
    <w:multiLevelType w:val="hybridMultilevel"/>
    <w:tmpl w:val="2FC4F502"/>
    <w:lvl w:ilvl="0" w:tplc="B6A671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314005"/>
    <w:multiLevelType w:val="hybridMultilevel"/>
    <w:tmpl w:val="9476FBE0"/>
    <w:lvl w:ilvl="0" w:tplc="7E7AA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9581F"/>
    <w:multiLevelType w:val="hybridMultilevel"/>
    <w:tmpl w:val="C3A2D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A1C5E"/>
    <w:multiLevelType w:val="hybridMultilevel"/>
    <w:tmpl w:val="DF823E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A0242AE"/>
    <w:multiLevelType w:val="hybridMultilevel"/>
    <w:tmpl w:val="0CCAE6B0"/>
    <w:lvl w:ilvl="0" w:tplc="521EB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2B4C0A"/>
    <w:multiLevelType w:val="hybridMultilevel"/>
    <w:tmpl w:val="E026CB30"/>
    <w:lvl w:ilvl="0" w:tplc="0409001B">
      <w:start w:val="1"/>
      <w:numFmt w:val="lowerRoman"/>
      <w:lvlText w:val="%1."/>
      <w:lvlJc w:val="right"/>
      <w:pPr>
        <w:ind w:left="2201" w:hanging="360"/>
      </w:pPr>
    </w:lvl>
    <w:lvl w:ilvl="1" w:tplc="04090019" w:tentative="1">
      <w:start w:val="1"/>
      <w:numFmt w:val="lowerLetter"/>
      <w:lvlText w:val="%2."/>
      <w:lvlJc w:val="left"/>
      <w:pPr>
        <w:ind w:left="2921" w:hanging="360"/>
      </w:pPr>
    </w:lvl>
    <w:lvl w:ilvl="2" w:tplc="0409001B" w:tentative="1">
      <w:start w:val="1"/>
      <w:numFmt w:val="lowerRoman"/>
      <w:lvlText w:val="%3."/>
      <w:lvlJc w:val="right"/>
      <w:pPr>
        <w:ind w:left="3641" w:hanging="180"/>
      </w:pPr>
    </w:lvl>
    <w:lvl w:ilvl="3" w:tplc="0409000F" w:tentative="1">
      <w:start w:val="1"/>
      <w:numFmt w:val="decimal"/>
      <w:lvlText w:val="%4."/>
      <w:lvlJc w:val="left"/>
      <w:pPr>
        <w:ind w:left="4361" w:hanging="360"/>
      </w:pPr>
    </w:lvl>
    <w:lvl w:ilvl="4" w:tplc="04090019" w:tentative="1">
      <w:start w:val="1"/>
      <w:numFmt w:val="lowerLetter"/>
      <w:lvlText w:val="%5."/>
      <w:lvlJc w:val="left"/>
      <w:pPr>
        <w:ind w:left="5081" w:hanging="360"/>
      </w:pPr>
    </w:lvl>
    <w:lvl w:ilvl="5" w:tplc="0409001B" w:tentative="1">
      <w:start w:val="1"/>
      <w:numFmt w:val="lowerRoman"/>
      <w:lvlText w:val="%6."/>
      <w:lvlJc w:val="right"/>
      <w:pPr>
        <w:ind w:left="5801" w:hanging="180"/>
      </w:pPr>
    </w:lvl>
    <w:lvl w:ilvl="6" w:tplc="0409000F" w:tentative="1">
      <w:start w:val="1"/>
      <w:numFmt w:val="decimal"/>
      <w:lvlText w:val="%7."/>
      <w:lvlJc w:val="left"/>
      <w:pPr>
        <w:ind w:left="6521" w:hanging="360"/>
      </w:pPr>
    </w:lvl>
    <w:lvl w:ilvl="7" w:tplc="04090019" w:tentative="1">
      <w:start w:val="1"/>
      <w:numFmt w:val="lowerLetter"/>
      <w:lvlText w:val="%8."/>
      <w:lvlJc w:val="left"/>
      <w:pPr>
        <w:ind w:left="7241" w:hanging="360"/>
      </w:pPr>
    </w:lvl>
    <w:lvl w:ilvl="8" w:tplc="0409001B" w:tentative="1">
      <w:start w:val="1"/>
      <w:numFmt w:val="lowerRoman"/>
      <w:lvlText w:val="%9."/>
      <w:lvlJc w:val="right"/>
      <w:pPr>
        <w:ind w:left="7961" w:hanging="180"/>
      </w:pPr>
    </w:lvl>
  </w:abstractNum>
  <w:abstractNum w:abstractNumId="15" w15:restartNumberingAfterBreak="0">
    <w:nsid w:val="3FA44891"/>
    <w:multiLevelType w:val="hybridMultilevel"/>
    <w:tmpl w:val="4524C3B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E3D40CC"/>
    <w:multiLevelType w:val="hybridMultilevel"/>
    <w:tmpl w:val="074C50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3A77D3E"/>
    <w:multiLevelType w:val="hybridMultilevel"/>
    <w:tmpl w:val="05E69534"/>
    <w:lvl w:ilvl="0" w:tplc="04090017">
      <w:start w:val="1"/>
      <w:numFmt w:val="lowerLetter"/>
      <w:lvlText w:val="%1)"/>
      <w:lvlJc w:val="left"/>
      <w:pPr>
        <w:ind w:left="761" w:hanging="360"/>
      </w:pPr>
      <w:rPr>
        <w:rFonts w:hint="default"/>
      </w:rPr>
    </w:lvl>
    <w:lvl w:ilvl="1" w:tplc="FFFFFFFF" w:tentative="1">
      <w:start w:val="1"/>
      <w:numFmt w:val="bullet"/>
      <w:lvlText w:val="o"/>
      <w:lvlJc w:val="left"/>
      <w:pPr>
        <w:ind w:left="1481" w:hanging="360"/>
      </w:pPr>
      <w:rPr>
        <w:rFonts w:ascii="Courier New" w:hAnsi="Courier New" w:cs="Courier New" w:hint="default"/>
      </w:rPr>
    </w:lvl>
    <w:lvl w:ilvl="2" w:tplc="FFFFFFFF" w:tentative="1">
      <w:start w:val="1"/>
      <w:numFmt w:val="bullet"/>
      <w:lvlText w:val=""/>
      <w:lvlJc w:val="left"/>
      <w:pPr>
        <w:ind w:left="2201" w:hanging="360"/>
      </w:pPr>
      <w:rPr>
        <w:rFonts w:ascii="Wingdings" w:hAnsi="Wingdings" w:hint="default"/>
      </w:rPr>
    </w:lvl>
    <w:lvl w:ilvl="3" w:tplc="FFFFFFFF" w:tentative="1">
      <w:start w:val="1"/>
      <w:numFmt w:val="bullet"/>
      <w:lvlText w:val=""/>
      <w:lvlJc w:val="left"/>
      <w:pPr>
        <w:ind w:left="2921" w:hanging="360"/>
      </w:pPr>
      <w:rPr>
        <w:rFonts w:ascii="Symbol" w:hAnsi="Symbol" w:hint="default"/>
      </w:rPr>
    </w:lvl>
    <w:lvl w:ilvl="4" w:tplc="FFFFFFFF" w:tentative="1">
      <w:start w:val="1"/>
      <w:numFmt w:val="bullet"/>
      <w:lvlText w:val="o"/>
      <w:lvlJc w:val="left"/>
      <w:pPr>
        <w:ind w:left="3641" w:hanging="360"/>
      </w:pPr>
      <w:rPr>
        <w:rFonts w:ascii="Courier New" w:hAnsi="Courier New" w:cs="Courier New" w:hint="default"/>
      </w:rPr>
    </w:lvl>
    <w:lvl w:ilvl="5" w:tplc="FFFFFFFF" w:tentative="1">
      <w:start w:val="1"/>
      <w:numFmt w:val="bullet"/>
      <w:lvlText w:val=""/>
      <w:lvlJc w:val="left"/>
      <w:pPr>
        <w:ind w:left="4361" w:hanging="360"/>
      </w:pPr>
      <w:rPr>
        <w:rFonts w:ascii="Wingdings" w:hAnsi="Wingdings" w:hint="default"/>
      </w:rPr>
    </w:lvl>
    <w:lvl w:ilvl="6" w:tplc="FFFFFFFF" w:tentative="1">
      <w:start w:val="1"/>
      <w:numFmt w:val="bullet"/>
      <w:lvlText w:val=""/>
      <w:lvlJc w:val="left"/>
      <w:pPr>
        <w:ind w:left="5081" w:hanging="360"/>
      </w:pPr>
      <w:rPr>
        <w:rFonts w:ascii="Symbol" w:hAnsi="Symbol" w:hint="default"/>
      </w:rPr>
    </w:lvl>
    <w:lvl w:ilvl="7" w:tplc="FFFFFFFF" w:tentative="1">
      <w:start w:val="1"/>
      <w:numFmt w:val="bullet"/>
      <w:lvlText w:val="o"/>
      <w:lvlJc w:val="left"/>
      <w:pPr>
        <w:ind w:left="5801" w:hanging="360"/>
      </w:pPr>
      <w:rPr>
        <w:rFonts w:ascii="Courier New" w:hAnsi="Courier New" w:cs="Courier New" w:hint="default"/>
      </w:rPr>
    </w:lvl>
    <w:lvl w:ilvl="8" w:tplc="FFFFFFFF" w:tentative="1">
      <w:start w:val="1"/>
      <w:numFmt w:val="bullet"/>
      <w:lvlText w:val=""/>
      <w:lvlJc w:val="left"/>
      <w:pPr>
        <w:ind w:left="6521" w:hanging="360"/>
      </w:pPr>
      <w:rPr>
        <w:rFonts w:ascii="Wingdings" w:hAnsi="Wingdings" w:hint="default"/>
      </w:rPr>
    </w:lvl>
  </w:abstractNum>
  <w:abstractNum w:abstractNumId="18" w15:restartNumberingAfterBreak="0">
    <w:nsid w:val="5E454E0B"/>
    <w:multiLevelType w:val="hybridMultilevel"/>
    <w:tmpl w:val="9AB0B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6F76A2"/>
    <w:multiLevelType w:val="hybridMultilevel"/>
    <w:tmpl w:val="24DC917A"/>
    <w:lvl w:ilvl="0" w:tplc="8AAA2718">
      <w:start w:val="20"/>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0" w15:restartNumberingAfterBreak="0">
    <w:nsid w:val="64B36DE9"/>
    <w:multiLevelType w:val="hybridMultilevel"/>
    <w:tmpl w:val="13D42308"/>
    <w:lvl w:ilvl="0" w:tplc="04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1" w15:restartNumberingAfterBreak="0">
    <w:nsid w:val="66E640CE"/>
    <w:multiLevelType w:val="hybridMultilevel"/>
    <w:tmpl w:val="BD40DD3C"/>
    <w:lvl w:ilvl="0" w:tplc="8D0C9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9F1925"/>
    <w:multiLevelType w:val="hybridMultilevel"/>
    <w:tmpl w:val="FE14CFBE"/>
    <w:lvl w:ilvl="0" w:tplc="C13A887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C233BA"/>
    <w:multiLevelType w:val="hybridMultilevel"/>
    <w:tmpl w:val="C5861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E16D1"/>
    <w:multiLevelType w:val="hybridMultilevel"/>
    <w:tmpl w:val="2D6856B6"/>
    <w:lvl w:ilvl="0" w:tplc="14CE7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8D20D0"/>
    <w:multiLevelType w:val="hybridMultilevel"/>
    <w:tmpl w:val="F8D0DAC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D5457AD"/>
    <w:multiLevelType w:val="hybridMultilevel"/>
    <w:tmpl w:val="B35437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8"/>
  </w:num>
  <w:num w:numId="3">
    <w:abstractNumId w:val="11"/>
  </w:num>
  <w:num w:numId="4">
    <w:abstractNumId w:val="26"/>
  </w:num>
  <w:num w:numId="5">
    <w:abstractNumId w:val="0"/>
  </w:num>
  <w:num w:numId="6">
    <w:abstractNumId w:val="4"/>
  </w:num>
  <w:num w:numId="7">
    <w:abstractNumId w:val="25"/>
  </w:num>
  <w:num w:numId="8">
    <w:abstractNumId w:val="21"/>
  </w:num>
  <w:num w:numId="9">
    <w:abstractNumId w:val="22"/>
  </w:num>
  <w:num w:numId="10">
    <w:abstractNumId w:val="9"/>
  </w:num>
  <w:num w:numId="11">
    <w:abstractNumId w:val="6"/>
  </w:num>
  <w:num w:numId="12">
    <w:abstractNumId w:val="17"/>
  </w:num>
  <w:num w:numId="13">
    <w:abstractNumId w:val="10"/>
  </w:num>
  <w:num w:numId="14">
    <w:abstractNumId w:val="1"/>
  </w:num>
  <w:num w:numId="15">
    <w:abstractNumId w:val="23"/>
  </w:num>
  <w:num w:numId="16">
    <w:abstractNumId w:val="24"/>
  </w:num>
  <w:num w:numId="17">
    <w:abstractNumId w:val="20"/>
  </w:num>
  <w:num w:numId="18">
    <w:abstractNumId w:val="19"/>
  </w:num>
  <w:num w:numId="19">
    <w:abstractNumId w:val="13"/>
  </w:num>
  <w:num w:numId="20">
    <w:abstractNumId w:val="2"/>
  </w:num>
  <w:num w:numId="21">
    <w:abstractNumId w:val="8"/>
  </w:num>
  <w:num w:numId="22">
    <w:abstractNumId w:val="16"/>
  </w:num>
  <w:num w:numId="23">
    <w:abstractNumId w:val="5"/>
  </w:num>
  <w:num w:numId="24">
    <w:abstractNumId w:val="12"/>
  </w:num>
  <w:num w:numId="25">
    <w:abstractNumId w:val="7"/>
  </w:num>
  <w:num w:numId="26">
    <w:abstractNumId w:val="14"/>
  </w:num>
  <w:num w:numId="27">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C10"/>
    <w:rsid w:val="00020F4F"/>
    <w:rsid w:val="00054545"/>
    <w:rsid w:val="00082FB6"/>
    <w:rsid w:val="000C2E10"/>
    <w:rsid w:val="0011146F"/>
    <w:rsid w:val="00114312"/>
    <w:rsid w:val="00121235"/>
    <w:rsid w:val="0013071E"/>
    <w:rsid w:val="00134FD3"/>
    <w:rsid w:val="00150C50"/>
    <w:rsid w:val="00165654"/>
    <w:rsid w:val="00183B32"/>
    <w:rsid w:val="001A2838"/>
    <w:rsid w:val="001B1F73"/>
    <w:rsid w:val="001E1C4E"/>
    <w:rsid w:val="001E3E8D"/>
    <w:rsid w:val="001E5378"/>
    <w:rsid w:val="00206AFB"/>
    <w:rsid w:val="00235189"/>
    <w:rsid w:val="002428AC"/>
    <w:rsid w:val="00290632"/>
    <w:rsid w:val="002B3797"/>
    <w:rsid w:val="002E7495"/>
    <w:rsid w:val="002F37D6"/>
    <w:rsid w:val="002F3B1A"/>
    <w:rsid w:val="0030295C"/>
    <w:rsid w:val="0031471E"/>
    <w:rsid w:val="0032245D"/>
    <w:rsid w:val="003240D9"/>
    <w:rsid w:val="0032468A"/>
    <w:rsid w:val="003261B9"/>
    <w:rsid w:val="00326CCC"/>
    <w:rsid w:val="003A2352"/>
    <w:rsid w:val="003B3280"/>
    <w:rsid w:val="003D22FF"/>
    <w:rsid w:val="003F3E6D"/>
    <w:rsid w:val="003F4F1B"/>
    <w:rsid w:val="00424AB8"/>
    <w:rsid w:val="004261D4"/>
    <w:rsid w:val="00450A10"/>
    <w:rsid w:val="00470E78"/>
    <w:rsid w:val="00485A86"/>
    <w:rsid w:val="004B6C7B"/>
    <w:rsid w:val="004C5519"/>
    <w:rsid w:val="0050662E"/>
    <w:rsid w:val="00533568"/>
    <w:rsid w:val="00533A88"/>
    <w:rsid w:val="00557335"/>
    <w:rsid w:val="00557FBF"/>
    <w:rsid w:val="00563356"/>
    <w:rsid w:val="0056615F"/>
    <w:rsid w:val="005B59DF"/>
    <w:rsid w:val="005C0B22"/>
    <w:rsid w:val="005D447A"/>
    <w:rsid w:val="0060586F"/>
    <w:rsid w:val="00632A0F"/>
    <w:rsid w:val="00635C40"/>
    <w:rsid w:val="00637CDE"/>
    <w:rsid w:val="00640EF6"/>
    <w:rsid w:val="00695712"/>
    <w:rsid w:val="006D2DD1"/>
    <w:rsid w:val="006E2624"/>
    <w:rsid w:val="006F7B60"/>
    <w:rsid w:val="0070406D"/>
    <w:rsid w:val="00710D19"/>
    <w:rsid w:val="00751AE5"/>
    <w:rsid w:val="00753472"/>
    <w:rsid w:val="00753E06"/>
    <w:rsid w:val="00777516"/>
    <w:rsid w:val="007A0BEE"/>
    <w:rsid w:val="007E0D03"/>
    <w:rsid w:val="007F534B"/>
    <w:rsid w:val="00823077"/>
    <w:rsid w:val="00862FD5"/>
    <w:rsid w:val="00865DA4"/>
    <w:rsid w:val="008A7C35"/>
    <w:rsid w:val="008D1BDA"/>
    <w:rsid w:val="00913F38"/>
    <w:rsid w:val="009179A1"/>
    <w:rsid w:val="009C04E0"/>
    <w:rsid w:val="009C10F4"/>
    <w:rsid w:val="009D7534"/>
    <w:rsid w:val="009F04B1"/>
    <w:rsid w:val="009F668E"/>
    <w:rsid w:val="00A1797C"/>
    <w:rsid w:val="00A35E07"/>
    <w:rsid w:val="00A701AB"/>
    <w:rsid w:val="00AA2B88"/>
    <w:rsid w:val="00AA4E9D"/>
    <w:rsid w:val="00AB3AF3"/>
    <w:rsid w:val="00AC7E0C"/>
    <w:rsid w:val="00AE2090"/>
    <w:rsid w:val="00B3187F"/>
    <w:rsid w:val="00B453F0"/>
    <w:rsid w:val="00B52215"/>
    <w:rsid w:val="00B5691D"/>
    <w:rsid w:val="00B8721F"/>
    <w:rsid w:val="00BE7212"/>
    <w:rsid w:val="00C10B59"/>
    <w:rsid w:val="00C25A7A"/>
    <w:rsid w:val="00C50A9E"/>
    <w:rsid w:val="00CE1B84"/>
    <w:rsid w:val="00D32F1D"/>
    <w:rsid w:val="00D47454"/>
    <w:rsid w:val="00D51DEC"/>
    <w:rsid w:val="00D6483B"/>
    <w:rsid w:val="00D843AD"/>
    <w:rsid w:val="00DA139A"/>
    <w:rsid w:val="00DA303D"/>
    <w:rsid w:val="00DC0961"/>
    <w:rsid w:val="00DE3459"/>
    <w:rsid w:val="00DE5ACA"/>
    <w:rsid w:val="00DE6746"/>
    <w:rsid w:val="00E10840"/>
    <w:rsid w:val="00E249AD"/>
    <w:rsid w:val="00E378B1"/>
    <w:rsid w:val="00E453C0"/>
    <w:rsid w:val="00E73593"/>
    <w:rsid w:val="00E84CBA"/>
    <w:rsid w:val="00E92356"/>
    <w:rsid w:val="00EF0789"/>
    <w:rsid w:val="00EF07B5"/>
    <w:rsid w:val="00F15825"/>
    <w:rsid w:val="00F20C10"/>
    <w:rsid w:val="00F321D3"/>
    <w:rsid w:val="00F35E3D"/>
    <w:rsid w:val="00FB502E"/>
    <w:rsid w:val="00FC16D1"/>
    <w:rsid w:val="00FC4145"/>
    <w:rsid w:val="00FF3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750FE"/>
  <w15:chartTrackingRefBased/>
  <w15:docId w15:val="{A28670BE-4E8D-446D-8ED8-2025CC33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C1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C10"/>
    <w:pPr>
      <w:ind w:left="720"/>
      <w:contextualSpacing/>
    </w:pPr>
  </w:style>
  <w:style w:type="paragraph" w:styleId="Header">
    <w:name w:val="header"/>
    <w:basedOn w:val="Normal"/>
    <w:link w:val="HeaderChar"/>
    <w:uiPriority w:val="99"/>
    <w:unhideWhenUsed/>
    <w:rsid w:val="00F20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C10"/>
    <w:rPr>
      <w:kern w:val="0"/>
      <w14:ligatures w14:val="none"/>
    </w:rPr>
  </w:style>
  <w:style w:type="paragraph" w:styleId="Footer">
    <w:name w:val="footer"/>
    <w:basedOn w:val="Normal"/>
    <w:link w:val="FooterChar"/>
    <w:uiPriority w:val="99"/>
    <w:unhideWhenUsed/>
    <w:rsid w:val="00F20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C10"/>
    <w:rPr>
      <w:kern w:val="0"/>
      <w14:ligatures w14:val="none"/>
    </w:rPr>
  </w:style>
  <w:style w:type="character" w:styleId="Hyperlink">
    <w:name w:val="Hyperlink"/>
    <w:basedOn w:val="DefaultParagraphFont"/>
    <w:uiPriority w:val="99"/>
    <w:unhideWhenUsed/>
    <w:rsid w:val="00F20C10"/>
    <w:rPr>
      <w:color w:val="0563C1" w:themeColor="hyperlink"/>
      <w:u w:val="single"/>
    </w:rPr>
  </w:style>
  <w:style w:type="character" w:styleId="Emphasis">
    <w:name w:val="Emphasis"/>
    <w:basedOn w:val="DefaultParagraphFont"/>
    <w:uiPriority w:val="20"/>
    <w:qFormat/>
    <w:rsid w:val="00235189"/>
    <w:rPr>
      <w:i/>
      <w:iCs/>
    </w:rPr>
  </w:style>
  <w:style w:type="character" w:styleId="CommentReference">
    <w:name w:val="annotation reference"/>
    <w:basedOn w:val="DefaultParagraphFont"/>
    <w:uiPriority w:val="99"/>
    <w:semiHidden/>
    <w:unhideWhenUsed/>
    <w:rsid w:val="00235189"/>
    <w:rPr>
      <w:sz w:val="16"/>
      <w:szCs w:val="16"/>
    </w:rPr>
  </w:style>
  <w:style w:type="paragraph" w:styleId="CommentText">
    <w:name w:val="annotation text"/>
    <w:basedOn w:val="Normal"/>
    <w:link w:val="CommentTextChar"/>
    <w:uiPriority w:val="99"/>
    <w:unhideWhenUsed/>
    <w:rsid w:val="00235189"/>
    <w:pPr>
      <w:spacing w:after="200" w:line="240" w:lineRule="auto"/>
    </w:pPr>
    <w:rPr>
      <w:sz w:val="20"/>
      <w:szCs w:val="20"/>
    </w:rPr>
  </w:style>
  <w:style w:type="character" w:customStyle="1" w:styleId="CommentTextChar">
    <w:name w:val="Comment Text Char"/>
    <w:basedOn w:val="DefaultParagraphFont"/>
    <w:link w:val="CommentText"/>
    <w:uiPriority w:val="99"/>
    <w:rsid w:val="0023518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35189"/>
    <w:rPr>
      <w:b/>
      <w:bCs/>
    </w:rPr>
  </w:style>
  <w:style w:type="character" w:customStyle="1" w:styleId="CommentSubjectChar">
    <w:name w:val="Comment Subject Char"/>
    <w:basedOn w:val="CommentTextChar"/>
    <w:link w:val="CommentSubject"/>
    <w:uiPriority w:val="99"/>
    <w:semiHidden/>
    <w:rsid w:val="00235189"/>
    <w:rPr>
      <w:b/>
      <w:bCs/>
      <w:kern w:val="0"/>
      <w:sz w:val="20"/>
      <w:szCs w:val="20"/>
      <w14:ligatures w14:val="none"/>
    </w:rPr>
  </w:style>
  <w:style w:type="paragraph" w:styleId="Revision">
    <w:name w:val="Revision"/>
    <w:hidden/>
    <w:uiPriority w:val="99"/>
    <w:semiHidden/>
    <w:rsid w:val="00235189"/>
    <w:pPr>
      <w:spacing w:after="0" w:line="240" w:lineRule="auto"/>
    </w:pPr>
    <w:rPr>
      <w:kern w:val="0"/>
      <w14:ligatures w14:val="none"/>
    </w:rPr>
  </w:style>
  <w:style w:type="paragraph" w:styleId="BalloonText">
    <w:name w:val="Balloon Text"/>
    <w:basedOn w:val="Normal"/>
    <w:link w:val="BalloonTextChar"/>
    <w:uiPriority w:val="99"/>
    <w:semiHidden/>
    <w:unhideWhenUsed/>
    <w:rsid w:val="00235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189"/>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564</Nr_x002e__x0020_akti>
    <Data_x0020_e_x0020_Krijimit xmlns="0e656187-b300-4fb0-8bf4-3a50f872073c">2023-09-07T10:11:45Z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2023-09-06T22:00:00Z</Date_x0020_protokolli>
    <Titulli xmlns="0e656187-b300-4fb0-8bf4-3a50f872073c">Për miratimin e rregullores mbi praktikën e përgatitjes së mirë të përgatesave galenike</Titulli>
    <Modifikuesi xmlns="0e656187-b300-4fb0-8bf4-3a50f872073c">nevila.samarxhi</Modifikuesi>
    <Nr_x002e__x0020_prot_x0020_QBZ xmlns="0e656187-b300-4fb0-8bf4-3a50f872073c">1340/1</Nr_x002e__x0020_prot_x0020_QBZ>
    <Data_x0020_e_x0020_Modifikimit xmlns="0e656187-b300-4fb0-8bf4-3a50f872073c">2023-09-07T10:38:54Z</Data_x0020_e_x0020_Modifikimit>
    <Dekretuar xmlns="0e656187-b300-4fb0-8bf4-3a50f872073c">false</Dekretuar>
    <Data xmlns="0e656187-b300-4fb0-8bf4-3a50f872073c">2023-08-30T22:00:00Z</Data>
    <Nr_x002e__x0020_protokolli_x0020_i_x0020_aktit xmlns="0e656187-b300-4fb0-8bf4-3a50f872073c">3164/1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EB95F5AC48C45C288F2C5229B9F1C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B95F5AC48C45C288F2C5229B9F1C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F62D75A-7147-45B2-9E60-5467364DEB74}">
  <ds:schemaRefs>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35302DFD-3494-4B42-B3B4-816D1B8D80A4}">
  <ds:schemaRefs>
    <ds:schemaRef ds:uri="http://schemas.microsoft.com/sharepoint/v3/contenttype/forms"/>
  </ds:schemaRefs>
</ds:datastoreItem>
</file>

<file path=customXml/itemProps3.xml><?xml version="1.0" encoding="utf-8"?>
<ds:datastoreItem xmlns:ds="http://schemas.openxmlformats.org/officeDocument/2006/customXml" ds:itemID="{B6792B89-3829-4227-B06A-80E76F04F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E56CEB-F7D2-42F3-BF4E-4A4D4CA66CAE}">
  <ds:schemaRefs>
    <ds:schemaRef ds:uri="http://schemas.microsoft.com/sharepoint/v3/contenttype/forms"/>
  </ds:schemaRefs>
</ds:datastoreItem>
</file>

<file path=customXml/itemProps5.xml><?xml version="1.0" encoding="utf-8"?>
<ds:datastoreItem xmlns:ds="http://schemas.openxmlformats.org/officeDocument/2006/customXml" ds:itemID="{5D23E872-9DA1-4378-87D5-AE0D39E88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2809</Words>
  <Characters>16013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Për miratimin e rregullores mbi praktikën e përgatitjes së mirë të përgatesave galenike</vt:lpstr>
    </vt:vector>
  </TitlesOfParts>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praktikën e përgatitjes së mirë të përgatesave galenike</dc:title>
  <dc:creator>Ervina Lila</dc:creator>
  <cp:lastModifiedBy>Jorina Kryeziu</cp:lastModifiedBy>
  <cp:revision>33</cp:revision>
  <cp:lastPrinted>2023-08-31T11:49:00Z</cp:lastPrinted>
  <dcterms:created xsi:type="dcterms:W3CDTF">2023-09-07T10:16:00Z</dcterms:created>
  <dcterms:modified xsi:type="dcterms:W3CDTF">2023-09-07T11:41:00Z</dcterms:modified>
</cp:coreProperties>
</file>