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308" w:rsidRPr="006209B3" w:rsidRDefault="00752308" w:rsidP="00752308">
      <w:pPr>
        <w:pStyle w:val="Titulli0"/>
        <w:rPr>
          <w:lang w:val="sq-AL"/>
        </w:rPr>
      </w:pPr>
      <w:bookmarkStart w:id="0" w:name="_GoBack"/>
      <w:bookmarkEnd w:id="0"/>
      <w:r w:rsidRPr="006209B3">
        <w:rPr>
          <w:lang w:val="sq-AL"/>
        </w:rPr>
        <w:t>Vendim</w:t>
      </w:r>
    </w:p>
    <w:p w:rsidR="00752308" w:rsidRPr="006209B3" w:rsidRDefault="00752308" w:rsidP="00351C05">
      <w:pPr>
        <w:pStyle w:val="NeniNr"/>
      </w:pPr>
      <w:r w:rsidRPr="006209B3">
        <w:t>(i shkurtuar)</w:t>
      </w:r>
    </w:p>
    <w:p w:rsidR="00752308" w:rsidRPr="006209B3" w:rsidRDefault="00752308" w:rsidP="00752308">
      <w:pPr>
        <w:pStyle w:val="Paragrafi0"/>
        <w:rPr>
          <w:lang w:val="sq-AL"/>
        </w:rPr>
      </w:pPr>
    </w:p>
    <w:p w:rsidR="00752308" w:rsidRPr="006209B3" w:rsidRDefault="00752308" w:rsidP="00752308">
      <w:pPr>
        <w:pStyle w:val="Paragrafi0"/>
        <w:rPr>
          <w:lang w:val="sq-AL"/>
        </w:rPr>
      </w:pPr>
      <w:r>
        <w:rPr>
          <w:lang w:val="sq-AL"/>
        </w:rPr>
        <w:t xml:space="preserve">Gjykata e Rrethit Gjyqësor Gjirokastër, me vendimin nr.2462, datë 10.7.2009, vendosi shpalljen të vdekur </w:t>
      </w:r>
      <w:r w:rsidRPr="006209B3">
        <w:rPr>
          <w:lang w:val="sq-AL"/>
        </w:rPr>
        <w:t xml:space="preserve">të shtetasit Shyqyri </w:t>
      </w:r>
      <w:r>
        <w:rPr>
          <w:lang w:val="sq-AL"/>
        </w:rPr>
        <w:t xml:space="preserve">Xhevit </w:t>
      </w:r>
      <w:r w:rsidRPr="006209B3">
        <w:rPr>
          <w:lang w:val="sq-AL"/>
        </w:rPr>
        <w:t>Matopalaj</w:t>
      </w:r>
      <w:r>
        <w:rPr>
          <w:lang w:val="sq-AL"/>
        </w:rPr>
        <w:t>.</w:t>
      </w:r>
    </w:p>
    <w:p w:rsidR="00752308" w:rsidRDefault="00752308" w:rsidP="00752308">
      <w:pPr>
        <w:pStyle w:val="Autoriteti"/>
        <w:rPr>
          <w:lang w:val="sq-AL"/>
        </w:rPr>
      </w:pPr>
    </w:p>
    <w:p w:rsidR="00752308" w:rsidRPr="006209B3" w:rsidRDefault="00752308" w:rsidP="00752308">
      <w:pPr>
        <w:pStyle w:val="Autoriteti"/>
        <w:rPr>
          <w:lang w:val="sq-AL"/>
        </w:rPr>
      </w:pPr>
      <w:r w:rsidRPr="006209B3">
        <w:rPr>
          <w:lang w:val="sq-AL"/>
        </w:rPr>
        <w:t>Kërkuesja</w:t>
      </w:r>
    </w:p>
    <w:p w:rsidR="00752308" w:rsidRPr="006209B3" w:rsidRDefault="00752308" w:rsidP="00752308">
      <w:pPr>
        <w:pStyle w:val="AutoritetiEmer"/>
        <w:rPr>
          <w:lang w:val="sq-AL"/>
        </w:rPr>
      </w:pPr>
      <w:r w:rsidRPr="006209B3">
        <w:rPr>
          <w:lang w:val="sq-AL"/>
        </w:rPr>
        <w:t>Nafije Matopalaj</w:t>
      </w:r>
    </w:p>
    <w:sectPr w:rsidR="00752308" w:rsidRPr="006209B3" w:rsidSect="00752308">
      <w:footnotePr>
        <w:numRestart w:val="eachPage"/>
      </w:footnotePr>
      <w:pgSz w:w="11906" w:h="16838" w:code="9"/>
      <w:pgMar w:top="1418" w:right="1418" w:bottom="1418" w:left="1418" w:header="130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77C8" w:rsidRDefault="005477C8">
      <w:r>
        <w:separator/>
      </w:r>
    </w:p>
  </w:endnote>
  <w:endnote w:type="continuationSeparator" w:id="0">
    <w:p w:rsidR="005477C8" w:rsidRDefault="00547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77C8" w:rsidRDefault="005477C8">
      <w:r>
        <w:separator/>
      </w:r>
    </w:p>
  </w:footnote>
  <w:footnote w:type="continuationSeparator" w:id="0">
    <w:p w:rsidR="005477C8" w:rsidRDefault="005477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52308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0FB2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1C05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477C8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12B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308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21F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6D6E27-B99B-43E9-9241-CF583EC59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308"/>
    <w:rPr>
      <w:rFonts w:eastAsia="MS Mincho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2019-03-18T13:50:00Z</dcterms:created>
  <dcterms:modified xsi:type="dcterms:W3CDTF">2019-03-18T13:50:00Z</dcterms:modified>
</cp:coreProperties>
</file>