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6ED" w:rsidRDefault="004916ED" w:rsidP="004916ED">
      <w:pPr>
        <w:pStyle w:val="Titulli0"/>
        <w:keepNext w:val="0"/>
        <w:rPr>
          <w:lang w:eastAsia="ja-JP"/>
        </w:rPr>
      </w:pPr>
      <w:bookmarkStart w:id="0" w:name="_GoBack"/>
      <w:bookmarkEnd w:id="0"/>
      <w:r>
        <w:rPr>
          <w:lang w:eastAsia="ja-JP"/>
        </w:rPr>
        <w:t>Vendim</w:t>
      </w:r>
    </w:p>
    <w:p w:rsidR="004916ED" w:rsidRDefault="004916ED" w:rsidP="004916ED">
      <w:pPr>
        <w:pStyle w:val="Paragrafi0"/>
        <w:ind w:left="3600" w:firstLine="0"/>
        <w:rPr>
          <w:rFonts w:eastAsia="Batang"/>
          <w:lang w:eastAsia="ja-JP"/>
        </w:rPr>
      </w:pPr>
      <w:r>
        <w:rPr>
          <w:rFonts w:eastAsia="Batang"/>
          <w:lang w:eastAsia="ja-JP"/>
        </w:rPr>
        <w:t xml:space="preserve">     (i shkurtuar)</w:t>
      </w:r>
    </w:p>
    <w:p w:rsidR="004916ED" w:rsidRDefault="004916ED" w:rsidP="004916ED">
      <w:pPr>
        <w:pStyle w:val="Paragrafi0"/>
        <w:rPr>
          <w:rFonts w:eastAsia="Batang"/>
          <w:lang w:eastAsia="ja-JP"/>
        </w:rPr>
      </w:pPr>
    </w:p>
    <w:p w:rsidR="004916ED" w:rsidRDefault="004916ED" w:rsidP="004916ED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Gjykata e Rrethit Gjyqësor Korçë, me vendimin nr.2345, datë 7.9.2009, vendosi pranimin e kërkesës së shtetases Burbuqe Gjyli për heqjen e zotësisë për të vepruar shtetasit Namik Danglli e caktimin e saj si kujdestare.</w:t>
      </w:r>
    </w:p>
    <w:p w:rsidR="004916ED" w:rsidRDefault="004916ED" w:rsidP="004916ED">
      <w:pPr>
        <w:pStyle w:val="Paragrafi0"/>
        <w:rPr>
          <w:rFonts w:eastAsia="Batang"/>
          <w:lang w:eastAsia="ja-JP"/>
        </w:rPr>
      </w:pPr>
    </w:p>
    <w:p w:rsidR="004916ED" w:rsidRDefault="004916ED" w:rsidP="004916ED">
      <w:pPr>
        <w:pStyle w:val="Autoriteti"/>
        <w:keepNext w:val="0"/>
        <w:rPr>
          <w:rFonts w:eastAsia="Batang"/>
          <w:lang w:eastAsia="ja-JP"/>
        </w:rPr>
      </w:pPr>
      <w:r>
        <w:rPr>
          <w:rFonts w:eastAsia="Batang"/>
          <w:lang w:eastAsia="ja-JP"/>
        </w:rPr>
        <w:t>Kërkuesja</w:t>
      </w:r>
    </w:p>
    <w:p w:rsidR="004916ED" w:rsidRDefault="004916ED" w:rsidP="004916ED">
      <w:pPr>
        <w:pStyle w:val="AutoritetiEmer"/>
        <w:rPr>
          <w:rFonts w:eastAsia="Batang"/>
          <w:lang w:eastAsia="ja-JP"/>
        </w:rPr>
      </w:pPr>
      <w:r>
        <w:rPr>
          <w:rFonts w:eastAsia="Batang"/>
          <w:lang w:eastAsia="ja-JP"/>
        </w:rPr>
        <w:t>Burbuqe Gjyli</w:t>
      </w:r>
    </w:p>
    <w:sectPr w:rsidR="004916E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16ED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6ED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3E75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D68A27-050D-46D6-8261-72D0A7CB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4916E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4916E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2019-03-18T13:53:00Z</dcterms:created>
  <dcterms:modified xsi:type="dcterms:W3CDTF">2019-03-18T13:53:00Z</dcterms:modified>
</cp:coreProperties>
</file>