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1BF49" w14:textId="180353DC" w:rsidR="000E346F" w:rsidRPr="006D5B0E" w:rsidRDefault="000E346F" w:rsidP="003800F9">
      <w:pPr>
        <w:spacing w:line="240" w:lineRule="auto"/>
        <w:ind w:firstLine="284"/>
        <w:jc w:val="center"/>
        <w:rPr>
          <w:rFonts w:ascii="Garamond" w:eastAsia="Calibri" w:hAnsi="Garamond" w:cs="Times New Roman"/>
          <w:b/>
        </w:rPr>
      </w:pPr>
      <w:r w:rsidRPr="006D5B0E">
        <w:rPr>
          <w:rFonts w:ascii="Garamond" w:eastAsia="Calibri" w:hAnsi="Garamond" w:cs="Times New Roman"/>
          <w:b/>
        </w:rPr>
        <w:t>VENDIM</w:t>
      </w:r>
    </w:p>
    <w:p w14:paraId="21B8FE57" w14:textId="5BD54754" w:rsidR="009454DD" w:rsidRDefault="00776BBF" w:rsidP="003800F9">
      <w:pPr>
        <w:spacing w:line="240" w:lineRule="auto"/>
        <w:ind w:firstLine="284"/>
        <w:jc w:val="center"/>
        <w:rPr>
          <w:rFonts w:ascii="Garamond" w:eastAsia="Calibri" w:hAnsi="Garamond" w:cs="Times New Roman"/>
          <w:b/>
        </w:rPr>
      </w:pPr>
      <w:r w:rsidRPr="006D5B0E">
        <w:rPr>
          <w:rFonts w:ascii="Garamond" w:eastAsia="Calibri" w:hAnsi="Garamond" w:cs="Times New Roman"/>
          <w:b/>
        </w:rPr>
        <w:t xml:space="preserve">Nr. </w:t>
      </w:r>
      <w:r w:rsidR="00067E80" w:rsidRPr="006D5B0E">
        <w:rPr>
          <w:rFonts w:ascii="Garamond" w:eastAsia="Calibri" w:hAnsi="Garamond" w:cs="Times New Roman"/>
          <w:b/>
        </w:rPr>
        <w:t>1317</w:t>
      </w:r>
      <w:r w:rsidRPr="006D5B0E">
        <w:rPr>
          <w:rFonts w:ascii="Garamond" w:eastAsia="Calibri" w:hAnsi="Garamond" w:cs="Times New Roman"/>
          <w:b/>
        </w:rPr>
        <w:t xml:space="preserve">, </w:t>
      </w:r>
      <w:r w:rsidR="006D5B0E" w:rsidRPr="006D5B0E">
        <w:rPr>
          <w:rFonts w:ascii="Garamond" w:eastAsia="Calibri" w:hAnsi="Garamond" w:cs="Times New Roman"/>
          <w:b/>
        </w:rPr>
        <w:t>d</w:t>
      </w:r>
      <w:r w:rsidRPr="006D5B0E">
        <w:rPr>
          <w:rFonts w:ascii="Garamond" w:eastAsia="Calibri" w:hAnsi="Garamond" w:cs="Times New Roman"/>
          <w:b/>
        </w:rPr>
        <w:t xml:space="preserve">atë </w:t>
      </w:r>
      <w:r w:rsidR="00067E80" w:rsidRPr="006D5B0E">
        <w:rPr>
          <w:rFonts w:ascii="Garamond" w:eastAsia="Calibri" w:hAnsi="Garamond" w:cs="Times New Roman"/>
          <w:b/>
        </w:rPr>
        <w:t>17</w:t>
      </w:r>
      <w:r w:rsidRPr="006D5B0E">
        <w:rPr>
          <w:rFonts w:ascii="Garamond" w:eastAsia="Calibri" w:hAnsi="Garamond" w:cs="Times New Roman"/>
          <w:b/>
        </w:rPr>
        <w:t>.</w:t>
      </w:r>
      <w:r w:rsidR="00067E80" w:rsidRPr="006D5B0E">
        <w:rPr>
          <w:rFonts w:ascii="Garamond" w:eastAsia="Calibri" w:hAnsi="Garamond" w:cs="Times New Roman"/>
          <w:b/>
        </w:rPr>
        <w:t>8</w:t>
      </w:r>
      <w:r w:rsidRPr="006D5B0E">
        <w:rPr>
          <w:rFonts w:ascii="Garamond" w:eastAsia="Calibri" w:hAnsi="Garamond" w:cs="Times New Roman"/>
          <w:b/>
        </w:rPr>
        <w:t>.202</w:t>
      </w:r>
      <w:r w:rsidR="00F01813" w:rsidRPr="006D5B0E">
        <w:rPr>
          <w:rFonts w:ascii="Garamond" w:eastAsia="Calibri" w:hAnsi="Garamond" w:cs="Times New Roman"/>
          <w:b/>
        </w:rPr>
        <w:t>6</w:t>
      </w:r>
    </w:p>
    <w:p w14:paraId="201E44B7" w14:textId="77777777" w:rsidR="008B1C22" w:rsidRDefault="008B1C22" w:rsidP="003800F9">
      <w:pPr>
        <w:spacing w:line="240" w:lineRule="auto"/>
        <w:ind w:firstLine="284"/>
        <w:jc w:val="center"/>
        <w:rPr>
          <w:rFonts w:ascii="Garamond" w:eastAsia="Calibri" w:hAnsi="Garamond" w:cs="Times New Roman"/>
          <w:b/>
        </w:rPr>
      </w:pPr>
    </w:p>
    <w:p w14:paraId="7EA46E85" w14:textId="77777777" w:rsidR="008B1C22" w:rsidRPr="008B1C22" w:rsidRDefault="008B1C22" w:rsidP="008B1C22">
      <w:pPr>
        <w:spacing w:line="240" w:lineRule="auto"/>
        <w:ind w:firstLine="284"/>
        <w:jc w:val="center"/>
        <w:rPr>
          <w:rFonts w:ascii="Garamond" w:eastAsia="Calibri" w:hAnsi="Garamond" w:cs="Times New Roman"/>
          <w:b/>
        </w:rPr>
      </w:pPr>
      <w:r w:rsidRPr="008B1C22">
        <w:rPr>
          <w:rFonts w:ascii="Garamond" w:eastAsia="Calibri" w:hAnsi="Garamond" w:cs="Times New Roman"/>
          <w:b/>
        </w:rPr>
        <w:t>MBI MIRATIMIN E UDHËZIMIT</w:t>
      </w:r>
    </w:p>
    <w:p w14:paraId="7CBD20E8" w14:textId="39E02978" w:rsidR="008B1C22" w:rsidRPr="006D5B0E" w:rsidRDefault="008B1C22" w:rsidP="008B1C22">
      <w:pPr>
        <w:spacing w:line="240" w:lineRule="auto"/>
        <w:ind w:firstLine="284"/>
        <w:jc w:val="center"/>
        <w:rPr>
          <w:rFonts w:ascii="Garamond" w:eastAsia="Calibri" w:hAnsi="Garamond" w:cs="Times New Roman"/>
          <w:b/>
        </w:rPr>
      </w:pPr>
      <w:r w:rsidRPr="008B1C22">
        <w:rPr>
          <w:rFonts w:ascii="Garamond" w:eastAsia="Calibri" w:hAnsi="Garamond" w:cs="Times New Roman"/>
          <w:b/>
        </w:rPr>
        <w:t>“PËR IMUNITETIN NGA GJOBAT DHE LEHTËSIMIN E GJOBAVE NË RASTET E MARRËVESHJEVE TË NDALUARA”</w:t>
      </w:r>
    </w:p>
    <w:p w14:paraId="54286B0C" w14:textId="77777777" w:rsidR="003800F9" w:rsidRPr="006D5B0E" w:rsidRDefault="003800F9" w:rsidP="003800F9">
      <w:pPr>
        <w:spacing w:line="240" w:lineRule="auto"/>
        <w:ind w:firstLine="284"/>
        <w:jc w:val="center"/>
        <w:rPr>
          <w:rFonts w:ascii="Garamond" w:eastAsia="Calibri" w:hAnsi="Garamond" w:cs="Times New Roman"/>
          <w:b/>
        </w:rPr>
      </w:pPr>
    </w:p>
    <w:tbl>
      <w:tblPr>
        <w:tblStyle w:val="TableGrid1"/>
        <w:tblW w:w="893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4"/>
      </w:tblGrid>
      <w:tr w:rsidR="000E346F" w:rsidRPr="006D5B0E" w14:paraId="119D8CE7" w14:textId="77777777" w:rsidTr="009757ED">
        <w:tc>
          <w:tcPr>
            <w:tcW w:w="8934" w:type="dxa"/>
          </w:tcPr>
          <w:p w14:paraId="24209915" w14:textId="77777777" w:rsidR="000E346F" w:rsidRPr="006D5B0E" w:rsidRDefault="000E346F" w:rsidP="003800F9">
            <w:pPr>
              <w:ind w:firstLine="284"/>
              <w:jc w:val="center"/>
              <w:rPr>
                <w:rFonts w:ascii="Garamond" w:eastAsia="Calibri" w:hAnsi="Garamond"/>
                <w:b/>
                <w:sz w:val="24"/>
                <w:szCs w:val="24"/>
                <w:lang w:val="sq-AL"/>
              </w:rPr>
            </w:pPr>
          </w:p>
        </w:tc>
      </w:tr>
    </w:tbl>
    <w:p w14:paraId="1CEAF023" w14:textId="6D9EC976" w:rsidR="000E346F" w:rsidRPr="006D5B0E" w:rsidRDefault="000E346F" w:rsidP="003800F9">
      <w:pPr>
        <w:spacing w:line="240" w:lineRule="auto"/>
        <w:ind w:firstLine="284"/>
        <w:rPr>
          <w:rFonts w:ascii="Garamond" w:eastAsia="Calibri" w:hAnsi="Garamond" w:cs="Times New Roman"/>
        </w:rPr>
      </w:pPr>
      <w:r w:rsidRPr="006D5B0E">
        <w:rPr>
          <w:rFonts w:ascii="Garamond" w:eastAsia="Calibri" w:hAnsi="Garamond" w:cs="Times New Roman"/>
        </w:rPr>
        <w:t>Komisioni i Konkurrencës</w:t>
      </w:r>
      <w:r w:rsidR="006D5B0E">
        <w:rPr>
          <w:rFonts w:ascii="Garamond" w:eastAsia="Calibri" w:hAnsi="Garamond" w:cs="Times New Roman"/>
        </w:rPr>
        <w:t>,</w:t>
      </w:r>
      <w:r w:rsidRPr="006D5B0E">
        <w:rPr>
          <w:rFonts w:ascii="Garamond" w:eastAsia="Calibri" w:hAnsi="Garamond" w:cs="Times New Roman"/>
        </w:rPr>
        <w:t xml:space="preserve"> me pjesëmarrjen e:</w: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3230"/>
      </w:tblGrid>
      <w:tr w:rsidR="003800F9" w:rsidRPr="006D5B0E" w14:paraId="31BFD1CC" w14:textId="77777777" w:rsidTr="006D5B0E">
        <w:tc>
          <w:tcPr>
            <w:tcW w:w="2851" w:type="dxa"/>
          </w:tcPr>
          <w:p w14:paraId="3F181A75" w14:textId="3F38BB6E" w:rsidR="003800F9" w:rsidRPr="006D5B0E" w:rsidRDefault="003800F9" w:rsidP="003800F9">
            <w:pPr>
              <w:rPr>
                <w:rFonts w:ascii="Garamond" w:eastAsia="Calibri" w:hAnsi="Garamond" w:cs="Times New Roman"/>
              </w:rPr>
            </w:pPr>
            <w:r w:rsidRPr="006D5B0E">
              <w:rPr>
                <w:rFonts w:ascii="Garamond" w:eastAsia="Calibri" w:hAnsi="Garamond"/>
              </w:rPr>
              <w:t>Denar Biba</w:t>
            </w:r>
          </w:p>
        </w:tc>
        <w:tc>
          <w:tcPr>
            <w:tcW w:w="3230" w:type="dxa"/>
          </w:tcPr>
          <w:p w14:paraId="1ABBCD4D" w14:textId="4DA831ED" w:rsidR="003800F9" w:rsidRPr="006D5B0E" w:rsidRDefault="006D5B0E" w:rsidP="003800F9">
            <w:pPr>
              <w:rPr>
                <w:rFonts w:ascii="Garamond" w:eastAsia="Calibri" w:hAnsi="Garamond" w:cs="Times New Roman"/>
              </w:rPr>
            </w:pPr>
            <w:r w:rsidRPr="006D5B0E">
              <w:rPr>
                <w:rFonts w:ascii="Garamond" w:eastAsia="Calibri" w:hAnsi="Garamond"/>
              </w:rPr>
              <w:t>kryetar</w:t>
            </w:r>
            <w:r>
              <w:rPr>
                <w:rFonts w:ascii="Garamond" w:eastAsia="Calibri" w:hAnsi="Garamond"/>
              </w:rPr>
              <w:t>;</w:t>
            </w:r>
          </w:p>
        </w:tc>
      </w:tr>
      <w:tr w:rsidR="003800F9" w:rsidRPr="006D5B0E" w14:paraId="0E0CFDDC" w14:textId="77777777" w:rsidTr="006D5B0E">
        <w:tc>
          <w:tcPr>
            <w:tcW w:w="2851" w:type="dxa"/>
          </w:tcPr>
          <w:p w14:paraId="26E05C3F" w14:textId="2EB83823" w:rsidR="003800F9" w:rsidRPr="006D5B0E" w:rsidRDefault="003800F9" w:rsidP="003800F9">
            <w:pPr>
              <w:rPr>
                <w:rFonts w:ascii="Garamond" w:eastAsia="Calibri" w:hAnsi="Garamond" w:cs="Times New Roman"/>
              </w:rPr>
            </w:pPr>
            <w:r w:rsidRPr="006D5B0E">
              <w:rPr>
                <w:rFonts w:ascii="Garamond" w:eastAsia="Calibri" w:hAnsi="Garamond"/>
              </w:rPr>
              <w:t>Leida Matja</w:t>
            </w:r>
          </w:p>
        </w:tc>
        <w:tc>
          <w:tcPr>
            <w:tcW w:w="3230" w:type="dxa"/>
          </w:tcPr>
          <w:p w14:paraId="083FAE43" w14:textId="48902012" w:rsidR="003800F9" w:rsidRPr="006D5B0E" w:rsidRDefault="006D5B0E" w:rsidP="003800F9">
            <w:pPr>
              <w:rPr>
                <w:rFonts w:ascii="Garamond" w:eastAsia="Calibri" w:hAnsi="Garamond" w:cs="Times New Roman"/>
              </w:rPr>
            </w:pPr>
            <w:r w:rsidRPr="006D5B0E">
              <w:rPr>
                <w:rFonts w:ascii="Garamond" w:eastAsia="Calibri" w:hAnsi="Garamond"/>
              </w:rPr>
              <w:t>zv/kryetar</w:t>
            </w:r>
            <w:r>
              <w:rPr>
                <w:rFonts w:ascii="Garamond" w:eastAsia="Calibri" w:hAnsi="Garamond"/>
              </w:rPr>
              <w:t>;</w:t>
            </w:r>
          </w:p>
        </w:tc>
      </w:tr>
      <w:tr w:rsidR="003800F9" w:rsidRPr="006D5B0E" w14:paraId="361E41DB" w14:textId="77777777" w:rsidTr="006D5B0E">
        <w:tc>
          <w:tcPr>
            <w:tcW w:w="2851" w:type="dxa"/>
          </w:tcPr>
          <w:p w14:paraId="23739945" w14:textId="73B78682" w:rsidR="003800F9" w:rsidRPr="006D5B0E" w:rsidRDefault="003800F9" w:rsidP="003800F9">
            <w:pPr>
              <w:rPr>
                <w:rFonts w:ascii="Garamond" w:eastAsia="Calibri" w:hAnsi="Garamond" w:cs="Times New Roman"/>
              </w:rPr>
            </w:pPr>
            <w:r w:rsidRPr="006D5B0E">
              <w:rPr>
                <w:rFonts w:ascii="Garamond" w:eastAsia="Calibri" w:hAnsi="Garamond"/>
              </w:rPr>
              <w:t>Rezana Konomi</w:t>
            </w:r>
          </w:p>
        </w:tc>
        <w:tc>
          <w:tcPr>
            <w:tcW w:w="3230" w:type="dxa"/>
          </w:tcPr>
          <w:p w14:paraId="24CBB653" w14:textId="5C2B3D9C" w:rsidR="003800F9" w:rsidRPr="006D5B0E" w:rsidRDefault="006D5B0E" w:rsidP="003800F9">
            <w:pPr>
              <w:rPr>
                <w:rFonts w:ascii="Garamond" w:eastAsia="Calibri" w:hAnsi="Garamond" w:cs="Times New Roman"/>
              </w:rPr>
            </w:pPr>
            <w:r w:rsidRPr="006D5B0E">
              <w:rPr>
                <w:rFonts w:ascii="Garamond" w:eastAsia="Calibri" w:hAnsi="Garamond"/>
              </w:rPr>
              <w:t>anëtar</w:t>
            </w:r>
            <w:r>
              <w:rPr>
                <w:rFonts w:ascii="Garamond" w:eastAsia="Calibri" w:hAnsi="Garamond"/>
              </w:rPr>
              <w:t>;</w:t>
            </w:r>
          </w:p>
        </w:tc>
      </w:tr>
      <w:tr w:rsidR="003800F9" w:rsidRPr="006D5B0E" w14:paraId="35A23C5B" w14:textId="77777777" w:rsidTr="006D5B0E">
        <w:tc>
          <w:tcPr>
            <w:tcW w:w="2851" w:type="dxa"/>
          </w:tcPr>
          <w:p w14:paraId="41D12EC6" w14:textId="62B01832" w:rsidR="003800F9" w:rsidRPr="006D5B0E" w:rsidRDefault="003800F9" w:rsidP="003800F9">
            <w:pPr>
              <w:rPr>
                <w:rFonts w:ascii="Garamond" w:eastAsia="Calibri" w:hAnsi="Garamond" w:cs="Times New Roman"/>
              </w:rPr>
            </w:pPr>
            <w:r w:rsidRPr="006D5B0E">
              <w:rPr>
                <w:rFonts w:ascii="Garamond" w:eastAsia="Calibri" w:hAnsi="Garamond"/>
              </w:rPr>
              <w:t xml:space="preserve">Durim Kraja </w:t>
            </w:r>
          </w:p>
        </w:tc>
        <w:tc>
          <w:tcPr>
            <w:tcW w:w="3230" w:type="dxa"/>
          </w:tcPr>
          <w:p w14:paraId="10FC2EF6" w14:textId="01E7792B" w:rsidR="003800F9" w:rsidRPr="006D5B0E" w:rsidRDefault="006D5B0E" w:rsidP="003800F9">
            <w:pPr>
              <w:rPr>
                <w:rFonts w:ascii="Garamond" w:eastAsia="Calibri" w:hAnsi="Garamond" w:cs="Times New Roman"/>
              </w:rPr>
            </w:pPr>
            <w:r w:rsidRPr="006D5B0E">
              <w:rPr>
                <w:rFonts w:ascii="Garamond" w:eastAsia="Calibri" w:hAnsi="Garamond"/>
              </w:rPr>
              <w:t>anëtar</w:t>
            </w:r>
            <w:r>
              <w:rPr>
                <w:rFonts w:ascii="Garamond" w:eastAsia="Calibri" w:hAnsi="Garamond"/>
              </w:rPr>
              <w:t>;</w:t>
            </w:r>
          </w:p>
        </w:tc>
      </w:tr>
      <w:tr w:rsidR="003800F9" w:rsidRPr="006D5B0E" w14:paraId="5FFD816E" w14:textId="77777777" w:rsidTr="006D5B0E">
        <w:tc>
          <w:tcPr>
            <w:tcW w:w="2851" w:type="dxa"/>
          </w:tcPr>
          <w:p w14:paraId="2BF2303F" w14:textId="35CB12A7" w:rsidR="003800F9" w:rsidRPr="006D5B0E" w:rsidRDefault="003800F9" w:rsidP="003800F9">
            <w:pPr>
              <w:rPr>
                <w:rFonts w:ascii="Garamond" w:eastAsia="Calibri" w:hAnsi="Garamond" w:cs="Times New Roman"/>
              </w:rPr>
            </w:pPr>
            <w:r w:rsidRPr="006D5B0E">
              <w:rPr>
                <w:rFonts w:ascii="Garamond" w:eastAsia="Calibri" w:hAnsi="Garamond"/>
              </w:rPr>
              <w:t>Fatjola Delija</w:t>
            </w:r>
          </w:p>
        </w:tc>
        <w:tc>
          <w:tcPr>
            <w:tcW w:w="3230" w:type="dxa"/>
          </w:tcPr>
          <w:p w14:paraId="0531BBC7" w14:textId="282024E3" w:rsidR="003800F9" w:rsidRPr="006D5B0E" w:rsidRDefault="006D5B0E" w:rsidP="003800F9">
            <w:pPr>
              <w:rPr>
                <w:rFonts w:ascii="Garamond" w:eastAsia="Calibri" w:hAnsi="Garamond" w:cs="Times New Roman"/>
              </w:rPr>
            </w:pPr>
            <w:r w:rsidRPr="006D5B0E">
              <w:rPr>
                <w:rFonts w:ascii="Garamond" w:eastAsia="Calibri" w:hAnsi="Garamond"/>
              </w:rPr>
              <w:t>anëtar</w:t>
            </w:r>
            <w:r>
              <w:rPr>
                <w:rFonts w:ascii="Garamond" w:eastAsia="Calibri" w:hAnsi="Garamond"/>
              </w:rPr>
              <w:t>,</w:t>
            </w:r>
          </w:p>
        </w:tc>
      </w:tr>
    </w:tbl>
    <w:p w14:paraId="718BD5AC" w14:textId="77777777" w:rsidR="003800F9" w:rsidRPr="006D5B0E" w:rsidRDefault="003800F9" w:rsidP="006D5B0E">
      <w:pPr>
        <w:spacing w:line="240" w:lineRule="auto"/>
        <w:rPr>
          <w:rFonts w:ascii="Garamond" w:eastAsia="Calibri" w:hAnsi="Garamond" w:cs="Times New Roman"/>
          <w:sz w:val="4"/>
        </w:rPr>
      </w:pPr>
    </w:p>
    <w:p w14:paraId="7D4155B3" w14:textId="165B6259" w:rsidR="000E346F" w:rsidRPr="006D5B0E" w:rsidRDefault="006D5B0E" w:rsidP="003800F9">
      <w:pPr>
        <w:spacing w:line="240" w:lineRule="auto"/>
        <w:ind w:firstLine="284"/>
        <w:jc w:val="both"/>
        <w:rPr>
          <w:rFonts w:ascii="Garamond" w:eastAsia="Calibri" w:hAnsi="Garamond" w:cs="Times New Roman"/>
        </w:rPr>
      </w:pPr>
      <w:r>
        <w:rPr>
          <w:rFonts w:ascii="Garamond" w:eastAsia="Calibri" w:hAnsi="Garamond" w:cs="Times New Roman"/>
        </w:rPr>
        <w:t>n</w:t>
      </w:r>
      <w:r w:rsidR="000E346F" w:rsidRPr="006D5B0E">
        <w:rPr>
          <w:rFonts w:ascii="Garamond" w:eastAsia="Calibri" w:hAnsi="Garamond" w:cs="Times New Roman"/>
        </w:rPr>
        <w:t>ë mbled</w:t>
      </w:r>
      <w:r w:rsidR="00B343B8" w:rsidRPr="006D5B0E">
        <w:rPr>
          <w:rFonts w:ascii="Garamond" w:eastAsia="Calibri" w:hAnsi="Garamond" w:cs="Times New Roman"/>
        </w:rPr>
        <w:t xml:space="preserve">hjen e tij të datës </w:t>
      </w:r>
      <w:r w:rsidR="00067E80" w:rsidRPr="006D5B0E">
        <w:rPr>
          <w:rFonts w:ascii="Garamond" w:eastAsia="Calibri" w:hAnsi="Garamond" w:cs="Times New Roman"/>
        </w:rPr>
        <w:t>17</w:t>
      </w:r>
      <w:r w:rsidR="00540F25" w:rsidRPr="006D5B0E">
        <w:rPr>
          <w:rFonts w:ascii="Garamond" w:eastAsia="Calibri" w:hAnsi="Garamond" w:cs="Times New Roman"/>
        </w:rPr>
        <w:t>.</w:t>
      </w:r>
      <w:r w:rsidR="00067E80" w:rsidRPr="006D5B0E">
        <w:rPr>
          <w:rFonts w:ascii="Garamond" w:eastAsia="Calibri" w:hAnsi="Garamond" w:cs="Times New Roman"/>
        </w:rPr>
        <w:t>8</w:t>
      </w:r>
      <w:r w:rsidR="00540F25" w:rsidRPr="006D5B0E">
        <w:rPr>
          <w:rFonts w:ascii="Garamond" w:eastAsia="Calibri" w:hAnsi="Garamond" w:cs="Times New Roman"/>
        </w:rPr>
        <w:t>.2026</w:t>
      </w:r>
      <w:r w:rsidR="000E346F" w:rsidRPr="006D5B0E">
        <w:rPr>
          <w:rFonts w:ascii="Garamond" w:eastAsia="Calibri" w:hAnsi="Garamond" w:cs="Times New Roman"/>
        </w:rPr>
        <w:t>,  shqyrtoi çështjen me:</w:t>
      </w:r>
    </w:p>
    <w:p w14:paraId="1DE719CA" w14:textId="550CF774" w:rsidR="003800F9" w:rsidRPr="006D5B0E" w:rsidRDefault="006D5B0E" w:rsidP="003800F9">
      <w:pPr>
        <w:spacing w:line="240" w:lineRule="auto"/>
        <w:ind w:firstLine="284"/>
        <w:jc w:val="both"/>
        <w:rPr>
          <w:rFonts w:ascii="Garamond" w:eastAsia="Times New Roman" w:hAnsi="Garamond"/>
        </w:rPr>
      </w:pPr>
      <w:r w:rsidRPr="006D5B0E">
        <w:rPr>
          <w:rFonts w:ascii="Garamond" w:eastAsia="Calibri" w:hAnsi="Garamond"/>
        </w:rPr>
        <w:t>OBJEKT</w:t>
      </w:r>
      <w:r w:rsidR="003800F9" w:rsidRPr="006D5B0E">
        <w:rPr>
          <w:rFonts w:ascii="Garamond" w:eastAsia="Calibri" w:hAnsi="Garamond"/>
        </w:rPr>
        <w:t>:</w:t>
      </w:r>
      <w:r w:rsidR="003800F9" w:rsidRPr="006D5B0E">
        <w:rPr>
          <w:rFonts w:ascii="Garamond" w:eastAsia="Times New Roman" w:hAnsi="Garamond"/>
        </w:rPr>
        <w:t xml:space="preserve"> Mbi miratimin e udhëzimit </w:t>
      </w:r>
      <w:r>
        <w:rPr>
          <w:rFonts w:ascii="Garamond" w:eastAsia="Times New Roman" w:hAnsi="Garamond"/>
        </w:rPr>
        <w:t>“</w:t>
      </w:r>
      <w:r w:rsidR="003800F9" w:rsidRPr="006D5B0E">
        <w:rPr>
          <w:rFonts w:ascii="Garamond" w:eastAsia="Times New Roman" w:hAnsi="Garamond"/>
          <w:color w:val="000000"/>
        </w:rPr>
        <w:t>Për imunitetin nga gjobat dhe lehtësimin e gjobave në ras</w:t>
      </w:r>
      <w:r>
        <w:rPr>
          <w:rFonts w:ascii="Garamond" w:eastAsia="Times New Roman" w:hAnsi="Garamond"/>
          <w:color w:val="000000"/>
        </w:rPr>
        <w:t>tet e marrëveshjeve të ndaluara</w:t>
      </w:r>
      <w:r>
        <w:rPr>
          <w:rFonts w:ascii="Garamond" w:eastAsia="Times New Roman" w:hAnsi="Garamond"/>
        </w:rPr>
        <w:t>”</w:t>
      </w:r>
    </w:p>
    <w:p w14:paraId="23BE7318" w14:textId="40128109" w:rsidR="003800F9" w:rsidRPr="006D5B0E" w:rsidRDefault="006D5B0E" w:rsidP="003800F9">
      <w:pPr>
        <w:spacing w:line="240" w:lineRule="auto"/>
        <w:ind w:firstLine="284"/>
        <w:jc w:val="both"/>
        <w:rPr>
          <w:rFonts w:ascii="Garamond" w:eastAsia="Times New Roman" w:hAnsi="Garamond"/>
          <w:lang w:eastAsia="x-none"/>
        </w:rPr>
      </w:pPr>
      <w:r w:rsidRPr="006D5B0E">
        <w:rPr>
          <w:rFonts w:ascii="Garamond" w:eastAsia="Calibri" w:hAnsi="Garamond"/>
        </w:rPr>
        <w:t>BAZA LIGJORE</w:t>
      </w:r>
      <w:r w:rsidR="003800F9" w:rsidRPr="006D5B0E">
        <w:rPr>
          <w:rFonts w:ascii="Garamond" w:eastAsia="Calibri" w:hAnsi="Garamond"/>
        </w:rPr>
        <w:t>:</w:t>
      </w:r>
      <w:r w:rsidR="003800F9" w:rsidRPr="006D5B0E">
        <w:rPr>
          <w:rFonts w:ascii="Garamond" w:eastAsia="Times New Roman" w:hAnsi="Garamond"/>
        </w:rPr>
        <w:t xml:space="preserve"> Neni 24, shkronja </w:t>
      </w:r>
      <w:r>
        <w:rPr>
          <w:rFonts w:ascii="Garamond" w:eastAsia="Times New Roman" w:hAnsi="Garamond"/>
        </w:rPr>
        <w:t>“</w:t>
      </w:r>
      <w:r w:rsidR="003800F9" w:rsidRPr="006D5B0E">
        <w:rPr>
          <w:rFonts w:ascii="Garamond" w:eastAsia="Times New Roman" w:hAnsi="Garamond"/>
        </w:rPr>
        <w:t>d</w:t>
      </w:r>
      <w:r>
        <w:rPr>
          <w:rFonts w:ascii="Garamond" w:eastAsia="Times New Roman" w:hAnsi="Garamond"/>
        </w:rPr>
        <w:t>”</w:t>
      </w:r>
      <w:r w:rsidR="003800F9" w:rsidRPr="006D5B0E">
        <w:rPr>
          <w:rFonts w:ascii="Garamond" w:eastAsia="Times New Roman" w:hAnsi="Garamond"/>
        </w:rPr>
        <w:t xml:space="preserve"> dhe neni 26</w:t>
      </w:r>
      <w:r>
        <w:rPr>
          <w:rFonts w:ascii="Garamond" w:eastAsia="Times New Roman" w:hAnsi="Garamond"/>
        </w:rPr>
        <w:t>,</w:t>
      </w:r>
      <w:r w:rsidR="003800F9" w:rsidRPr="006D5B0E">
        <w:rPr>
          <w:rFonts w:ascii="Garamond" w:eastAsia="Times New Roman" w:hAnsi="Garamond"/>
        </w:rPr>
        <w:t xml:space="preserve"> i </w:t>
      </w:r>
      <w:r w:rsidRPr="006D5B0E">
        <w:rPr>
          <w:rFonts w:ascii="Garamond" w:eastAsia="Times New Roman" w:hAnsi="Garamond"/>
        </w:rPr>
        <w:t>ligjit n</w:t>
      </w:r>
      <w:r>
        <w:rPr>
          <w:rFonts w:ascii="Garamond" w:eastAsia="Times New Roman" w:hAnsi="Garamond"/>
        </w:rPr>
        <w:t>r. 9121, datë 28.</w:t>
      </w:r>
      <w:r w:rsidR="003800F9" w:rsidRPr="006D5B0E">
        <w:rPr>
          <w:rFonts w:ascii="Garamond" w:eastAsia="Times New Roman" w:hAnsi="Garamond"/>
        </w:rPr>
        <w:t>7.2003</w:t>
      </w:r>
      <w:r>
        <w:rPr>
          <w:rFonts w:ascii="Garamond" w:eastAsia="Times New Roman" w:hAnsi="Garamond"/>
        </w:rPr>
        <w:t>,</w:t>
      </w:r>
      <w:r w:rsidR="003800F9" w:rsidRPr="006D5B0E">
        <w:rPr>
          <w:rFonts w:ascii="Garamond" w:eastAsia="Times New Roman" w:hAnsi="Garamond"/>
        </w:rPr>
        <w:t xml:space="preserve"> </w:t>
      </w:r>
      <w:r>
        <w:rPr>
          <w:rFonts w:ascii="Garamond" w:eastAsia="Times New Roman" w:hAnsi="Garamond"/>
        </w:rPr>
        <w:t>“</w:t>
      </w:r>
      <w:r w:rsidR="003800F9" w:rsidRPr="006D5B0E">
        <w:rPr>
          <w:rFonts w:ascii="Garamond" w:eastAsia="Times New Roman" w:hAnsi="Garamond"/>
        </w:rPr>
        <w:t>Për mbrojtjen e konkurrencës</w:t>
      </w:r>
      <w:r>
        <w:rPr>
          <w:rFonts w:ascii="Garamond" w:eastAsia="Times New Roman" w:hAnsi="Garamond"/>
        </w:rPr>
        <w:t>”</w:t>
      </w:r>
      <w:r w:rsidR="003800F9" w:rsidRPr="006D5B0E">
        <w:rPr>
          <w:rFonts w:ascii="Garamond" w:eastAsia="Times New Roman" w:hAnsi="Garamond"/>
        </w:rPr>
        <w:t>.</w:t>
      </w:r>
      <w:r w:rsidR="003800F9" w:rsidRPr="006D5B0E">
        <w:rPr>
          <w:rFonts w:ascii="Garamond" w:eastAsia="Times New Roman" w:hAnsi="Garamond"/>
          <w:lang w:eastAsia="x-none"/>
        </w:rPr>
        <w:t xml:space="preserve">  </w:t>
      </w:r>
    </w:p>
    <w:p w14:paraId="55C996F1" w14:textId="2741AF19" w:rsidR="0048655C" w:rsidRPr="006D5B0E" w:rsidRDefault="00B343B8" w:rsidP="003800F9">
      <w:pPr>
        <w:spacing w:line="240" w:lineRule="auto"/>
        <w:ind w:firstLine="284"/>
        <w:jc w:val="both"/>
        <w:rPr>
          <w:rFonts w:ascii="Garamond" w:eastAsia="Calibri" w:hAnsi="Garamond" w:cs="Times New Roman"/>
        </w:rPr>
      </w:pPr>
      <w:r w:rsidRPr="006D5B0E">
        <w:rPr>
          <w:rFonts w:ascii="Garamond" w:eastAsia="Calibri" w:hAnsi="Garamond" w:cs="Times New Roman"/>
        </w:rPr>
        <w:t>Komisioni i Konkurrencës, pas shqyrtimit të:</w:t>
      </w:r>
    </w:p>
    <w:p w14:paraId="5A57C634" w14:textId="706A976C" w:rsidR="00B343B8" w:rsidRPr="006D5B0E" w:rsidRDefault="009449BC" w:rsidP="003800F9">
      <w:pPr>
        <w:spacing w:line="240" w:lineRule="auto"/>
        <w:ind w:firstLine="284"/>
        <w:jc w:val="both"/>
        <w:rPr>
          <w:rFonts w:ascii="Garamond" w:eastAsia="Calibri" w:hAnsi="Garamond" w:cs="Times New Roman"/>
        </w:rPr>
      </w:pPr>
      <w:r w:rsidRPr="006D5B0E">
        <w:rPr>
          <w:rFonts w:ascii="Garamond" w:eastAsia="Calibri" w:hAnsi="Garamond" w:cs="Times New Roman"/>
        </w:rPr>
        <w:t xml:space="preserve">- </w:t>
      </w:r>
      <w:r w:rsidR="00B343B8" w:rsidRPr="006D5B0E">
        <w:rPr>
          <w:rFonts w:ascii="Garamond" w:eastAsia="Calibri" w:hAnsi="Garamond" w:cs="Times New Roman"/>
        </w:rPr>
        <w:t xml:space="preserve">Relacionit të Sekretarit të Përgjithshëm </w:t>
      </w:r>
      <w:r w:rsidR="00064B56" w:rsidRPr="006D5B0E">
        <w:rPr>
          <w:rFonts w:ascii="Garamond" w:eastAsia="Calibri" w:hAnsi="Garamond" w:cs="Times New Roman"/>
        </w:rPr>
        <w:t>të Autoritetit të Konkurrencës;</w:t>
      </w:r>
    </w:p>
    <w:p w14:paraId="289C5179" w14:textId="2F370211" w:rsidR="006D5B40" w:rsidRPr="006D5B0E" w:rsidRDefault="009449BC" w:rsidP="003800F9">
      <w:pPr>
        <w:spacing w:line="240" w:lineRule="auto"/>
        <w:ind w:firstLine="284"/>
        <w:jc w:val="both"/>
        <w:rPr>
          <w:rFonts w:ascii="Garamond" w:eastAsia="Times New Roman" w:hAnsi="Garamond"/>
        </w:rPr>
      </w:pPr>
      <w:r w:rsidRPr="006D5B0E">
        <w:rPr>
          <w:rFonts w:ascii="Garamond" w:eastAsia="Calibri" w:hAnsi="Garamond" w:cs="Times New Roman"/>
        </w:rPr>
        <w:t xml:space="preserve">- </w:t>
      </w:r>
      <w:r w:rsidR="006D5B0E">
        <w:rPr>
          <w:rFonts w:ascii="Garamond" w:eastAsia="Calibri" w:hAnsi="Garamond" w:cs="Times New Roman"/>
        </w:rPr>
        <w:t>Draftu</w:t>
      </w:r>
      <w:r w:rsidR="00183CB5" w:rsidRPr="006D5B0E">
        <w:rPr>
          <w:rFonts w:ascii="Garamond" w:eastAsia="Times New Roman" w:hAnsi="Garamond"/>
        </w:rPr>
        <w:t xml:space="preserve">dhëzimit </w:t>
      </w:r>
      <w:r w:rsidR="006D5B0E">
        <w:rPr>
          <w:rFonts w:ascii="Garamond" w:eastAsia="Times New Roman" w:hAnsi="Garamond" w:cs="Times New Roman"/>
        </w:rPr>
        <w:t>“</w:t>
      </w:r>
      <w:r w:rsidRPr="006D5B0E">
        <w:rPr>
          <w:rFonts w:ascii="Garamond" w:eastAsia="Times New Roman" w:hAnsi="Garamond" w:cs="Times New Roman"/>
          <w:color w:val="000000"/>
        </w:rPr>
        <w:t>Për imunitetin nga gjobat dhe lehtësimin e gjobave në rastet e marrëveshjeve të ndaluara</w:t>
      </w:r>
      <w:r w:rsidR="006D5B0E">
        <w:rPr>
          <w:rFonts w:ascii="Garamond" w:eastAsia="Times New Roman" w:hAnsi="Garamond" w:cs="Times New Roman"/>
        </w:rPr>
        <w:t>”,</w:t>
      </w:r>
    </w:p>
    <w:p w14:paraId="7E0B1C6B" w14:textId="7AB847A1" w:rsidR="005A34B0" w:rsidRPr="006D5B0E" w:rsidRDefault="005A34B0" w:rsidP="003800F9">
      <w:pPr>
        <w:spacing w:line="240" w:lineRule="auto"/>
        <w:ind w:firstLine="284"/>
        <w:jc w:val="center"/>
        <w:rPr>
          <w:rFonts w:ascii="Garamond" w:eastAsia="Calibri" w:hAnsi="Garamond" w:cs="Times New Roman"/>
        </w:rPr>
      </w:pPr>
      <w:bookmarkStart w:id="0" w:name="bookmark14"/>
      <w:r w:rsidRPr="006D5B0E">
        <w:rPr>
          <w:rFonts w:ascii="Garamond" w:eastAsia="Calibri" w:hAnsi="Garamond" w:cs="Times New Roman"/>
        </w:rPr>
        <w:t>VENDOSI:</w:t>
      </w:r>
      <w:bookmarkEnd w:id="0"/>
    </w:p>
    <w:p w14:paraId="0AA0E7B9" w14:textId="77777777" w:rsidR="003800F9" w:rsidRPr="006D5B0E" w:rsidRDefault="003800F9" w:rsidP="003800F9">
      <w:pPr>
        <w:spacing w:line="240" w:lineRule="auto"/>
        <w:ind w:firstLine="284"/>
        <w:jc w:val="center"/>
        <w:rPr>
          <w:rFonts w:ascii="Garamond" w:eastAsia="Calibri" w:hAnsi="Garamond" w:cs="Times New Roman"/>
        </w:rPr>
      </w:pPr>
    </w:p>
    <w:p w14:paraId="0B4E3BAC" w14:textId="13D15432" w:rsidR="005A34B0" w:rsidRPr="006D5B0E" w:rsidRDefault="009449BC" w:rsidP="003800F9">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1. </w:t>
      </w:r>
      <w:r w:rsidR="00743973" w:rsidRPr="006D5B0E">
        <w:rPr>
          <w:rFonts w:ascii="Garamond" w:eastAsia="Times New Roman" w:hAnsi="Garamond" w:cs="Times New Roman"/>
        </w:rPr>
        <w:t>Miratimin e</w:t>
      </w:r>
      <w:r w:rsidR="005A34B0" w:rsidRPr="006D5B0E">
        <w:rPr>
          <w:rFonts w:ascii="Garamond" w:eastAsia="Times New Roman" w:hAnsi="Garamond" w:cs="Times New Roman"/>
        </w:rPr>
        <w:t xml:space="preserve"> </w:t>
      </w:r>
      <w:r w:rsidR="00183CB5" w:rsidRPr="006D5B0E">
        <w:rPr>
          <w:rFonts w:ascii="Garamond" w:eastAsia="Times New Roman" w:hAnsi="Garamond" w:cs="Times New Roman"/>
        </w:rPr>
        <w:t xml:space="preserve">udhëzimit </w:t>
      </w:r>
      <w:r w:rsidR="006D5B0E">
        <w:rPr>
          <w:rFonts w:ascii="Garamond" w:eastAsia="Times New Roman" w:hAnsi="Garamond" w:cs="Times New Roman"/>
        </w:rPr>
        <w:t>“</w:t>
      </w:r>
      <w:r w:rsidRPr="006D5B0E">
        <w:rPr>
          <w:rFonts w:ascii="Garamond" w:eastAsia="Times New Roman" w:hAnsi="Garamond" w:cs="Times New Roman"/>
          <w:color w:val="000000"/>
        </w:rPr>
        <w:t>Për imunitetin nga gjobat dhe lehtësimin e gjobave në rastet e marrëveshjeve të ndaluara</w:t>
      </w:r>
      <w:r w:rsidR="006D5B0E">
        <w:rPr>
          <w:rFonts w:ascii="Garamond" w:eastAsia="Times New Roman" w:hAnsi="Garamond" w:cs="Times New Roman"/>
          <w:color w:val="000000"/>
        </w:rPr>
        <w:t>”</w:t>
      </w:r>
      <w:r w:rsidRPr="006D5B0E">
        <w:rPr>
          <w:rFonts w:ascii="Garamond" w:eastAsia="Times New Roman" w:hAnsi="Garamond" w:cs="Times New Roman"/>
          <w:color w:val="000000"/>
        </w:rPr>
        <w:t xml:space="preserve">, </w:t>
      </w:r>
      <w:r w:rsidR="005A34B0" w:rsidRPr="006D5B0E">
        <w:rPr>
          <w:rFonts w:ascii="Garamond" w:eastAsia="Times New Roman" w:hAnsi="Garamond" w:cs="Times New Roman"/>
        </w:rPr>
        <w:t>sipas tekstit që i bashkëlidhet këtij vendimi.</w:t>
      </w:r>
    </w:p>
    <w:p w14:paraId="085C7402" w14:textId="2481F5C5" w:rsidR="00755F50" w:rsidRPr="006D5B0E" w:rsidRDefault="009449BC" w:rsidP="003800F9">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2. </w:t>
      </w:r>
      <w:r w:rsidR="00755F50" w:rsidRPr="006D5B0E">
        <w:rPr>
          <w:rFonts w:ascii="Garamond" w:eastAsia="Times New Roman" w:hAnsi="Garamond" w:cs="Times New Roman"/>
        </w:rPr>
        <w:t xml:space="preserve">Rregullorja </w:t>
      </w:r>
      <w:r w:rsidRPr="006D5B0E">
        <w:rPr>
          <w:rFonts w:ascii="Garamond" w:eastAsia="Times New Roman" w:hAnsi="Garamond" w:cs="Times New Roman"/>
        </w:rPr>
        <w:t>nr. 382, datë 17.11.2015</w:t>
      </w:r>
      <w:r w:rsidR="006D5B0E">
        <w:rPr>
          <w:rFonts w:ascii="Garamond" w:eastAsia="Times New Roman" w:hAnsi="Garamond" w:cs="Times New Roman"/>
        </w:rPr>
        <w:t>,</w:t>
      </w:r>
      <w:r w:rsidRPr="006D5B0E">
        <w:rPr>
          <w:rFonts w:ascii="Garamond" w:eastAsia="Times New Roman" w:hAnsi="Garamond" w:cs="Times New Roman"/>
        </w:rPr>
        <w:t xml:space="preserve"> </w:t>
      </w:r>
      <w:r w:rsidR="006D5B0E">
        <w:rPr>
          <w:rFonts w:ascii="Garamond" w:eastAsia="Times New Roman" w:hAnsi="Garamond" w:cs="Times New Roman"/>
        </w:rPr>
        <w:t>“</w:t>
      </w:r>
      <w:r w:rsidRPr="006D5B0E">
        <w:rPr>
          <w:rFonts w:ascii="Garamond" w:eastAsia="Times New Roman" w:hAnsi="Garamond" w:cs="Times New Roman"/>
        </w:rPr>
        <w:t xml:space="preserve">Për miratimin e </w:t>
      </w:r>
      <w:r w:rsidR="006D5B0E">
        <w:rPr>
          <w:rFonts w:ascii="Garamond" w:eastAsia="Times New Roman" w:hAnsi="Garamond" w:cs="Times New Roman"/>
        </w:rPr>
        <w:t>‘</w:t>
      </w:r>
      <w:r w:rsidRPr="006D5B0E">
        <w:rPr>
          <w:rFonts w:ascii="Garamond" w:eastAsia="Times New Roman" w:hAnsi="Garamond" w:cs="Times New Roman"/>
        </w:rPr>
        <w:t xml:space="preserve">Programit të </w:t>
      </w:r>
      <w:r w:rsidR="006D5B0E" w:rsidRPr="006D5B0E">
        <w:rPr>
          <w:rFonts w:ascii="Garamond" w:eastAsia="Times New Roman" w:hAnsi="Garamond" w:cs="Times New Roman"/>
        </w:rPr>
        <w:t>lehtësimit nga gjobat</w:t>
      </w:r>
      <w:r w:rsidR="006D5B0E">
        <w:rPr>
          <w:rFonts w:ascii="Garamond" w:eastAsia="Times New Roman" w:hAnsi="Garamond" w:cs="Times New Roman"/>
        </w:rPr>
        <w:t>”</w:t>
      </w:r>
      <w:r w:rsidRPr="006D5B0E">
        <w:rPr>
          <w:rFonts w:ascii="Garamond" w:eastAsia="Times New Roman" w:hAnsi="Garamond" w:cs="Times New Roman"/>
        </w:rPr>
        <w:t xml:space="preserve"> dhe </w:t>
      </w:r>
      <w:r w:rsidR="006D5B0E">
        <w:rPr>
          <w:rFonts w:ascii="Garamond" w:eastAsia="Times New Roman" w:hAnsi="Garamond" w:cs="Times New Roman"/>
        </w:rPr>
        <w:t>‘</w:t>
      </w:r>
      <w:r w:rsidRPr="006D5B0E">
        <w:rPr>
          <w:rFonts w:ascii="Garamond" w:eastAsia="Times New Roman" w:hAnsi="Garamond" w:cs="Times New Roman"/>
        </w:rPr>
        <w:t>Formulari</w:t>
      </w:r>
      <w:r w:rsidR="006D5B0E">
        <w:rPr>
          <w:rFonts w:ascii="Garamond" w:eastAsia="Times New Roman" w:hAnsi="Garamond" w:cs="Times New Roman"/>
        </w:rPr>
        <w:t>t</w:t>
      </w:r>
      <w:r w:rsidRPr="006D5B0E">
        <w:rPr>
          <w:rFonts w:ascii="Garamond" w:eastAsia="Times New Roman" w:hAnsi="Garamond" w:cs="Times New Roman"/>
        </w:rPr>
        <w:t xml:space="preserve"> </w:t>
      </w:r>
      <w:r w:rsidR="006D5B0E">
        <w:rPr>
          <w:rFonts w:ascii="Garamond" w:eastAsia="Times New Roman" w:hAnsi="Garamond" w:cs="Times New Roman"/>
        </w:rPr>
        <w:t>të</w:t>
      </w:r>
      <w:r w:rsidRPr="006D5B0E">
        <w:rPr>
          <w:rFonts w:ascii="Garamond" w:eastAsia="Times New Roman" w:hAnsi="Garamond" w:cs="Times New Roman"/>
        </w:rPr>
        <w:t xml:space="preserve"> </w:t>
      </w:r>
      <w:r w:rsidR="006D5B0E" w:rsidRPr="006D5B0E">
        <w:rPr>
          <w:rFonts w:ascii="Garamond" w:eastAsia="Times New Roman" w:hAnsi="Garamond" w:cs="Times New Roman"/>
        </w:rPr>
        <w:t>aplikimit për lehtësimin nga gjobat</w:t>
      </w:r>
      <w:r w:rsidR="006D5B0E">
        <w:rPr>
          <w:rFonts w:ascii="Garamond" w:eastAsia="Times New Roman" w:hAnsi="Garamond" w:cs="Times New Roman"/>
        </w:rPr>
        <w:t>’”</w:t>
      </w:r>
      <w:r w:rsidRPr="006D5B0E">
        <w:rPr>
          <w:rFonts w:ascii="Garamond" w:eastAsia="Times New Roman" w:hAnsi="Garamond" w:cs="Times New Roman"/>
        </w:rPr>
        <w:t xml:space="preserve">, </w:t>
      </w:r>
      <w:r w:rsidR="00755F50" w:rsidRPr="006D5B0E">
        <w:rPr>
          <w:rFonts w:ascii="Garamond" w:eastAsia="Times New Roman" w:hAnsi="Garamond" w:cs="Times New Roman"/>
        </w:rPr>
        <w:t>shfuqizohet.</w:t>
      </w:r>
    </w:p>
    <w:p w14:paraId="5353E045" w14:textId="10F89F22" w:rsidR="00064B56" w:rsidRPr="006D5B0E" w:rsidRDefault="009449BC" w:rsidP="003800F9">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3. </w:t>
      </w:r>
      <w:r w:rsidR="00D56DE5" w:rsidRPr="006D5B0E">
        <w:rPr>
          <w:rFonts w:ascii="Garamond" w:eastAsia="Times New Roman" w:hAnsi="Garamond" w:cs="Times New Roman"/>
        </w:rPr>
        <w:t>Ngarkohet Sekretari i P</w:t>
      </w:r>
      <w:r w:rsidR="009454DD" w:rsidRPr="006D5B0E">
        <w:rPr>
          <w:rFonts w:ascii="Garamond" w:eastAsia="Times New Roman" w:hAnsi="Garamond" w:cs="Times New Roman"/>
        </w:rPr>
        <w:t>ë</w:t>
      </w:r>
      <w:r w:rsidR="00D56DE5" w:rsidRPr="006D5B0E">
        <w:rPr>
          <w:rFonts w:ascii="Garamond" w:eastAsia="Times New Roman" w:hAnsi="Garamond" w:cs="Times New Roman"/>
        </w:rPr>
        <w:t>rgjithsh</w:t>
      </w:r>
      <w:r w:rsidR="009454DD" w:rsidRPr="006D5B0E">
        <w:rPr>
          <w:rFonts w:ascii="Garamond" w:eastAsia="Times New Roman" w:hAnsi="Garamond" w:cs="Times New Roman"/>
        </w:rPr>
        <w:t>ë</w:t>
      </w:r>
      <w:r w:rsidR="00D56DE5" w:rsidRPr="006D5B0E">
        <w:rPr>
          <w:rFonts w:ascii="Garamond" w:eastAsia="Times New Roman" w:hAnsi="Garamond" w:cs="Times New Roman"/>
        </w:rPr>
        <w:t>m p</w:t>
      </w:r>
      <w:r w:rsidR="009454DD" w:rsidRPr="006D5B0E">
        <w:rPr>
          <w:rFonts w:ascii="Garamond" w:eastAsia="Times New Roman" w:hAnsi="Garamond" w:cs="Times New Roman"/>
        </w:rPr>
        <w:t>ë</w:t>
      </w:r>
      <w:r w:rsidR="00D56DE5" w:rsidRPr="006D5B0E">
        <w:rPr>
          <w:rFonts w:ascii="Garamond" w:eastAsia="Times New Roman" w:hAnsi="Garamond" w:cs="Times New Roman"/>
        </w:rPr>
        <w:t>r zbatimin e k</w:t>
      </w:r>
      <w:r w:rsidR="009454DD" w:rsidRPr="006D5B0E">
        <w:rPr>
          <w:rFonts w:ascii="Garamond" w:eastAsia="Times New Roman" w:hAnsi="Garamond" w:cs="Times New Roman"/>
        </w:rPr>
        <w:t>ë</w:t>
      </w:r>
      <w:r w:rsidR="00D56DE5" w:rsidRPr="006D5B0E">
        <w:rPr>
          <w:rFonts w:ascii="Garamond" w:eastAsia="Times New Roman" w:hAnsi="Garamond" w:cs="Times New Roman"/>
        </w:rPr>
        <w:t>tij vendimi.</w:t>
      </w:r>
    </w:p>
    <w:p w14:paraId="46B3965A" w14:textId="26B4481A" w:rsidR="005A34B0" w:rsidRPr="006D5B0E" w:rsidRDefault="005A34B0" w:rsidP="003800F9">
      <w:pPr>
        <w:spacing w:line="240" w:lineRule="auto"/>
        <w:ind w:firstLine="284"/>
        <w:jc w:val="both"/>
        <w:rPr>
          <w:rFonts w:ascii="Garamond" w:eastAsia="Calibri" w:hAnsi="Garamond" w:cs="Times New Roman"/>
        </w:rPr>
      </w:pPr>
      <w:r w:rsidRPr="006D5B0E">
        <w:rPr>
          <w:rFonts w:ascii="Garamond" w:eastAsia="Calibri" w:hAnsi="Garamond" w:cs="Times New Roman"/>
        </w:rPr>
        <w:t xml:space="preserve">Ky vendim hyn në fuqi menjëherë. </w:t>
      </w:r>
    </w:p>
    <w:p w14:paraId="6D3ECA36" w14:textId="77777777" w:rsidR="003800F9" w:rsidRPr="006D5B0E" w:rsidRDefault="003800F9" w:rsidP="009A08BC">
      <w:pPr>
        <w:spacing w:line="240" w:lineRule="auto"/>
        <w:ind w:firstLine="284"/>
        <w:jc w:val="center"/>
        <w:rPr>
          <w:rFonts w:ascii="Garamond" w:eastAsia="Calibri" w:hAnsi="Garamond" w:cs="Times New Roman"/>
        </w:rPr>
      </w:pPr>
    </w:p>
    <w:p w14:paraId="7987151C" w14:textId="04096D9F" w:rsidR="003800F9" w:rsidRDefault="003800F9" w:rsidP="009A08BC">
      <w:pPr>
        <w:spacing w:line="240" w:lineRule="auto"/>
        <w:ind w:firstLine="284"/>
        <w:rPr>
          <w:rFonts w:ascii="Garamond" w:hAnsi="Garamond" w:cs="Times New Roman"/>
          <w:spacing w:val="-2"/>
        </w:rPr>
      </w:pPr>
      <w:r w:rsidRPr="006D5B0E">
        <w:rPr>
          <w:rFonts w:ascii="Garamond" w:hAnsi="Garamond" w:cs="Times New Roman"/>
        </w:rPr>
        <w:t>KOMISIONI</w:t>
      </w:r>
      <w:r w:rsidRPr="006D5B0E">
        <w:rPr>
          <w:rFonts w:ascii="Garamond" w:hAnsi="Garamond" w:cs="Times New Roman"/>
          <w:spacing w:val="-5"/>
        </w:rPr>
        <w:t xml:space="preserve"> </w:t>
      </w:r>
      <w:r w:rsidR="009A08BC">
        <w:rPr>
          <w:rFonts w:ascii="Garamond" w:hAnsi="Garamond" w:cs="Times New Roman"/>
        </w:rPr>
        <w:t>I</w:t>
      </w:r>
      <w:r w:rsidRPr="006D5B0E">
        <w:rPr>
          <w:rFonts w:ascii="Garamond" w:hAnsi="Garamond" w:cs="Times New Roman"/>
          <w:spacing w:val="-2"/>
        </w:rPr>
        <w:t xml:space="preserve"> KONKURRENCËS</w:t>
      </w:r>
    </w:p>
    <w:p w14:paraId="5D6B09B0" w14:textId="560E65AF" w:rsidR="009A08BC" w:rsidRPr="009A08BC" w:rsidRDefault="009A08BC" w:rsidP="009A08BC">
      <w:pPr>
        <w:spacing w:line="240" w:lineRule="auto"/>
        <w:ind w:firstLine="284"/>
        <w:rPr>
          <w:rFonts w:ascii="Garamond" w:hAnsi="Garamond" w:cs="Times New Roman"/>
          <w:spacing w:val="-2"/>
        </w:rPr>
      </w:pPr>
      <w:r w:rsidRPr="009A08BC">
        <w:rPr>
          <w:rFonts w:ascii="Garamond" w:hAnsi="Garamond" w:cs="Times New Roman"/>
          <w:spacing w:val="-2"/>
        </w:rPr>
        <w:t>Kryetar</w:t>
      </w:r>
      <w:r>
        <w:rPr>
          <w:rFonts w:ascii="Garamond" w:hAnsi="Garamond" w:cs="Times New Roman"/>
          <w:spacing w:val="-2"/>
        </w:rPr>
        <w:t>:</w:t>
      </w:r>
      <w:r w:rsidR="007B1DEA">
        <w:rPr>
          <w:rFonts w:ascii="Garamond" w:hAnsi="Garamond" w:cs="Times New Roman"/>
          <w:spacing w:val="-2"/>
        </w:rPr>
        <w:t xml:space="preserve"> </w:t>
      </w:r>
      <w:bookmarkStart w:id="1" w:name="_GoBack"/>
      <w:bookmarkEnd w:id="1"/>
      <w:r w:rsidRPr="009A08BC">
        <w:rPr>
          <w:rFonts w:ascii="Garamond" w:hAnsi="Garamond" w:cs="Times New Roman"/>
          <w:spacing w:val="-2"/>
        </w:rPr>
        <w:t>Denar Biba</w:t>
      </w:r>
    </w:p>
    <w:p w14:paraId="6E5F7A34" w14:textId="2C8D1D52" w:rsidR="009A08BC" w:rsidRPr="009A08BC" w:rsidRDefault="009A08BC" w:rsidP="009A08BC">
      <w:pPr>
        <w:spacing w:line="240" w:lineRule="auto"/>
        <w:ind w:firstLine="284"/>
        <w:rPr>
          <w:rFonts w:ascii="Garamond" w:hAnsi="Garamond" w:cs="Times New Roman"/>
          <w:spacing w:val="-2"/>
        </w:rPr>
      </w:pPr>
      <w:r w:rsidRPr="009A08BC">
        <w:rPr>
          <w:rFonts w:ascii="Garamond" w:hAnsi="Garamond" w:cs="Times New Roman"/>
          <w:spacing w:val="-2"/>
        </w:rPr>
        <w:t>Zv/kryetar</w:t>
      </w:r>
      <w:r>
        <w:rPr>
          <w:rFonts w:ascii="Garamond" w:hAnsi="Garamond" w:cs="Times New Roman"/>
          <w:spacing w:val="-2"/>
        </w:rPr>
        <w:t>:</w:t>
      </w:r>
      <w:r w:rsidRPr="009A08BC">
        <w:rPr>
          <w:rFonts w:ascii="Garamond" w:hAnsi="Garamond" w:cs="Times New Roman"/>
          <w:spacing w:val="-2"/>
        </w:rPr>
        <w:t xml:space="preserve"> Leida Matja</w:t>
      </w:r>
    </w:p>
    <w:p w14:paraId="5FE011DA" w14:textId="4CBEB260" w:rsidR="009A08BC" w:rsidRPr="009A08BC" w:rsidRDefault="009A08BC" w:rsidP="009A08BC">
      <w:pPr>
        <w:spacing w:line="240" w:lineRule="auto"/>
        <w:ind w:firstLine="284"/>
        <w:rPr>
          <w:rFonts w:ascii="Garamond" w:hAnsi="Garamond" w:cs="Times New Roman"/>
          <w:spacing w:val="-2"/>
        </w:rPr>
      </w:pPr>
      <w:r w:rsidRPr="009A08BC">
        <w:rPr>
          <w:rFonts w:ascii="Garamond" w:hAnsi="Garamond" w:cs="Times New Roman"/>
          <w:spacing w:val="-2"/>
        </w:rPr>
        <w:t>Anëtar</w:t>
      </w:r>
      <w:r>
        <w:rPr>
          <w:rFonts w:ascii="Garamond" w:hAnsi="Garamond" w:cs="Times New Roman"/>
          <w:spacing w:val="-2"/>
        </w:rPr>
        <w:t xml:space="preserve">ë: </w:t>
      </w:r>
      <w:r w:rsidRPr="009A08BC">
        <w:rPr>
          <w:rFonts w:ascii="Garamond" w:hAnsi="Garamond" w:cs="Times New Roman"/>
          <w:spacing w:val="-2"/>
        </w:rPr>
        <w:t>Rezana Konomi</w:t>
      </w:r>
      <w:r>
        <w:rPr>
          <w:rFonts w:ascii="Garamond" w:hAnsi="Garamond" w:cs="Times New Roman"/>
          <w:spacing w:val="-2"/>
        </w:rPr>
        <w:t>,</w:t>
      </w:r>
      <w:r w:rsidRPr="009A08BC">
        <w:rPr>
          <w:rFonts w:ascii="Garamond" w:hAnsi="Garamond" w:cs="Times New Roman"/>
          <w:spacing w:val="-2"/>
        </w:rPr>
        <w:t xml:space="preserve"> Durim Kraja</w:t>
      </w:r>
      <w:r>
        <w:rPr>
          <w:rFonts w:ascii="Garamond" w:hAnsi="Garamond" w:cs="Times New Roman"/>
          <w:spacing w:val="-2"/>
        </w:rPr>
        <w:t>,</w:t>
      </w:r>
      <w:r w:rsidRPr="009A08BC">
        <w:rPr>
          <w:rFonts w:ascii="Garamond" w:hAnsi="Garamond" w:cs="Times New Roman"/>
          <w:spacing w:val="-2"/>
        </w:rPr>
        <w:t xml:space="preserve"> Fatjola Delija</w:t>
      </w:r>
    </w:p>
    <w:p w14:paraId="0727C569" w14:textId="77777777" w:rsidR="00D77A88" w:rsidRPr="006D5B0E" w:rsidRDefault="00D77A88" w:rsidP="003800F9">
      <w:pPr>
        <w:spacing w:line="240" w:lineRule="auto"/>
        <w:ind w:firstLine="284"/>
        <w:jc w:val="right"/>
        <w:rPr>
          <w:rFonts w:ascii="Garamond" w:hAnsi="Garamond" w:cs="Times New Roman"/>
          <w:b/>
        </w:rPr>
      </w:pPr>
    </w:p>
    <w:p w14:paraId="73C528FF" w14:textId="77777777" w:rsidR="00D77A88" w:rsidRPr="006D5B0E" w:rsidRDefault="00D77A88" w:rsidP="009757ED">
      <w:pPr>
        <w:spacing w:line="240" w:lineRule="auto"/>
        <w:ind w:firstLine="284"/>
        <w:jc w:val="center"/>
        <w:rPr>
          <w:rFonts w:ascii="Garamond" w:eastAsia="Times New Roman" w:hAnsi="Garamond" w:cs="Times New Roman"/>
          <w:b/>
          <w:bCs/>
        </w:rPr>
      </w:pPr>
      <w:r w:rsidRPr="006D5B0E">
        <w:rPr>
          <w:rFonts w:ascii="Garamond" w:eastAsia="Times New Roman" w:hAnsi="Garamond" w:cs="Times New Roman"/>
          <w:b/>
          <w:bCs/>
        </w:rPr>
        <w:t>UDHËZIM</w:t>
      </w:r>
    </w:p>
    <w:p w14:paraId="6DC2C13C" w14:textId="77777777" w:rsidR="00D77A88" w:rsidRPr="006D5B0E" w:rsidRDefault="00D77A88" w:rsidP="009757ED">
      <w:pPr>
        <w:spacing w:line="240" w:lineRule="auto"/>
        <w:ind w:firstLine="284"/>
        <w:jc w:val="center"/>
        <w:rPr>
          <w:rFonts w:ascii="Garamond" w:eastAsia="Times New Roman" w:hAnsi="Garamond" w:cs="Times New Roman"/>
          <w:bCs/>
        </w:rPr>
      </w:pPr>
      <w:r w:rsidRPr="006D5B0E">
        <w:rPr>
          <w:rFonts w:ascii="Garamond" w:eastAsia="Times New Roman" w:hAnsi="Garamond" w:cs="Times New Roman"/>
          <w:bCs/>
        </w:rPr>
        <w:t>PËR IMUNITETIN NGA GJOBAT DHE LEHTËSIMIN E GJOBAVE NË RASTET E MARRËVESHJEVE TË NDALUARA</w:t>
      </w:r>
      <w:r w:rsidRPr="006D5B0E">
        <w:rPr>
          <w:rStyle w:val="FootnoteReference"/>
          <w:rFonts w:ascii="Garamond" w:eastAsia="Times New Roman" w:hAnsi="Garamond" w:cs="Times New Roman"/>
          <w:bCs/>
        </w:rPr>
        <w:footnoteReference w:id="2"/>
      </w:r>
    </w:p>
    <w:p w14:paraId="28DA3B22" w14:textId="77777777" w:rsidR="00D77A88" w:rsidRPr="006D5B0E" w:rsidRDefault="00D77A88" w:rsidP="009757ED">
      <w:pPr>
        <w:spacing w:line="240" w:lineRule="auto"/>
        <w:ind w:firstLine="284"/>
        <w:jc w:val="center"/>
        <w:rPr>
          <w:rFonts w:ascii="Garamond" w:eastAsia="Times New Roman" w:hAnsi="Garamond" w:cs="Times New Roman"/>
          <w:b/>
          <w:bCs/>
        </w:rPr>
      </w:pPr>
    </w:p>
    <w:p w14:paraId="571B3E0C" w14:textId="77777777" w:rsidR="00D77A88" w:rsidRPr="006D5B0E" w:rsidRDefault="00D77A88" w:rsidP="009757ED">
      <w:pPr>
        <w:spacing w:line="240" w:lineRule="auto"/>
        <w:ind w:firstLine="284"/>
        <w:jc w:val="both"/>
        <w:rPr>
          <w:rFonts w:ascii="Garamond" w:eastAsia="Times New Roman" w:hAnsi="Garamond" w:cs="Times New Roman"/>
          <w:bCs/>
        </w:rPr>
      </w:pPr>
      <w:r w:rsidRPr="006D5B0E">
        <w:rPr>
          <w:rFonts w:ascii="Garamond" w:eastAsia="Times New Roman" w:hAnsi="Garamond" w:cs="Times New Roman"/>
          <w:bCs/>
        </w:rPr>
        <w:t>I. HYRJE</w:t>
      </w:r>
    </w:p>
    <w:p w14:paraId="62A40AA0" w14:textId="7C08A858"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1. Ky </w:t>
      </w:r>
      <w:r w:rsidR="006D5B0E" w:rsidRPr="006D5B0E">
        <w:rPr>
          <w:rFonts w:ascii="Garamond" w:eastAsia="Times New Roman" w:hAnsi="Garamond" w:cs="Times New Roman"/>
        </w:rPr>
        <w:t xml:space="preserve">udhëzim </w:t>
      </w:r>
      <w:r w:rsidRPr="006D5B0E">
        <w:rPr>
          <w:rFonts w:ascii="Garamond" w:eastAsia="Times New Roman" w:hAnsi="Garamond" w:cs="Times New Roman"/>
        </w:rPr>
        <w:t xml:space="preserve">përcakton kuadrin për shpërblimin e bashkëpunimit në hetimin e Autoritetit të Konkurrencës nga ndërmarrjet që janë ose kanë qenë palë në kartele sekrete që ndikojnë në tregun </w:t>
      </w:r>
      <w:r w:rsidR="006D5B0E">
        <w:rPr>
          <w:rFonts w:ascii="Garamond" w:eastAsia="Times New Roman" w:hAnsi="Garamond" w:cs="Times New Roman"/>
        </w:rPr>
        <w:t>s</w:t>
      </w:r>
      <w:r w:rsidRPr="006D5B0E">
        <w:rPr>
          <w:rFonts w:ascii="Garamond" w:eastAsia="Times New Roman" w:hAnsi="Garamond" w:cs="Times New Roman"/>
        </w:rPr>
        <w:t xml:space="preserve">hqiptar. Kartelet janë marrëveshje dhe/ose praktika të bashkërenduara midis dy ose më shumë konkurrentëve që synojnë koordinimin e sjelljes së tyre konkurruese </w:t>
      </w:r>
      <w:r w:rsidRPr="006D5B0E">
        <w:rPr>
          <w:rFonts w:ascii="Garamond" w:eastAsia="Times New Roman" w:hAnsi="Garamond" w:cs="Times New Roman"/>
        </w:rPr>
        <w:lastRenderedPageBreak/>
        <w:t>në treg dhe/ose ndikimin në parametrat përkatës të konkurrencës</w:t>
      </w:r>
      <w:r w:rsidR="006D5B0E">
        <w:rPr>
          <w:rFonts w:ascii="Garamond" w:eastAsia="Times New Roman" w:hAnsi="Garamond" w:cs="Times New Roman"/>
        </w:rPr>
        <w:t>,</w:t>
      </w:r>
      <w:r w:rsidRPr="006D5B0E">
        <w:rPr>
          <w:rFonts w:ascii="Garamond" w:eastAsia="Times New Roman" w:hAnsi="Garamond" w:cs="Times New Roman"/>
        </w:rPr>
        <w:t xml:space="preserve"> përmes praktikave të tilla si përcaktimi i çmimeve të blerjes ose shitjes</w:t>
      </w:r>
      <w:r w:rsidR="006D5B0E">
        <w:rPr>
          <w:rFonts w:ascii="Garamond" w:eastAsia="Times New Roman" w:hAnsi="Garamond" w:cs="Times New Roman"/>
        </w:rPr>
        <w:t>,</w:t>
      </w:r>
      <w:r w:rsidRPr="006D5B0E">
        <w:rPr>
          <w:rFonts w:ascii="Garamond" w:eastAsia="Times New Roman" w:hAnsi="Garamond" w:cs="Times New Roman"/>
        </w:rPr>
        <w:t xml:space="preserve"> ose kushteve të tjera tregtare, ndarja e kuotave të prodhimit ose shitjes, ndarja e tregjeve</w:t>
      </w:r>
      <w:r w:rsidR="006D5B0E">
        <w:rPr>
          <w:rFonts w:ascii="Garamond" w:eastAsia="Times New Roman" w:hAnsi="Garamond" w:cs="Times New Roman"/>
        </w:rPr>
        <w:t>,</w:t>
      </w:r>
      <w:r w:rsidRPr="006D5B0E">
        <w:rPr>
          <w:rFonts w:ascii="Garamond" w:eastAsia="Times New Roman" w:hAnsi="Garamond" w:cs="Times New Roman"/>
        </w:rPr>
        <w:t xml:space="preserve"> duke përfshirë manipulimin e ofertave, kufizimet e importeve ose eksporteve dhe/ose veprimet antikonkurruese kundër konkurrentëve të tjerë. Praktika të tilla janë ndër shkeljet më serioze të </w:t>
      </w:r>
      <w:r w:rsidR="006D5B0E" w:rsidRPr="006D5B0E">
        <w:rPr>
          <w:rFonts w:ascii="Garamond" w:hAnsi="Garamond" w:cs="Times New Roman"/>
        </w:rPr>
        <w:t>ligjit n</w:t>
      </w:r>
      <w:r w:rsidR="006D5B0E">
        <w:rPr>
          <w:rFonts w:ascii="Garamond" w:hAnsi="Garamond" w:cs="Times New Roman"/>
        </w:rPr>
        <w:t>r. 9121, datë 28.</w:t>
      </w:r>
      <w:r w:rsidRPr="006D5B0E">
        <w:rPr>
          <w:rFonts w:ascii="Garamond" w:hAnsi="Garamond" w:cs="Times New Roman"/>
        </w:rPr>
        <w:t>7.2003</w:t>
      </w:r>
      <w:r w:rsidR="006D5B0E">
        <w:rPr>
          <w:rFonts w:ascii="Garamond" w:hAnsi="Garamond" w:cs="Times New Roman"/>
        </w:rPr>
        <w:t>,</w:t>
      </w:r>
      <w:r w:rsidRPr="006D5B0E">
        <w:rPr>
          <w:rFonts w:ascii="Garamond" w:hAnsi="Garamond" w:cs="Times New Roman"/>
        </w:rPr>
        <w:t xml:space="preserve"> </w:t>
      </w:r>
      <w:r w:rsidR="006D5B0E">
        <w:rPr>
          <w:rFonts w:ascii="Garamond" w:hAnsi="Garamond" w:cs="Times New Roman"/>
        </w:rPr>
        <w:t>“</w:t>
      </w:r>
      <w:r w:rsidRPr="006D5B0E">
        <w:rPr>
          <w:rFonts w:ascii="Garamond" w:hAnsi="Garamond" w:cs="Times New Roman"/>
        </w:rPr>
        <w:t>Për Mbrojtjen e Konkurrencës</w:t>
      </w:r>
      <w:r w:rsidR="006D5B0E">
        <w:rPr>
          <w:rFonts w:ascii="Garamond" w:hAnsi="Garamond" w:cs="Times New Roman"/>
        </w:rPr>
        <w:t>”</w:t>
      </w:r>
      <w:r w:rsidRPr="006D5B0E">
        <w:rPr>
          <w:rFonts w:ascii="Garamond" w:hAnsi="Garamond" w:cs="Times New Roman"/>
        </w:rPr>
        <w:t xml:space="preserve"> (këtej e tutje referuar si </w:t>
      </w:r>
      <w:r w:rsidR="006D5B0E">
        <w:rPr>
          <w:rFonts w:ascii="Garamond" w:hAnsi="Garamond" w:cs="Times New Roman"/>
        </w:rPr>
        <w:t>“l</w:t>
      </w:r>
      <w:r w:rsidRPr="006D5B0E">
        <w:rPr>
          <w:rFonts w:ascii="Garamond" w:hAnsi="Garamond" w:cs="Times New Roman"/>
        </w:rPr>
        <w:t>igji</w:t>
      </w:r>
      <w:r w:rsidR="006D5B0E">
        <w:rPr>
          <w:rFonts w:ascii="Garamond" w:hAnsi="Garamond" w:cs="Times New Roman"/>
        </w:rPr>
        <w:t>”</w:t>
      </w:r>
      <w:r w:rsidRPr="006D5B0E">
        <w:rPr>
          <w:rFonts w:ascii="Garamond" w:hAnsi="Garamond" w:cs="Times New Roman"/>
        </w:rPr>
        <w:t>)</w:t>
      </w:r>
      <w:r w:rsidR="006D5B0E">
        <w:rPr>
          <w:rFonts w:ascii="Garamond" w:hAnsi="Garamond" w:cs="Times New Roman"/>
        </w:rPr>
        <w:t>.</w:t>
      </w:r>
    </w:p>
    <w:p w14:paraId="4A387A76" w14:textId="74B60B4C"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2. Duke kufizuar artificialisht konkurrencën që normalisht do të mbizotëronte midis tyre, ndërmarrjet shmangin pikërisht ato presione që çojnë drejt inovacionit, si në aspektin e zhvillimit të produkteve ashtu edhe në prezantimin e metodave më efikase të prodhimit. Praktika të tilla çojnë</w:t>
      </w:r>
      <w:r w:rsidR="006D5B0E">
        <w:rPr>
          <w:rFonts w:ascii="Garamond" w:eastAsia="Times New Roman" w:hAnsi="Garamond" w:cs="Times New Roman"/>
        </w:rPr>
        <w:t>,</w:t>
      </w:r>
      <w:r w:rsidRPr="006D5B0E">
        <w:rPr>
          <w:rFonts w:ascii="Garamond" w:eastAsia="Times New Roman" w:hAnsi="Garamond" w:cs="Times New Roman"/>
        </w:rPr>
        <w:t xml:space="preserve"> gjithashtu</w:t>
      </w:r>
      <w:r w:rsidR="006D5B0E">
        <w:rPr>
          <w:rFonts w:ascii="Garamond" w:eastAsia="Times New Roman" w:hAnsi="Garamond" w:cs="Times New Roman"/>
        </w:rPr>
        <w:t>,</w:t>
      </w:r>
      <w:r w:rsidRPr="006D5B0E">
        <w:rPr>
          <w:rFonts w:ascii="Garamond" w:eastAsia="Times New Roman" w:hAnsi="Garamond" w:cs="Times New Roman"/>
        </w:rPr>
        <w:t xml:space="preserve"> në lëndë të para dhe përbërës më të shtrenjtë për kompanitë vendase që blejnë nga këta prodhues. Si rezultat, konsumatorët përballen me çmime artificialisht më të larta dhe me më pak alternativa zgjedhjeje. Në planin afatgjatë, kjo sjell humbje të konkurrueshmërisë dhe reduktim të mundësive për punësim.</w:t>
      </w:r>
    </w:p>
    <w:p w14:paraId="73BECEA4" w14:textId="02DEF742"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3. Nga vetë natyra e tyre, kartelet janë shpesh të vështira për t</w:t>
      </w:r>
      <w:r w:rsidR="006D5B0E">
        <w:rPr>
          <w:rFonts w:ascii="Garamond" w:eastAsia="Times New Roman" w:hAnsi="Garamond" w:cs="Times New Roman"/>
        </w:rPr>
        <w:t>’</w:t>
      </w:r>
      <w:r w:rsidRPr="006D5B0E">
        <w:rPr>
          <w:rFonts w:ascii="Garamond" w:eastAsia="Times New Roman" w:hAnsi="Garamond" w:cs="Times New Roman"/>
        </w:rPr>
        <w:t>u zbuluar dhe hetuar pa bashkëpunimin e ndërmarrjeve ose individëve të përfshirë në to. Prandaj, Autoriteti i Konkurrencës konsideron se është në interesin kombëtar të shpërblejë ndërmarrjet e përfshira në këtë lloj praktike të paligjshme, të cilat janë të gatshme t</w:t>
      </w:r>
      <w:r w:rsidR="006D5B0E">
        <w:rPr>
          <w:rFonts w:ascii="Garamond" w:eastAsia="Times New Roman" w:hAnsi="Garamond" w:cs="Times New Roman"/>
        </w:rPr>
        <w:t>’</w:t>
      </w:r>
      <w:r w:rsidRPr="006D5B0E">
        <w:rPr>
          <w:rFonts w:ascii="Garamond" w:eastAsia="Times New Roman" w:hAnsi="Garamond" w:cs="Times New Roman"/>
        </w:rPr>
        <w:t>i japin fund pjesëmarrjes së tyre dhe të bashkëpunojnë në hetimin e Autoritetit të Konkurrencës, pavarësisht nga pjesa tjetër e ndërmarrjeve të përfshira në kartel. Interesat e konsumatorëve dhe qytetarëve për të siguruar që kartelet të zbulohen dhe të ndëshkohen tejkalojnë interesin në gjobitjen e atyre ndërmarrjeve që i mundësojnë Autoritetit të Konkurrencës të zbulojë dhe ndalojë praktika të tilla.</w:t>
      </w:r>
    </w:p>
    <w:p w14:paraId="7A0A583E"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4. Autoriteti i Konkurrencës konsideron se bashkëpunimi i një ndërmarrjeje në zbulimin e ekzistencës së një karteli ka një vlerë të brendshme. Një kontribut vendimtar në hapjen e një hetimi ose në gjetjen e një shkeljeje mund të justifikojë dhënien e imunitetit nga çdo gjobë për ndërmarrjen në fjalë, me kusht që të përmbushen disa kërkesa shtesë.</w:t>
      </w:r>
    </w:p>
    <w:p w14:paraId="79E84DA9"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5. Për më tepër, bashkëpunimi nga një ose më shumë ndërmarrje mund të justifikojë një ulje të gjobës nga Autoriteti i Konkurrencës. Çdo ulje e gjobës duhet të pasqyrojë kontributin real të ndërmarrjes, në aspektin e cilësisë dhe kohës, në përcaktimin e shkeljes nga Autoriteti i Konkurrencës. Uljet duhet të kufizohen në ato ndërmarrje që i ofrojnë Autoritetit të Konkurrencës prova që i shtojnë vlerë të konsiderueshme provave që janë tashmë në zotërim të Autoritetit të Konkurrencës.</w:t>
      </w:r>
    </w:p>
    <w:p w14:paraId="5FF8586F" w14:textId="0287DBEC"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6. Përveç paraqitjes së dokumenteve paraprake, ndërmarrjet mund t</w:t>
      </w:r>
      <w:r w:rsidR="006D5B0E">
        <w:rPr>
          <w:rFonts w:ascii="Garamond" w:eastAsia="Times New Roman" w:hAnsi="Garamond" w:cs="Times New Roman"/>
        </w:rPr>
        <w:t>’</w:t>
      </w:r>
      <w:r w:rsidRPr="006D5B0E">
        <w:rPr>
          <w:rFonts w:ascii="Garamond" w:eastAsia="Times New Roman" w:hAnsi="Garamond" w:cs="Times New Roman"/>
        </w:rPr>
        <w:t>i paraqesin Autoritetit të Konkurrencës deklarime vullnetare mbi njohuritë e tyre për një kartel dhe rolin e tyre në të, të përgatitura posaçërisht për t</w:t>
      </w:r>
      <w:r w:rsidR="006D5B0E">
        <w:rPr>
          <w:rFonts w:ascii="Garamond" w:eastAsia="Times New Roman" w:hAnsi="Garamond" w:cs="Times New Roman"/>
        </w:rPr>
        <w:t>’</w:t>
      </w:r>
      <w:r w:rsidRPr="006D5B0E">
        <w:rPr>
          <w:rFonts w:ascii="Garamond" w:eastAsia="Times New Roman" w:hAnsi="Garamond" w:cs="Times New Roman"/>
        </w:rPr>
        <w:t>u paraqitur sipas këtij programi lehtësimi. Këto iniciativa kanë rezultuar të dobishme për hetimin efektiv dhe ndërprerjen e shkeljeve të karteleve dhe ato nuk duhet të dekurajohen nga urdhrat e gjykatës për paraqitjen e provave në kuadër të proceseve civile. Aplikantët potencialë për lehtësim mund të dekurajohen nga bashkëpunimi me Autoritetin e Konkurrencës</w:t>
      </w:r>
      <w:r w:rsidR="006D5B0E">
        <w:rPr>
          <w:rFonts w:ascii="Garamond" w:eastAsia="Times New Roman" w:hAnsi="Garamond" w:cs="Times New Roman"/>
        </w:rPr>
        <w:t>,</w:t>
      </w:r>
      <w:r w:rsidRPr="006D5B0E">
        <w:rPr>
          <w:rFonts w:ascii="Garamond" w:eastAsia="Times New Roman" w:hAnsi="Garamond" w:cs="Times New Roman"/>
        </w:rPr>
        <w:t xml:space="preserve"> sipas këtij </w:t>
      </w:r>
      <w:r w:rsidR="006D5B0E">
        <w:rPr>
          <w:rFonts w:ascii="Garamond" w:eastAsia="Times New Roman" w:hAnsi="Garamond" w:cs="Times New Roman"/>
        </w:rPr>
        <w:t>u</w:t>
      </w:r>
      <w:r w:rsidRPr="006D5B0E">
        <w:rPr>
          <w:rFonts w:ascii="Garamond" w:eastAsia="Times New Roman" w:hAnsi="Garamond" w:cs="Times New Roman"/>
        </w:rPr>
        <w:t>dhëzimi</w:t>
      </w:r>
      <w:r w:rsidR="006D5B0E">
        <w:rPr>
          <w:rFonts w:ascii="Garamond" w:eastAsia="Times New Roman" w:hAnsi="Garamond" w:cs="Times New Roman"/>
        </w:rPr>
        <w:t>,</w:t>
      </w:r>
      <w:r w:rsidRPr="006D5B0E">
        <w:rPr>
          <w:rFonts w:ascii="Garamond" w:eastAsia="Times New Roman" w:hAnsi="Garamond" w:cs="Times New Roman"/>
        </w:rPr>
        <w:t xml:space="preserve"> nëse kjo mund të dëmtojë pozicionin e tyre në procese civile, krahasuar me shoqëritë që nuk bashkëpunojnë. Një efekt i tillë i padëshirueshëm do të dëmtonte ndjeshëm interesin publik në sigurimin e zbatimit efektiv publik të </w:t>
      </w:r>
      <w:r w:rsidR="006D5B0E">
        <w:rPr>
          <w:rFonts w:ascii="Garamond" w:eastAsia="Times New Roman" w:hAnsi="Garamond" w:cs="Times New Roman"/>
        </w:rPr>
        <w:t>l</w:t>
      </w:r>
      <w:r w:rsidRPr="006D5B0E">
        <w:rPr>
          <w:rFonts w:ascii="Garamond" w:eastAsia="Times New Roman" w:hAnsi="Garamond" w:cs="Times New Roman"/>
        </w:rPr>
        <w:t xml:space="preserve">igjit </w:t>
      </w:r>
      <w:r w:rsidRPr="006D5B0E">
        <w:rPr>
          <w:rFonts w:ascii="Garamond" w:hAnsi="Garamond" w:cs="Times New Roman"/>
        </w:rPr>
        <w:t xml:space="preserve">në </w:t>
      </w:r>
      <w:r w:rsidRPr="006D5B0E">
        <w:rPr>
          <w:rFonts w:ascii="Garamond" w:eastAsia="Times New Roman" w:hAnsi="Garamond" w:cs="Times New Roman"/>
        </w:rPr>
        <w:t>rastet e karteleve dhe rrjedhimisht edhe zbatimin e tij efektiv privat, të mëvonshëm ose paralel.</w:t>
      </w:r>
    </w:p>
    <w:p w14:paraId="32F4E099" w14:textId="141DD574" w:rsidR="00D77A88" w:rsidRPr="006D5B0E" w:rsidRDefault="00D77A88" w:rsidP="006D5B0E">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7. Detyra mbikëqyrëse që i është dhënë Autoritetit të Konkurrencës nga </w:t>
      </w:r>
      <w:r w:rsidR="006D5B0E">
        <w:rPr>
          <w:rFonts w:ascii="Garamond" w:eastAsia="Times New Roman" w:hAnsi="Garamond" w:cs="Times New Roman"/>
        </w:rPr>
        <w:t>l</w:t>
      </w:r>
      <w:r w:rsidRPr="006D5B0E">
        <w:rPr>
          <w:rFonts w:ascii="Garamond" w:eastAsia="Times New Roman" w:hAnsi="Garamond" w:cs="Times New Roman"/>
        </w:rPr>
        <w:t xml:space="preserve">igji në çështjet e konkurrencës nuk përfshin vetëm detyrën për të hetuar dhe ndëshkuar shkeljet individuale, por përfshin edhe detyrën për të ndjekur një politikë të përgjithshme. Mbrojtja, në interes publik, e deklaratave të ndërmarrjeve të paraqitura në kuadër të Programit të Lehtësimit nuk përbën pengesë për vënien e tyre në dispozicion të </w:t>
      </w:r>
      <w:r w:rsidR="006D5B0E" w:rsidRPr="006D5B0E">
        <w:rPr>
          <w:rFonts w:ascii="Garamond" w:eastAsia="Times New Roman" w:hAnsi="Garamond" w:cs="Times New Roman"/>
        </w:rPr>
        <w:t xml:space="preserve">të </w:t>
      </w:r>
      <w:r w:rsidRPr="006D5B0E">
        <w:rPr>
          <w:rFonts w:ascii="Garamond" w:eastAsia="Times New Roman" w:hAnsi="Garamond" w:cs="Times New Roman"/>
        </w:rPr>
        <w:t xml:space="preserve">adresuarve të tjerë të vendimit, për aq sa është e nevojshme për ushtrimin e të drejtës së mbrojtjes në procedurat pranë Autoritetit të Konkurrencës. Këto dy interesa mund të harmonizohen, për aq sa është teknikisht e mundur, duke lejuar konsultimin e deklaratave të shoqërive vetëm në mjediset e Autoritetit të Konkurrencës dhe, si rregull, vetëm një herë, pas njoftimit zyrtar të vendimit. Për më tepër, </w:t>
      </w:r>
      <w:r w:rsidRPr="006D5B0E">
        <w:rPr>
          <w:rFonts w:ascii="Garamond" w:eastAsia="Times New Roman" w:hAnsi="Garamond" w:cs="Times New Roman"/>
        </w:rPr>
        <w:lastRenderedPageBreak/>
        <w:t>Autoriteti i Konkurrencës përpunon të dhënat personale</w:t>
      </w:r>
      <w:r w:rsidR="006D5B0E">
        <w:rPr>
          <w:rFonts w:ascii="Garamond" w:eastAsia="Times New Roman" w:hAnsi="Garamond" w:cs="Times New Roman"/>
        </w:rPr>
        <w:t>,</w:t>
      </w:r>
      <w:r w:rsidRPr="006D5B0E">
        <w:rPr>
          <w:rFonts w:ascii="Garamond" w:eastAsia="Times New Roman" w:hAnsi="Garamond" w:cs="Times New Roman"/>
        </w:rPr>
        <w:t xml:space="preserve"> në kuadër të zbatimit të këtij </w:t>
      </w:r>
      <w:r w:rsidR="006D5B0E">
        <w:rPr>
          <w:rFonts w:ascii="Garamond" w:eastAsia="Times New Roman" w:hAnsi="Garamond" w:cs="Times New Roman"/>
        </w:rPr>
        <w:t>u</w:t>
      </w:r>
      <w:r w:rsidRPr="006D5B0E">
        <w:rPr>
          <w:rFonts w:ascii="Garamond" w:eastAsia="Times New Roman" w:hAnsi="Garamond" w:cs="Times New Roman"/>
        </w:rPr>
        <w:t>dhëzimi</w:t>
      </w:r>
      <w:r w:rsidR="006D5B0E">
        <w:rPr>
          <w:rFonts w:ascii="Garamond" w:eastAsia="Times New Roman" w:hAnsi="Garamond" w:cs="Times New Roman"/>
        </w:rPr>
        <w:t>,</w:t>
      </w:r>
      <w:r w:rsidRPr="006D5B0E">
        <w:rPr>
          <w:rFonts w:ascii="Garamond" w:eastAsia="Times New Roman" w:hAnsi="Garamond" w:cs="Times New Roman"/>
        </w:rPr>
        <w:t xml:space="preserve"> në përputhje me legjislacionin në fuqi për mbrojtjen e të dhënave personale.</w:t>
      </w:r>
    </w:p>
    <w:p w14:paraId="2DA83183" w14:textId="77777777" w:rsidR="009757ED" w:rsidRDefault="009757ED" w:rsidP="009757ED">
      <w:pPr>
        <w:spacing w:line="240" w:lineRule="auto"/>
        <w:ind w:firstLine="284"/>
        <w:jc w:val="both"/>
        <w:rPr>
          <w:rFonts w:ascii="Garamond" w:eastAsia="Times New Roman" w:hAnsi="Garamond" w:cs="Times New Roman"/>
          <w:bCs/>
        </w:rPr>
      </w:pPr>
    </w:p>
    <w:p w14:paraId="77592C83" w14:textId="77777777" w:rsidR="00D77A88" w:rsidRPr="006D5B0E" w:rsidRDefault="00D77A88" w:rsidP="009757ED">
      <w:pPr>
        <w:spacing w:line="240" w:lineRule="auto"/>
        <w:ind w:firstLine="284"/>
        <w:jc w:val="both"/>
        <w:rPr>
          <w:rFonts w:ascii="Garamond" w:eastAsia="Times New Roman" w:hAnsi="Garamond" w:cs="Times New Roman"/>
          <w:bCs/>
        </w:rPr>
      </w:pPr>
      <w:r w:rsidRPr="006D5B0E">
        <w:rPr>
          <w:rFonts w:ascii="Garamond" w:eastAsia="Times New Roman" w:hAnsi="Garamond" w:cs="Times New Roman"/>
          <w:bCs/>
        </w:rPr>
        <w:t>II. IMUNITET NGA GJOBAT</w:t>
      </w:r>
    </w:p>
    <w:p w14:paraId="330DA31D" w14:textId="243BC926" w:rsidR="00D77A88" w:rsidRPr="006D5B0E" w:rsidRDefault="00D77A88" w:rsidP="009757ED">
      <w:pPr>
        <w:spacing w:line="240" w:lineRule="auto"/>
        <w:ind w:firstLine="284"/>
        <w:jc w:val="both"/>
        <w:rPr>
          <w:rFonts w:ascii="Garamond" w:eastAsia="Times New Roman" w:hAnsi="Garamond" w:cs="Times New Roman"/>
          <w:b/>
          <w:bCs/>
        </w:rPr>
      </w:pPr>
      <w:r w:rsidRPr="006D5B0E">
        <w:rPr>
          <w:rFonts w:ascii="Garamond" w:eastAsia="Times New Roman" w:hAnsi="Garamond" w:cs="Times New Roman"/>
          <w:b/>
          <w:bCs/>
        </w:rPr>
        <w:t>A. Kërkesat për t</w:t>
      </w:r>
      <w:r w:rsidR="006D5B0E">
        <w:rPr>
          <w:rFonts w:ascii="Garamond" w:eastAsia="Times New Roman" w:hAnsi="Garamond" w:cs="Times New Roman"/>
          <w:b/>
          <w:bCs/>
        </w:rPr>
        <w:t>’</w:t>
      </w:r>
      <w:r w:rsidRPr="006D5B0E">
        <w:rPr>
          <w:rFonts w:ascii="Garamond" w:eastAsia="Times New Roman" w:hAnsi="Garamond" w:cs="Times New Roman"/>
          <w:b/>
          <w:bCs/>
        </w:rPr>
        <w:t>u kualifikuar për imunitet nga gjobat</w:t>
      </w:r>
    </w:p>
    <w:p w14:paraId="40066E3D" w14:textId="42D34DDF"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8. Autoriteti i Konkurrencës do të japë imunitet nga çdo gjobë që përndryshe do t</w:t>
      </w:r>
      <w:r w:rsidR="006D5B0E">
        <w:rPr>
          <w:rFonts w:ascii="Garamond" w:eastAsia="Times New Roman" w:hAnsi="Garamond" w:cs="Times New Roman"/>
        </w:rPr>
        <w:t>’</w:t>
      </w:r>
      <w:r w:rsidRPr="006D5B0E">
        <w:rPr>
          <w:rFonts w:ascii="Garamond" w:eastAsia="Times New Roman" w:hAnsi="Garamond" w:cs="Times New Roman"/>
        </w:rPr>
        <w:t>i ishte vendosur një ndërmarrjeje që zbulon pjesëmarrjen e saj në një kartel të dyshuar që ndikon në tregun shqiptar, nëse ajo ndërmarrje është e para që paraqet informacion dhe prova të cilat, sipas Autoritetit të Konkurrencës, do ta lejojnë atë të:</w:t>
      </w:r>
    </w:p>
    <w:p w14:paraId="51BFFABE" w14:textId="2C23D554"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a</w:t>
      </w:r>
      <w:r w:rsidR="006D5B0E">
        <w:rPr>
          <w:rFonts w:ascii="Garamond" w:eastAsia="Times New Roman" w:hAnsi="Garamond" w:cs="Times New Roman"/>
        </w:rPr>
        <w:t>)</w:t>
      </w:r>
      <w:r w:rsidRPr="006D5B0E">
        <w:rPr>
          <w:rFonts w:ascii="Garamond" w:eastAsia="Times New Roman" w:hAnsi="Garamond" w:cs="Times New Roman"/>
        </w:rPr>
        <w:t xml:space="preserve"> kryejë një inspektim të posa</w:t>
      </w:r>
      <w:r w:rsidRPr="006D5B0E">
        <w:rPr>
          <w:rFonts w:ascii="Garamond" w:hAnsi="Garamond"/>
        </w:rPr>
        <w:t>ç</w:t>
      </w:r>
      <w:r w:rsidRPr="006D5B0E">
        <w:rPr>
          <w:rFonts w:ascii="Garamond" w:eastAsia="Times New Roman" w:hAnsi="Garamond" w:cs="Times New Roman"/>
        </w:rPr>
        <w:t>ëm</w:t>
      </w:r>
      <w:r w:rsidR="006D5B0E">
        <w:rPr>
          <w:rFonts w:ascii="Garamond" w:eastAsia="Times New Roman" w:hAnsi="Garamond" w:cs="Times New Roman"/>
        </w:rPr>
        <w:t>,</w:t>
      </w:r>
      <w:r w:rsidRPr="006D5B0E">
        <w:rPr>
          <w:rFonts w:ascii="Garamond" w:eastAsia="Times New Roman" w:hAnsi="Garamond" w:cs="Times New Roman"/>
        </w:rPr>
        <w:t xml:space="preserve"> në lidhje me kartelin e supozuar; ose</w:t>
      </w:r>
    </w:p>
    <w:p w14:paraId="4D032A08" w14:textId="07738B74" w:rsidR="00D77A88" w:rsidRPr="006D5B0E" w:rsidRDefault="006D5B0E" w:rsidP="009757ED">
      <w:pPr>
        <w:spacing w:line="240" w:lineRule="auto"/>
        <w:ind w:firstLine="284"/>
        <w:jc w:val="both"/>
        <w:rPr>
          <w:rFonts w:ascii="Garamond" w:eastAsia="Times New Roman" w:hAnsi="Garamond" w:cs="Times New Roman"/>
        </w:rPr>
      </w:pPr>
      <w:r>
        <w:rPr>
          <w:rFonts w:ascii="Garamond" w:eastAsia="Times New Roman" w:hAnsi="Garamond" w:cs="Times New Roman"/>
        </w:rPr>
        <w:t>b)</w:t>
      </w:r>
      <w:r w:rsidR="00D77A88" w:rsidRPr="006D5B0E">
        <w:rPr>
          <w:rFonts w:ascii="Garamond" w:eastAsia="Times New Roman" w:hAnsi="Garamond" w:cs="Times New Roman"/>
        </w:rPr>
        <w:t xml:space="preserve"> konstatojë shkelje të </w:t>
      </w:r>
      <w:r w:rsidRPr="006D5B0E">
        <w:rPr>
          <w:rFonts w:ascii="Garamond" w:hAnsi="Garamond" w:cs="Times New Roman"/>
        </w:rPr>
        <w:t>ligjit n</w:t>
      </w:r>
      <w:r>
        <w:rPr>
          <w:rFonts w:ascii="Garamond" w:hAnsi="Garamond" w:cs="Times New Roman"/>
        </w:rPr>
        <w:t>r. 9121, datë 28.</w:t>
      </w:r>
      <w:r w:rsidR="00D77A88" w:rsidRPr="006D5B0E">
        <w:rPr>
          <w:rFonts w:ascii="Garamond" w:hAnsi="Garamond" w:cs="Times New Roman"/>
        </w:rPr>
        <w:t>7.2003</w:t>
      </w:r>
      <w:r>
        <w:rPr>
          <w:rFonts w:ascii="Garamond" w:hAnsi="Garamond" w:cs="Times New Roman"/>
        </w:rPr>
        <w:t>,</w:t>
      </w:r>
      <w:r w:rsidR="00D77A88" w:rsidRPr="006D5B0E">
        <w:rPr>
          <w:rFonts w:ascii="Garamond" w:hAnsi="Garamond" w:cs="Times New Roman"/>
        </w:rPr>
        <w:t xml:space="preserve"> </w:t>
      </w:r>
      <w:r>
        <w:rPr>
          <w:rFonts w:ascii="Garamond" w:hAnsi="Garamond" w:cs="Times New Roman"/>
        </w:rPr>
        <w:t>“</w:t>
      </w:r>
      <w:r w:rsidR="00D77A88" w:rsidRPr="006D5B0E">
        <w:rPr>
          <w:rFonts w:ascii="Garamond" w:hAnsi="Garamond" w:cs="Times New Roman"/>
        </w:rPr>
        <w:t xml:space="preserve">Për </w:t>
      </w:r>
      <w:r w:rsidRPr="006D5B0E">
        <w:rPr>
          <w:rFonts w:ascii="Garamond" w:hAnsi="Garamond" w:cs="Times New Roman"/>
        </w:rPr>
        <w:t>mbrojtjen e konkurrencës</w:t>
      </w:r>
      <w:r>
        <w:rPr>
          <w:rFonts w:ascii="Garamond" w:hAnsi="Garamond" w:cs="Times New Roman"/>
        </w:rPr>
        <w:t>”,</w:t>
      </w:r>
      <w:r w:rsidR="00D77A88" w:rsidRPr="006D5B0E">
        <w:rPr>
          <w:rFonts w:ascii="Garamond" w:hAnsi="Garamond" w:cs="Times New Roman"/>
        </w:rPr>
        <w:t xml:space="preserve"> </w:t>
      </w:r>
      <w:r w:rsidR="00D77A88" w:rsidRPr="006D5B0E">
        <w:rPr>
          <w:rFonts w:ascii="Garamond" w:eastAsia="Times New Roman" w:hAnsi="Garamond" w:cs="Times New Roman"/>
        </w:rPr>
        <w:t>në lidhje me kartelin e pretenduar.</w:t>
      </w:r>
    </w:p>
    <w:p w14:paraId="0D705B09" w14:textId="132FE22C"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9. Që Autoriteti i Konkurrencës të jetë në gjendje të kryejë një inspektim të posa</w:t>
      </w:r>
      <w:r w:rsidRPr="006D5B0E">
        <w:rPr>
          <w:rFonts w:ascii="Garamond" w:hAnsi="Garamond"/>
        </w:rPr>
        <w:t>ç</w:t>
      </w:r>
      <w:r w:rsidR="006D5B0E">
        <w:rPr>
          <w:rFonts w:ascii="Garamond" w:eastAsia="Times New Roman" w:hAnsi="Garamond" w:cs="Times New Roman"/>
        </w:rPr>
        <w:t>ëm sipas kuptimit të pikës 8/“a”</w:t>
      </w:r>
      <w:r w:rsidRPr="006D5B0E">
        <w:rPr>
          <w:rFonts w:ascii="Garamond" w:eastAsia="Times New Roman" w:hAnsi="Garamond" w:cs="Times New Roman"/>
        </w:rPr>
        <w:t>, ndërmarrja duhet t</w:t>
      </w:r>
      <w:r w:rsidR="006D5B0E">
        <w:rPr>
          <w:rFonts w:ascii="Garamond" w:eastAsia="Times New Roman" w:hAnsi="Garamond" w:cs="Times New Roman"/>
        </w:rPr>
        <w:t>’</w:t>
      </w:r>
      <w:r w:rsidRPr="006D5B0E">
        <w:rPr>
          <w:rFonts w:ascii="Garamond" w:eastAsia="Times New Roman" w:hAnsi="Garamond" w:cs="Times New Roman"/>
        </w:rPr>
        <w:t>i ofrojë Autoritetit të Konkurrencës informacionin dhe provat e listuara më poshtë, në masën që kjo, sipas mendimit të Autoritetit të Konkurrencës, nuk do të rrezikonte inspektimet:</w:t>
      </w:r>
    </w:p>
    <w:p w14:paraId="2A6131DA" w14:textId="558FFEBB"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a</w:t>
      </w:r>
      <w:r w:rsidR="006D5B0E">
        <w:rPr>
          <w:rFonts w:ascii="Garamond" w:eastAsia="Times New Roman" w:hAnsi="Garamond" w:cs="Times New Roman"/>
        </w:rPr>
        <w:t>)</w:t>
      </w:r>
      <w:r w:rsidRPr="006D5B0E">
        <w:rPr>
          <w:rFonts w:ascii="Garamond" w:eastAsia="Times New Roman" w:hAnsi="Garamond" w:cs="Times New Roman"/>
        </w:rPr>
        <w:t xml:space="preserve"> Një deklaratë e shoqërisë që përfshin, për aq sa di aplikanti në kohën e dorëzimit:</w:t>
      </w:r>
    </w:p>
    <w:p w14:paraId="6DC239E8" w14:textId="3265E2CB"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Një përshkrim të detajuar të marrëveshjes së dyshuar të kartelit, duke përfshirë për shembull</w:t>
      </w:r>
      <w:r w:rsidR="006D5B0E">
        <w:rPr>
          <w:rFonts w:ascii="Garamond" w:eastAsia="Times New Roman" w:hAnsi="Garamond" w:cs="Times New Roman"/>
        </w:rPr>
        <w:t>:</w:t>
      </w:r>
      <w:r w:rsidRPr="006D5B0E">
        <w:rPr>
          <w:rFonts w:ascii="Garamond" w:eastAsia="Times New Roman" w:hAnsi="Garamond" w:cs="Times New Roman"/>
        </w:rPr>
        <w:t xml:space="preserve"> qëllimet, aktivitetet dhe funksionimin e tij; produktin ose shërbimin në fjalë, shtrirjen gjeografike, kohëzgjatjen dhe vëllimet e vlerësuara të tregut të prekura nga karteli i dyshuar; datat specifike, vendet, përmbajtjen dhe pjesëmarrësit në kontaktet e dyshuara të kartelit, si dhe të gjitha shpjegimet përkatëse</w:t>
      </w:r>
      <w:r w:rsidR="006D5B0E">
        <w:rPr>
          <w:rFonts w:ascii="Garamond" w:eastAsia="Times New Roman" w:hAnsi="Garamond" w:cs="Times New Roman"/>
        </w:rPr>
        <w:t>,</w:t>
      </w:r>
      <w:r w:rsidRPr="006D5B0E">
        <w:rPr>
          <w:rFonts w:ascii="Garamond" w:eastAsia="Times New Roman" w:hAnsi="Garamond" w:cs="Times New Roman"/>
        </w:rPr>
        <w:t xml:space="preserve"> në lidhje me provat e ofr</w:t>
      </w:r>
      <w:r w:rsidR="006D5B0E">
        <w:rPr>
          <w:rFonts w:ascii="Garamond" w:eastAsia="Times New Roman" w:hAnsi="Garamond" w:cs="Times New Roman"/>
        </w:rPr>
        <w:t>uara në mbështetje të kërkesës.</w:t>
      </w:r>
    </w:p>
    <w:p w14:paraId="4F345E95"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Emri dhe adresa e personit juridik që paraqet kërkesën për imunitet, si dhe emrat dhe adresat e të gjitha ndërmarrjeve të tjera që marrin pjesë në kartelin e supozuar;</w:t>
      </w:r>
    </w:p>
    <w:p w14:paraId="271D6A26"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Emrat, pozicionet, vendndodhjet e zyrave dhe, kur është e nevojshme, adresat e shtëpive të të gjithë individëve që, sipas dijenisë së aplikantit, janë ose kanë qenë të përfshirë në kartelin e supozuar, duke përfshirë ata individë që kanë qenë të përfshirë në emër të aplikantit;</w:t>
      </w:r>
    </w:p>
    <w:p w14:paraId="2E7DFC7D" w14:textId="01626F70"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Informacion mbi autoritetet e tjera të konkurrencës, jashtë Republikës së Shqipërisë, të cilave u është drejtuar ose synohet t’i drejtohen</w:t>
      </w:r>
      <w:r w:rsidR="00AA6092">
        <w:rPr>
          <w:rFonts w:ascii="Garamond" w:eastAsia="Times New Roman" w:hAnsi="Garamond" w:cs="Times New Roman"/>
        </w:rPr>
        <w:t>,</w:t>
      </w:r>
      <w:r w:rsidRPr="006D5B0E">
        <w:rPr>
          <w:rFonts w:ascii="Garamond" w:eastAsia="Times New Roman" w:hAnsi="Garamond" w:cs="Times New Roman"/>
        </w:rPr>
        <w:t xml:space="preserve"> në lidhje me kartelin e supozuar; dhe</w:t>
      </w:r>
    </w:p>
    <w:p w14:paraId="324C023B" w14:textId="6778FAEC"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b</w:t>
      </w:r>
      <w:r w:rsidR="00AA6092">
        <w:rPr>
          <w:rFonts w:ascii="Garamond" w:eastAsia="Times New Roman" w:hAnsi="Garamond" w:cs="Times New Roman"/>
        </w:rPr>
        <w:t>)</w:t>
      </w:r>
      <w:r w:rsidRPr="006D5B0E">
        <w:rPr>
          <w:rFonts w:ascii="Garamond" w:eastAsia="Times New Roman" w:hAnsi="Garamond" w:cs="Times New Roman"/>
        </w:rPr>
        <w:t xml:space="preserve"> Prova të tjera që lidhen me kartelin e supozuar në zotërim të aplikantit ose që i ka në dispozicion në kohën e paraqitjes së kërkesës, duke përfshirë në veçanti çdo provë të njëkohshme me shkeljen.</w:t>
      </w:r>
    </w:p>
    <w:p w14:paraId="28FE5B77" w14:textId="046B1483" w:rsidR="00D77A88" w:rsidRPr="006D5B0E" w:rsidRDefault="00AA6092" w:rsidP="009757ED">
      <w:pPr>
        <w:spacing w:line="240" w:lineRule="auto"/>
        <w:ind w:firstLine="284"/>
        <w:jc w:val="both"/>
        <w:rPr>
          <w:rFonts w:ascii="Garamond" w:eastAsia="Times New Roman" w:hAnsi="Garamond" w:cs="Times New Roman"/>
        </w:rPr>
      </w:pPr>
      <w:r>
        <w:rPr>
          <w:rFonts w:ascii="Garamond" w:eastAsia="Times New Roman" w:hAnsi="Garamond" w:cs="Times New Roman"/>
        </w:rPr>
        <w:t>10. Imuniteti sipas pikës 8/“</w:t>
      </w:r>
      <w:r w:rsidR="00D77A88" w:rsidRPr="006D5B0E">
        <w:rPr>
          <w:rFonts w:ascii="Garamond" w:eastAsia="Times New Roman" w:hAnsi="Garamond" w:cs="Times New Roman"/>
        </w:rPr>
        <w:t>a</w:t>
      </w:r>
      <w:r>
        <w:rPr>
          <w:rFonts w:ascii="Garamond" w:eastAsia="Times New Roman" w:hAnsi="Garamond" w:cs="Times New Roman"/>
        </w:rPr>
        <w:t>”</w:t>
      </w:r>
      <w:r w:rsidR="00D77A88" w:rsidRPr="006D5B0E">
        <w:rPr>
          <w:rFonts w:ascii="Garamond" w:eastAsia="Times New Roman" w:hAnsi="Garamond" w:cs="Times New Roman"/>
        </w:rPr>
        <w:t xml:space="preserve"> nuk do të jepet nëse, në kohën e paraqitjes së kërkesës, Autoriteti i Konkurrencës kishte prova të mjaftueshme për të miratuar një vendim për të kryer një inspektim</w:t>
      </w:r>
      <w:r>
        <w:rPr>
          <w:rFonts w:ascii="Garamond" w:eastAsia="Times New Roman" w:hAnsi="Garamond" w:cs="Times New Roman"/>
        </w:rPr>
        <w:t>,</w:t>
      </w:r>
      <w:r w:rsidR="00D77A88" w:rsidRPr="006D5B0E">
        <w:rPr>
          <w:rFonts w:ascii="Garamond" w:eastAsia="Times New Roman" w:hAnsi="Garamond" w:cs="Times New Roman"/>
        </w:rPr>
        <w:t xml:space="preserve"> në lidhje me kartelin e supozuar ose e kishte kryer tashmë inspektimin në lidhje me kartelin.</w:t>
      </w:r>
    </w:p>
    <w:p w14:paraId="4107A964" w14:textId="06A28102"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11. </w:t>
      </w:r>
      <w:r w:rsidR="00AA6092">
        <w:rPr>
          <w:rFonts w:ascii="Garamond" w:eastAsia="Times New Roman" w:hAnsi="Garamond" w:cs="Times New Roman"/>
        </w:rPr>
        <w:t>I</w:t>
      </w:r>
      <w:r w:rsidRPr="006D5B0E">
        <w:rPr>
          <w:rFonts w:ascii="Garamond" w:eastAsia="Times New Roman" w:hAnsi="Garamond" w:cs="Times New Roman"/>
        </w:rPr>
        <w:t xml:space="preserve">muniteti sipas pikës </w:t>
      </w:r>
      <w:r w:rsidR="00AA6092">
        <w:rPr>
          <w:rFonts w:ascii="Garamond" w:eastAsia="Times New Roman" w:hAnsi="Garamond" w:cs="Times New Roman"/>
        </w:rPr>
        <w:t>8/“</w:t>
      </w:r>
      <w:r w:rsidR="00AA6092" w:rsidRPr="006D5B0E">
        <w:rPr>
          <w:rFonts w:ascii="Garamond" w:eastAsia="Times New Roman" w:hAnsi="Garamond" w:cs="Times New Roman"/>
        </w:rPr>
        <w:t>a</w:t>
      </w:r>
      <w:r w:rsidR="00AA6092">
        <w:rPr>
          <w:rFonts w:ascii="Garamond" w:eastAsia="Times New Roman" w:hAnsi="Garamond" w:cs="Times New Roman"/>
        </w:rPr>
        <w:t>”</w:t>
      </w:r>
      <w:r w:rsidR="00AA6092" w:rsidRPr="006D5B0E">
        <w:rPr>
          <w:rFonts w:ascii="Garamond" w:eastAsia="Times New Roman" w:hAnsi="Garamond" w:cs="Times New Roman"/>
        </w:rPr>
        <w:t xml:space="preserve"> </w:t>
      </w:r>
      <w:r w:rsidRPr="006D5B0E">
        <w:rPr>
          <w:rFonts w:ascii="Garamond" w:eastAsia="Times New Roman" w:hAnsi="Garamond" w:cs="Times New Roman"/>
        </w:rPr>
        <w:t xml:space="preserve">do të jepet vetëm pas përmbushjes së kushteve kumulative që Autoriteti i Konkurrencës, në kohën e paraqitjes së aplikimit, nuk ka pasur prova të mjaftueshme për të gjetur një shkelje të </w:t>
      </w:r>
      <w:r w:rsidR="00AA6092">
        <w:rPr>
          <w:rFonts w:ascii="Garamond" w:eastAsia="Times New Roman" w:hAnsi="Garamond" w:cs="Times New Roman"/>
        </w:rPr>
        <w:t>n</w:t>
      </w:r>
      <w:r w:rsidRPr="006D5B0E">
        <w:rPr>
          <w:rFonts w:ascii="Garamond" w:eastAsia="Times New Roman" w:hAnsi="Garamond" w:cs="Times New Roman"/>
        </w:rPr>
        <w:t>enit 4</w:t>
      </w:r>
      <w:r w:rsidR="00AA6092">
        <w:rPr>
          <w:rFonts w:ascii="Garamond" w:eastAsia="Times New Roman" w:hAnsi="Garamond" w:cs="Times New Roman"/>
        </w:rPr>
        <w:t>,</w:t>
      </w:r>
      <w:r w:rsidRPr="006D5B0E">
        <w:rPr>
          <w:rFonts w:ascii="Garamond" w:eastAsia="Times New Roman" w:hAnsi="Garamond" w:cs="Times New Roman"/>
        </w:rPr>
        <w:t xml:space="preserve"> të </w:t>
      </w:r>
      <w:r w:rsidR="00AA6092" w:rsidRPr="006D5B0E">
        <w:rPr>
          <w:rFonts w:ascii="Garamond" w:eastAsia="Times New Roman" w:hAnsi="Garamond" w:cs="Times New Roman"/>
        </w:rPr>
        <w:t xml:space="preserve">ligjit </w:t>
      </w:r>
      <w:r w:rsidR="00AA6092" w:rsidRPr="006D5B0E">
        <w:rPr>
          <w:rFonts w:ascii="Garamond" w:hAnsi="Garamond" w:cs="Times New Roman"/>
        </w:rPr>
        <w:t>n</w:t>
      </w:r>
      <w:r w:rsidR="00AA6092">
        <w:rPr>
          <w:rFonts w:ascii="Garamond" w:hAnsi="Garamond" w:cs="Times New Roman"/>
        </w:rPr>
        <w:t>r. 9121, datë 28.</w:t>
      </w:r>
      <w:r w:rsidRPr="006D5B0E">
        <w:rPr>
          <w:rFonts w:ascii="Garamond" w:hAnsi="Garamond" w:cs="Times New Roman"/>
        </w:rPr>
        <w:t>7.2003</w:t>
      </w:r>
      <w:r w:rsidR="00AA6092">
        <w:rPr>
          <w:rFonts w:ascii="Garamond" w:hAnsi="Garamond" w:cs="Times New Roman"/>
        </w:rPr>
        <w:t>,</w:t>
      </w:r>
      <w:r w:rsidRPr="006D5B0E">
        <w:rPr>
          <w:rFonts w:ascii="Garamond" w:hAnsi="Garamond" w:cs="Times New Roman"/>
        </w:rPr>
        <w:t xml:space="preserve"> </w:t>
      </w:r>
      <w:r w:rsidR="006D5B0E">
        <w:rPr>
          <w:rFonts w:ascii="Garamond" w:hAnsi="Garamond" w:cs="Times New Roman"/>
        </w:rPr>
        <w:t>“</w:t>
      </w:r>
      <w:r w:rsidRPr="006D5B0E">
        <w:rPr>
          <w:rFonts w:ascii="Garamond" w:hAnsi="Garamond" w:cs="Times New Roman"/>
        </w:rPr>
        <w:t xml:space="preserve">Për </w:t>
      </w:r>
      <w:r w:rsidR="00AA6092" w:rsidRPr="006D5B0E">
        <w:rPr>
          <w:rFonts w:ascii="Garamond" w:hAnsi="Garamond" w:cs="Times New Roman"/>
        </w:rPr>
        <w:t>mbrojtjen e konkurrencës</w:t>
      </w:r>
      <w:r w:rsidR="006D5B0E">
        <w:rPr>
          <w:rFonts w:ascii="Garamond" w:hAnsi="Garamond" w:cs="Times New Roman"/>
        </w:rPr>
        <w:t>”</w:t>
      </w:r>
      <w:r w:rsidR="00AA6092">
        <w:rPr>
          <w:rFonts w:ascii="Garamond" w:hAnsi="Garamond" w:cs="Times New Roman"/>
        </w:rPr>
        <w:t>,</w:t>
      </w:r>
      <w:r w:rsidRPr="006D5B0E">
        <w:rPr>
          <w:rFonts w:ascii="Garamond" w:hAnsi="Garamond" w:cs="Times New Roman"/>
        </w:rPr>
        <w:t xml:space="preserve"> </w:t>
      </w:r>
      <w:r w:rsidRPr="006D5B0E">
        <w:rPr>
          <w:rFonts w:ascii="Garamond" w:eastAsia="Times New Roman" w:hAnsi="Garamond" w:cs="Times New Roman"/>
        </w:rPr>
        <w:t xml:space="preserve">në lidhje me kartelin e pretenduar dhe që asnjë ndërmarrjeje nuk i është dhënë imunitet i kushtëzuar nga gjobat sipas pikës </w:t>
      </w:r>
      <w:r w:rsidR="00AA6092">
        <w:rPr>
          <w:rFonts w:ascii="Garamond" w:eastAsia="Times New Roman" w:hAnsi="Garamond" w:cs="Times New Roman"/>
        </w:rPr>
        <w:t>8/“</w:t>
      </w:r>
      <w:r w:rsidR="00AA6092" w:rsidRPr="006D5B0E">
        <w:rPr>
          <w:rFonts w:ascii="Garamond" w:eastAsia="Times New Roman" w:hAnsi="Garamond" w:cs="Times New Roman"/>
        </w:rPr>
        <w:t>a</w:t>
      </w:r>
      <w:r w:rsidR="00AA6092">
        <w:rPr>
          <w:rFonts w:ascii="Garamond" w:eastAsia="Times New Roman" w:hAnsi="Garamond" w:cs="Times New Roman"/>
        </w:rPr>
        <w:t>”,</w:t>
      </w:r>
      <w:r w:rsidR="00AA6092" w:rsidRPr="006D5B0E">
        <w:rPr>
          <w:rFonts w:ascii="Garamond" w:eastAsia="Times New Roman" w:hAnsi="Garamond" w:cs="Times New Roman"/>
        </w:rPr>
        <w:t xml:space="preserve"> </w:t>
      </w:r>
      <w:r w:rsidRPr="006D5B0E">
        <w:rPr>
          <w:rFonts w:ascii="Garamond" w:eastAsia="Times New Roman" w:hAnsi="Garamond" w:cs="Times New Roman"/>
        </w:rPr>
        <w:t>në lidhje me kartelin e pretenduar. Për t</w:t>
      </w:r>
      <w:r w:rsidR="00AA6092">
        <w:rPr>
          <w:rFonts w:ascii="Garamond" w:eastAsia="Times New Roman" w:hAnsi="Garamond" w:cs="Times New Roman"/>
        </w:rPr>
        <w:t>’</w:t>
      </w:r>
      <w:r w:rsidRPr="006D5B0E">
        <w:rPr>
          <w:rFonts w:ascii="Garamond" w:eastAsia="Times New Roman" w:hAnsi="Garamond" w:cs="Times New Roman"/>
        </w:rPr>
        <w:t>u kualifikuar, një ndërmarrje duhet të jetë e para që ofron prova bashkëkohore dhe inkriminuese të kartelit të pretenduar, si dhe një deklaratë që përmban llojin e informa</w:t>
      </w:r>
      <w:r w:rsidR="00AA6092">
        <w:rPr>
          <w:rFonts w:ascii="Garamond" w:eastAsia="Times New Roman" w:hAnsi="Garamond" w:cs="Times New Roman"/>
        </w:rPr>
        <w:t>cionit të specifikuar në pikën 9/“</w:t>
      </w:r>
      <w:r w:rsidRPr="006D5B0E">
        <w:rPr>
          <w:rFonts w:ascii="Garamond" w:eastAsia="Times New Roman" w:hAnsi="Garamond" w:cs="Times New Roman"/>
        </w:rPr>
        <w:t>a</w:t>
      </w:r>
      <w:r w:rsidR="00AA6092">
        <w:rPr>
          <w:rFonts w:ascii="Garamond" w:eastAsia="Times New Roman" w:hAnsi="Garamond" w:cs="Times New Roman"/>
        </w:rPr>
        <w:t>”</w:t>
      </w:r>
      <w:r w:rsidRPr="006D5B0E">
        <w:rPr>
          <w:rFonts w:ascii="Garamond" w:eastAsia="Times New Roman" w:hAnsi="Garamond" w:cs="Times New Roman"/>
        </w:rPr>
        <w:t>, i cili do t</w:t>
      </w:r>
      <w:r w:rsidR="00AA6092">
        <w:rPr>
          <w:rFonts w:ascii="Garamond" w:eastAsia="Times New Roman" w:hAnsi="Garamond" w:cs="Times New Roman"/>
        </w:rPr>
        <w:t>’</w:t>
      </w:r>
      <w:r w:rsidRPr="006D5B0E">
        <w:rPr>
          <w:rFonts w:ascii="Garamond" w:eastAsia="Times New Roman" w:hAnsi="Garamond" w:cs="Times New Roman"/>
        </w:rPr>
        <w:t xml:space="preserve">i mundësonte Autoritetit të Konkurrencës të gjente një shkelje të </w:t>
      </w:r>
      <w:r w:rsidR="00AA6092">
        <w:rPr>
          <w:rFonts w:ascii="Garamond" w:eastAsia="Times New Roman" w:hAnsi="Garamond" w:cs="Times New Roman"/>
        </w:rPr>
        <w:t>n</w:t>
      </w:r>
      <w:r w:rsidRPr="006D5B0E">
        <w:rPr>
          <w:rFonts w:ascii="Garamond" w:eastAsia="Times New Roman" w:hAnsi="Garamond" w:cs="Times New Roman"/>
        </w:rPr>
        <w:t xml:space="preserve">enit 4 të </w:t>
      </w:r>
      <w:r w:rsidR="00AA6092">
        <w:rPr>
          <w:rFonts w:ascii="Garamond" w:hAnsi="Garamond" w:cs="Times New Roman"/>
        </w:rPr>
        <w:t>l</w:t>
      </w:r>
      <w:r w:rsidRPr="006D5B0E">
        <w:rPr>
          <w:rFonts w:ascii="Garamond" w:hAnsi="Garamond" w:cs="Times New Roman"/>
        </w:rPr>
        <w:t>igjit</w:t>
      </w:r>
      <w:r w:rsidR="00AA6092">
        <w:rPr>
          <w:rFonts w:ascii="Garamond" w:hAnsi="Garamond" w:cs="Times New Roman"/>
        </w:rPr>
        <w:t>.</w:t>
      </w:r>
    </w:p>
    <w:p w14:paraId="5DFA2DE7" w14:textId="6BD58DD6"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12. Përveç kushteve të përcaktuara në pikat </w:t>
      </w:r>
      <w:r w:rsidR="00AA6092">
        <w:rPr>
          <w:rFonts w:ascii="Garamond" w:eastAsia="Times New Roman" w:hAnsi="Garamond" w:cs="Times New Roman"/>
        </w:rPr>
        <w:t>8/“</w:t>
      </w:r>
      <w:r w:rsidR="00AA6092" w:rsidRPr="006D5B0E">
        <w:rPr>
          <w:rFonts w:ascii="Garamond" w:eastAsia="Times New Roman" w:hAnsi="Garamond" w:cs="Times New Roman"/>
        </w:rPr>
        <w:t>a</w:t>
      </w:r>
      <w:r w:rsidR="00AA6092">
        <w:rPr>
          <w:rFonts w:ascii="Garamond" w:eastAsia="Times New Roman" w:hAnsi="Garamond" w:cs="Times New Roman"/>
        </w:rPr>
        <w:t>”,</w:t>
      </w:r>
      <w:r w:rsidR="00AA6092" w:rsidRPr="006D5B0E">
        <w:rPr>
          <w:rFonts w:ascii="Garamond" w:eastAsia="Times New Roman" w:hAnsi="Garamond" w:cs="Times New Roman"/>
        </w:rPr>
        <w:t xml:space="preserve"> </w:t>
      </w:r>
      <w:r w:rsidR="00AA6092">
        <w:rPr>
          <w:rFonts w:ascii="Garamond" w:eastAsia="Times New Roman" w:hAnsi="Garamond" w:cs="Times New Roman"/>
        </w:rPr>
        <w:t>9 dhe 10</w:t>
      </w:r>
      <w:r w:rsidRPr="006D5B0E">
        <w:rPr>
          <w:rFonts w:ascii="Garamond" w:eastAsia="Times New Roman" w:hAnsi="Garamond" w:cs="Times New Roman"/>
        </w:rPr>
        <w:t xml:space="preserve"> ose në pikat </w:t>
      </w:r>
      <w:r w:rsidR="00AA6092">
        <w:rPr>
          <w:rFonts w:ascii="Garamond" w:eastAsia="Times New Roman" w:hAnsi="Garamond" w:cs="Times New Roman"/>
        </w:rPr>
        <w:t>8/“</w:t>
      </w:r>
      <w:r w:rsidRPr="006D5B0E">
        <w:rPr>
          <w:rFonts w:ascii="Garamond" w:eastAsia="Times New Roman" w:hAnsi="Garamond" w:cs="Times New Roman"/>
        </w:rPr>
        <w:t>b</w:t>
      </w:r>
      <w:r w:rsidR="00AA6092">
        <w:rPr>
          <w:rFonts w:ascii="Garamond" w:eastAsia="Times New Roman" w:hAnsi="Garamond" w:cs="Times New Roman"/>
        </w:rPr>
        <w:t>”</w:t>
      </w:r>
      <w:r w:rsidRPr="006D5B0E">
        <w:rPr>
          <w:rFonts w:ascii="Garamond" w:eastAsia="Times New Roman" w:hAnsi="Garamond" w:cs="Times New Roman"/>
        </w:rPr>
        <w:t xml:space="preserve"> dhe 11, të gjitha kushtet e mëposhtme duhet të përmbushen në çdo rast për t</w:t>
      </w:r>
      <w:r w:rsidR="00AA6092">
        <w:rPr>
          <w:rFonts w:ascii="Garamond" w:eastAsia="Times New Roman" w:hAnsi="Garamond" w:cs="Times New Roman"/>
        </w:rPr>
        <w:t>’</w:t>
      </w:r>
      <w:r w:rsidRPr="006D5B0E">
        <w:rPr>
          <w:rFonts w:ascii="Garamond" w:eastAsia="Times New Roman" w:hAnsi="Garamond" w:cs="Times New Roman"/>
        </w:rPr>
        <w:t>u kualifikuar për çdo imunitet nga gjoba:</w:t>
      </w:r>
    </w:p>
    <w:p w14:paraId="61BFE92F" w14:textId="122FE26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a</w:t>
      </w:r>
      <w:r w:rsidR="00AA6092">
        <w:rPr>
          <w:rFonts w:ascii="Garamond" w:eastAsia="Times New Roman" w:hAnsi="Garamond" w:cs="Times New Roman"/>
        </w:rPr>
        <w:t>)</w:t>
      </w:r>
      <w:r w:rsidRPr="006D5B0E">
        <w:rPr>
          <w:rFonts w:ascii="Garamond" w:eastAsia="Times New Roman" w:hAnsi="Garamond" w:cs="Times New Roman"/>
        </w:rPr>
        <w:t xml:space="preserve"> Ndërmarrja bashkëpunon sinqerisht, plotësisht, në mënyrë të vazhdueshme dhe me shpejtësi që nga momenti kur paraqet kërkesën e saj dhe përgjatë </w:t>
      </w:r>
      <w:r w:rsidR="00AA6092">
        <w:rPr>
          <w:rFonts w:ascii="Garamond" w:eastAsia="Times New Roman" w:hAnsi="Garamond" w:cs="Times New Roman"/>
        </w:rPr>
        <w:t xml:space="preserve">të </w:t>
      </w:r>
      <w:r w:rsidRPr="006D5B0E">
        <w:rPr>
          <w:rFonts w:ascii="Garamond" w:eastAsia="Times New Roman" w:hAnsi="Garamond" w:cs="Times New Roman"/>
        </w:rPr>
        <w:t>gjithë procedurës administrative të Autoritetit të Konkurrencës. Kjo përfshin:</w:t>
      </w:r>
    </w:p>
    <w:p w14:paraId="1A6189FE" w14:textId="43A803F2" w:rsidR="00D77A88" w:rsidRPr="006D5B0E" w:rsidRDefault="00AA6092" w:rsidP="009757ED">
      <w:pPr>
        <w:spacing w:line="240" w:lineRule="auto"/>
        <w:ind w:firstLine="284"/>
        <w:jc w:val="both"/>
        <w:rPr>
          <w:rFonts w:ascii="Garamond" w:eastAsia="Times New Roman" w:hAnsi="Garamond" w:cs="Times New Roman"/>
        </w:rPr>
      </w:pPr>
      <w:r>
        <w:rPr>
          <w:rFonts w:ascii="Garamond" w:eastAsia="Times New Roman" w:hAnsi="Garamond" w:cs="Times New Roman"/>
        </w:rPr>
        <w:lastRenderedPageBreak/>
        <w:t xml:space="preserve">- </w:t>
      </w:r>
      <w:r w:rsidR="00D77A88" w:rsidRPr="006D5B0E">
        <w:rPr>
          <w:rFonts w:ascii="Garamond" w:eastAsia="Times New Roman" w:hAnsi="Garamond" w:cs="Times New Roman"/>
        </w:rPr>
        <w:t>duke i ofruar menjëherë Autoritetit të Konkurrencës të gjitha informacionet dhe provat përkatëse</w:t>
      </w:r>
      <w:r>
        <w:rPr>
          <w:rFonts w:ascii="Garamond" w:eastAsia="Times New Roman" w:hAnsi="Garamond" w:cs="Times New Roman"/>
        </w:rPr>
        <w:t>,</w:t>
      </w:r>
      <w:r w:rsidR="00D77A88" w:rsidRPr="006D5B0E">
        <w:rPr>
          <w:rFonts w:ascii="Garamond" w:eastAsia="Times New Roman" w:hAnsi="Garamond" w:cs="Times New Roman"/>
        </w:rPr>
        <w:t xml:space="preserve"> në lidhje me kartelin e supozuar</w:t>
      </w:r>
      <w:r>
        <w:rPr>
          <w:rFonts w:ascii="Garamond" w:eastAsia="Times New Roman" w:hAnsi="Garamond" w:cs="Times New Roman"/>
        </w:rPr>
        <w:t>,</w:t>
      </w:r>
      <w:r w:rsidR="00D77A88" w:rsidRPr="006D5B0E">
        <w:rPr>
          <w:rFonts w:ascii="Garamond" w:eastAsia="Times New Roman" w:hAnsi="Garamond" w:cs="Times New Roman"/>
        </w:rPr>
        <w:t xml:space="preserve"> që vijnë në zotërim të saj ose janë në dispozicion të saj;</w:t>
      </w:r>
    </w:p>
    <w:p w14:paraId="2AF7878D" w14:textId="57B57199" w:rsidR="00D77A88" w:rsidRPr="006D5B0E" w:rsidRDefault="00AA6092" w:rsidP="009757ED">
      <w:pPr>
        <w:spacing w:line="240" w:lineRule="auto"/>
        <w:ind w:firstLine="284"/>
        <w:jc w:val="both"/>
        <w:rPr>
          <w:rFonts w:ascii="Garamond" w:eastAsia="Times New Roman" w:hAnsi="Garamond" w:cs="Times New Roman"/>
        </w:rPr>
      </w:pPr>
      <w:r>
        <w:rPr>
          <w:rFonts w:ascii="Garamond" w:eastAsia="Times New Roman" w:hAnsi="Garamond" w:cs="Times New Roman"/>
        </w:rPr>
        <w:t xml:space="preserve">- </w:t>
      </w:r>
      <w:r w:rsidR="00D77A88" w:rsidRPr="006D5B0E">
        <w:rPr>
          <w:rFonts w:ascii="Garamond" w:eastAsia="Times New Roman" w:hAnsi="Garamond" w:cs="Times New Roman"/>
        </w:rPr>
        <w:t>duke mbetur në dispozicion të Autoritetit të Konkurrencës për t</w:t>
      </w:r>
      <w:r>
        <w:rPr>
          <w:rFonts w:ascii="Garamond" w:eastAsia="Times New Roman" w:hAnsi="Garamond" w:cs="Times New Roman"/>
        </w:rPr>
        <w:t>’</w:t>
      </w:r>
      <w:r w:rsidR="00D77A88" w:rsidRPr="006D5B0E">
        <w:rPr>
          <w:rFonts w:ascii="Garamond" w:eastAsia="Times New Roman" w:hAnsi="Garamond" w:cs="Times New Roman"/>
        </w:rPr>
        <w:t>iu përgjigjur menjëherë çdo kërkese që mund të kontribuojë në përcaktimin e fakteve;</w:t>
      </w:r>
    </w:p>
    <w:p w14:paraId="7518017D" w14:textId="783960F5" w:rsidR="00D77A88" w:rsidRPr="006D5B0E" w:rsidRDefault="00AA6092" w:rsidP="009757ED">
      <w:pPr>
        <w:spacing w:line="240" w:lineRule="auto"/>
        <w:ind w:firstLine="284"/>
        <w:jc w:val="both"/>
        <w:rPr>
          <w:rFonts w:ascii="Garamond" w:eastAsia="Times New Roman" w:hAnsi="Garamond" w:cs="Times New Roman"/>
        </w:rPr>
      </w:pPr>
      <w:r>
        <w:rPr>
          <w:rFonts w:ascii="Garamond" w:eastAsia="Times New Roman" w:hAnsi="Garamond" w:cs="Times New Roman"/>
        </w:rPr>
        <w:t xml:space="preserve">- </w:t>
      </w:r>
      <w:r w:rsidR="00D77A88" w:rsidRPr="006D5B0E">
        <w:rPr>
          <w:rFonts w:ascii="Garamond" w:eastAsia="Times New Roman" w:hAnsi="Garamond" w:cs="Times New Roman"/>
        </w:rPr>
        <w:t>vënia në dispozicion e punonjësve dhe drejtorëve aktualë (d</w:t>
      </w:r>
      <w:r>
        <w:rPr>
          <w:rFonts w:ascii="Garamond" w:eastAsia="Times New Roman" w:hAnsi="Garamond" w:cs="Times New Roman"/>
        </w:rPr>
        <w:t>he, nëse është e mundur, të ish-</w:t>
      </w:r>
      <w:r w:rsidR="00D77A88" w:rsidRPr="006D5B0E">
        <w:rPr>
          <w:rFonts w:ascii="Garamond" w:eastAsia="Times New Roman" w:hAnsi="Garamond" w:cs="Times New Roman"/>
        </w:rPr>
        <w:t>punonjësve dhe drejtorëve) për intervista me Autoritetin e Konkurrencës;</w:t>
      </w:r>
    </w:p>
    <w:p w14:paraId="34FE0D60" w14:textId="0FA2CB12" w:rsidR="00D77A88" w:rsidRPr="006D5B0E" w:rsidRDefault="00AA6092" w:rsidP="009757ED">
      <w:pPr>
        <w:spacing w:line="240" w:lineRule="auto"/>
        <w:ind w:firstLine="284"/>
        <w:jc w:val="both"/>
        <w:rPr>
          <w:rFonts w:ascii="Garamond" w:eastAsia="Times New Roman" w:hAnsi="Garamond" w:cs="Times New Roman"/>
        </w:rPr>
      </w:pPr>
      <w:r>
        <w:rPr>
          <w:rFonts w:ascii="Garamond" w:eastAsia="Times New Roman" w:hAnsi="Garamond" w:cs="Times New Roman"/>
        </w:rPr>
        <w:t xml:space="preserve">- </w:t>
      </w:r>
      <w:r w:rsidR="00D77A88" w:rsidRPr="006D5B0E">
        <w:rPr>
          <w:rFonts w:ascii="Garamond" w:eastAsia="Times New Roman" w:hAnsi="Garamond" w:cs="Times New Roman"/>
        </w:rPr>
        <w:t>mosshkatërrimi, mosfalsifikimi ose fshehja e informacionit</w:t>
      </w:r>
      <w:r>
        <w:rPr>
          <w:rFonts w:ascii="Garamond" w:eastAsia="Times New Roman" w:hAnsi="Garamond" w:cs="Times New Roman"/>
        </w:rPr>
        <w:t>,</w:t>
      </w:r>
      <w:r w:rsidR="00D77A88" w:rsidRPr="006D5B0E">
        <w:rPr>
          <w:rFonts w:ascii="Garamond" w:eastAsia="Times New Roman" w:hAnsi="Garamond" w:cs="Times New Roman"/>
        </w:rPr>
        <w:t xml:space="preserve"> ose provave përkatëse që lidhen me kartelin e supozuar; dhe</w:t>
      </w:r>
    </w:p>
    <w:p w14:paraId="1153E42F" w14:textId="26AD42C7" w:rsidR="00D77A88" w:rsidRPr="006D5B0E" w:rsidRDefault="00AA6092" w:rsidP="009757ED">
      <w:pPr>
        <w:spacing w:line="240" w:lineRule="auto"/>
        <w:ind w:firstLine="284"/>
        <w:jc w:val="both"/>
        <w:rPr>
          <w:rFonts w:ascii="Garamond" w:eastAsia="Times New Roman" w:hAnsi="Garamond" w:cs="Times New Roman"/>
        </w:rPr>
      </w:pPr>
      <w:r>
        <w:rPr>
          <w:rFonts w:ascii="Garamond" w:eastAsia="Times New Roman" w:hAnsi="Garamond" w:cs="Times New Roman"/>
        </w:rPr>
        <w:t xml:space="preserve">- </w:t>
      </w:r>
      <w:r w:rsidR="00D77A88" w:rsidRPr="006D5B0E">
        <w:rPr>
          <w:rFonts w:ascii="Garamond" w:eastAsia="Times New Roman" w:hAnsi="Garamond" w:cs="Times New Roman"/>
        </w:rPr>
        <w:t>moszbulimi i faktit ose i ndonjë pjese të përmbajtjes së aplikimit të saj përpara se Autoriteti i Konkurrencës të ketë lëshuar një vendim në lidhje me rastin, përveç nëse është rënë dakord ndryshe;</w:t>
      </w:r>
    </w:p>
    <w:p w14:paraId="5A659D6A" w14:textId="54813C29"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b</w:t>
      </w:r>
      <w:r w:rsidR="00AA6092">
        <w:rPr>
          <w:rFonts w:ascii="Garamond" w:eastAsia="Times New Roman" w:hAnsi="Garamond" w:cs="Times New Roman"/>
        </w:rPr>
        <w:t>)</w:t>
      </w:r>
      <w:r w:rsidRPr="006D5B0E">
        <w:rPr>
          <w:rFonts w:ascii="Garamond" w:eastAsia="Times New Roman" w:hAnsi="Garamond" w:cs="Times New Roman"/>
        </w:rPr>
        <w:t xml:space="preserve"> Ndërmarrja i ka dhënë fund përfshirjes së saj në kartelin e dyshuar menjëherë pas aplikimit të saj, përveç asaj që, sipas mendimit të Autoritetit të Konkurrencës, do të ishte e nevojshme në mënyrë të arsyeshme për të ruajtur integritetin e inspektimeve;</w:t>
      </w:r>
    </w:p>
    <w:p w14:paraId="0754CA25" w14:textId="4BFA03C6"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c</w:t>
      </w:r>
      <w:r w:rsidR="00AA6092">
        <w:rPr>
          <w:rFonts w:ascii="Garamond" w:eastAsia="Times New Roman" w:hAnsi="Garamond" w:cs="Times New Roman"/>
        </w:rPr>
        <w:t>)</w:t>
      </w:r>
      <w:r w:rsidRPr="006D5B0E">
        <w:rPr>
          <w:rFonts w:ascii="Garamond" w:eastAsia="Times New Roman" w:hAnsi="Garamond" w:cs="Times New Roman"/>
        </w:rPr>
        <w:t xml:space="preserve"> Kur ndërmarrja mendon të paraqesë kërkesën e saj pranë Autoritetit të Konkurrencës, ajo nuk duhet të ketë shkatërruar, falsifikuar ose fshehur provat e kartelit të supozuar dhe as të ketë zbuluar faktin ose ndonjë pjesë të përmbajtjes së kërkesës së saj të posa</w:t>
      </w:r>
      <w:r w:rsidRPr="006D5B0E">
        <w:rPr>
          <w:rFonts w:ascii="Garamond" w:hAnsi="Garamond"/>
        </w:rPr>
        <w:t>ç</w:t>
      </w:r>
      <w:r w:rsidRPr="006D5B0E">
        <w:rPr>
          <w:rFonts w:ascii="Garamond" w:eastAsia="Times New Roman" w:hAnsi="Garamond" w:cs="Times New Roman"/>
        </w:rPr>
        <w:t>me, përveçse para autoriteteve të tjera të konkurrencës.</w:t>
      </w:r>
    </w:p>
    <w:p w14:paraId="5ADBB0BA" w14:textId="45255D7A"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13. Një ndërmarrje që </w:t>
      </w:r>
      <w:r w:rsidR="00AA6092" w:rsidRPr="006D5B0E">
        <w:rPr>
          <w:rFonts w:ascii="Garamond" w:eastAsia="Times New Roman" w:hAnsi="Garamond" w:cs="Times New Roman"/>
        </w:rPr>
        <w:t>ndërmori</w:t>
      </w:r>
      <w:r w:rsidRPr="006D5B0E">
        <w:rPr>
          <w:rFonts w:ascii="Garamond" w:eastAsia="Times New Roman" w:hAnsi="Garamond" w:cs="Times New Roman"/>
        </w:rPr>
        <w:t xml:space="preserve"> hapa për të detyruar ndërmarrje të tjera të bashkohen me kartelin ose të qëndrojnë në të nuk kualifikohet për imunitet nga gjobat. Sidoqoftë, ajo mund të kualifikohet për një ulje të gjobave nëse përmbush kërkesat përkatëse dhe i plotëson të gjitha kushtet për këtë qëllim.</w:t>
      </w:r>
    </w:p>
    <w:p w14:paraId="5C71AB50" w14:textId="77777777" w:rsidR="00D77A88" w:rsidRPr="006D5B0E" w:rsidRDefault="00D77A88" w:rsidP="009757ED">
      <w:pPr>
        <w:spacing w:line="240" w:lineRule="auto"/>
        <w:ind w:firstLine="284"/>
        <w:jc w:val="both"/>
        <w:rPr>
          <w:rFonts w:ascii="Garamond" w:eastAsia="Times New Roman" w:hAnsi="Garamond" w:cs="Times New Roman"/>
          <w:b/>
          <w:bCs/>
        </w:rPr>
      </w:pPr>
      <w:r w:rsidRPr="006D5B0E">
        <w:rPr>
          <w:rFonts w:ascii="Garamond" w:eastAsia="Times New Roman" w:hAnsi="Garamond" w:cs="Times New Roman"/>
          <w:b/>
          <w:bCs/>
        </w:rPr>
        <w:t>B. Sistemi i Shënuesve (</w:t>
      </w:r>
      <w:r w:rsidRPr="006D5B0E">
        <w:rPr>
          <w:rFonts w:ascii="Garamond" w:eastAsia="Times New Roman" w:hAnsi="Garamond" w:cs="Times New Roman"/>
          <w:b/>
          <w:bCs/>
          <w:i/>
          <w:iCs/>
        </w:rPr>
        <w:t>Marker</w:t>
      </w:r>
      <w:r w:rsidRPr="006D5B0E">
        <w:rPr>
          <w:rFonts w:ascii="Garamond" w:eastAsia="Times New Roman" w:hAnsi="Garamond" w:cs="Times New Roman"/>
          <w:b/>
          <w:bCs/>
        </w:rPr>
        <w:t>)</w:t>
      </w:r>
    </w:p>
    <w:p w14:paraId="3CD2BE69" w14:textId="457FDCA0"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14. Një ndërmarrje që dëshiron të aplikojë për imunitet ose ulje të gjobave mund të kërkojë një shënues (</w:t>
      </w:r>
      <w:r w:rsidRPr="006D5B0E">
        <w:rPr>
          <w:rFonts w:ascii="Garamond" w:eastAsia="Times New Roman" w:hAnsi="Garamond" w:cs="Times New Roman"/>
          <w:i/>
          <w:iCs/>
        </w:rPr>
        <w:t>marker</w:t>
      </w:r>
      <w:r w:rsidRPr="006D5B0E">
        <w:rPr>
          <w:rFonts w:ascii="Garamond" w:eastAsia="Times New Roman" w:hAnsi="Garamond" w:cs="Times New Roman"/>
        </w:rPr>
        <w:t>) nga Autoriteti i Konkurrencës</w:t>
      </w:r>
      <w:r w:rsidR="00AA6092">
        <w:rPr>
          <w:rFonts w:ascii="Garamond" w:eastAsia="Times New Roman" w:hAnsi="Garamond" w:cs="Times New Roman"/>
        </w:rPr>
        <w:t>,</w:t>
      </w:r>
      <w:r w:rsidRPr="006D5B0E">
        <w:rPr>
          <w:rFonts w:ascii="Garamond" w:eastAsia="Times New Roman" w:hAnsi="Garamond" w:cs="Times New Roman"/>
        </w:rPr>
        <w:t xml:space="preserve"> në mënyrë që të sigurojë pozicionin e saj sipas radhës së marrjes së aplikimeve.</w:t>
      </w:r>
    </w:p>
    <w:p w14:paraId="7BDFA7D2" w14:textId="77777777" w:rsidR="00D77A88" w:rsidRPr="006D5B0E" w:rsidRDefault="00D77A88" w:rsidP="009757ED">
      <w:pPr>
        <w:pStyle w:val="ListParagraph"/>
        <w:spacing w:line="240" w:lineRule="auto"/>
        <w:ind w:left="0" w:firstLine="284"/>
        <w:jc w:val="both"/>
        <w:rPr>
          <w:rFonts w:ascii="Garamond" w:eastAsia="Times New Roman" w:hAnsi="Garamond" w:cs="Times New Roman"/>
        </w:rPr>
      </w:pPr>
      <w:r w:rsidRPr="006D5B0E">
        <w:rPr>
          <w:rFonts w:ascii="Garamond" w:eastAsia="Times New Roman" w:hAnsi="Garamond" w:cs="Times New Roman"/>
        </w:rPr>
        <w:t>Dhënia e një shënuesi (</w:t>
      </w:r>
      <w:r w:rsidRPr="006D5B0E">
        <w:rPr>
          <w:rFonts w:ascii="Garamond" w:eastAsia="Times New Roman" w:hAnsi="Garamond" w:cs="Times New Roman"/>
          <w:i/>
          <w:iCs/>
        </w:rPr>
        <w:t>markeri</w:t>
      </w:r>
      <w:r w:rsidRPr="006D5B0E">
        <w:rPr>
          <w:rFonts w:ascii="Garamond" w:eastAsia="Times New Roman" w:hAnsi="Garamond" w:cs="Times New Roman"/>
        </w:rPr>
        <w:t>) do të mbrojë pozicionin e aplikuesit në radhën e lehtësimit, me kusht që ndërmarrja ta plotësojë kërkesën e saj brenda afatit kohor të përcaktuar nga Autoriteti i Konkurrencës. Një shënues (</w:t>
      </w:r>
      <w:r w:rsidRPr="006D5B0E">
        <w:rPr>
          <w:rFonts w:ascii="Garamond" w:eastAsia="Times New Roman" w:hAnsi="Garamond" w:cs="Times New Roman"/>
          <w:i/>
          <w:iCs/>
        </w:rPr>
        <w:t>marker</w:t>
      </w:r>
      <w:r w:rsidRPr="006D5B0E">
        <w:rPr>
          <w:rFonts w:ascii="Garamond" w:eastAsia="Times New Roman" w:hAnsi="Garamond" w:cs="Times New Roman"/>
        </w:rPr>
        <w:t>) nuk jep asnjë të drejtë thelbësore për imunitet ose ulje të gjobave, pasi këto vlerësohen vetëm pas dorëzimit të kërkesës së plotë.</w:t>
      </w:r>
    </w:p>
    <w:p w14:paraId="4E360FC9"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15. Një shënues (</w:t>
      </w:r>
      <w:r w:rsidRPr="006D5B0E">
        <w:rPr>
          <w:rFonts w:ascii="Garamond" w:eastAsia="Times New Roman" w:hAnsi="Garamond" w:cs="Times New Roman"/>
          <w:i/>
          <w:iCs/>
        </w:rPr>
        <w:t>marker</w:t>
      </w:r>
      <w:r w:rsidRPr="006D5B0E">
        <w:rPr>
          <w:rFonts w:ascii="Garamond" w:eastAsia="Times New Roman" w:hAnsi="Garamond" w:cs="Times New Roman"/>
        </w:rPr>
        <w:t>) do të jepet kur ndërmarrja ofron informacion fillestar të mjaftueshëm për të identifikuar:</w:t>
      </w:r>
    </w:p>
    <w:p w14:paraId="0B086C76" w14:textId="071C3648"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a</w:t>
      </w:r>
      <w:r w:rsidR="00AA6092">
        <w:rPr>
          <w:rFonts w:ascii="Garamond" w:hAnsi="Garamond"/>
          <w:lang w:val="sq-AL"/>
        </w:rPr>
        <w:t>)</w:t>
      </w:r>
      <w:r w:rsidRPr="006D5B0E">
        <w:rPr>
          <w:rFonts w:ascii="Garamond" w:hAnsi="Garamond"/>
          <w:lang w:val="sq-AL"/>
        </w:rPr>
        <w:t xml:space="preserve"> emrin dhe adresën e saj;</w:t>
      </w:r>
    </w:p>
    <w:p w14:paraId="5D35A78F" w14:textId="211D9496"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b</w:t>
      </w:r>
      <w:r w:rsidR="00AA6092">
        <w:rPr>
          <w:rFonts w:ascii="Garamond" w:hAnsi="Garamond"/>
          <w:lang w:val="sq-AL"/>
        </w:rPr>
        <w:t>)</w:t>
      </w:r>
      <w:r w:rsidRPr="006D5B0E">
        <w:rPr>
          <w:rFonts w:ascii="Garamond" w:hAnsi="Garamond"/>
          <w:lang w:val="sq-AL"/>
        </w:rPr>
        <w:t xml:space="preserve"> pjesëmarrësit e tjerë në kartelin e supozuar;</w:t>
      </w:r>
    </w:p>
    <w:p w14:paraId="6E69F7BB" w14:textId="76F5B148"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c</w:t>
      </w:r>
      <w:r w:rsidR="00AA6092">
        <w:rPr>
          <w:rFonts w:ascii="Garamond" w:hAnsi="Garamond"/>
          <w:lang w:val="sq-AL"/>
        </w:rPr>
        <w:t>)</w:t>
      </w:r>
      <w:r w:rsidRPr="006D5B0E">
        <w:rPr>
          <w:rFonts w:ascii="Garamond" w:hAnsi="Garamond"/>
          <w:lang w:val="sq-AL"/>
        </w:rPr>
        <w:t xml:space="preserve"> produktet ose shërbimet e prekura;</w:t>
      </w:r>
    </w:p>
    <w:p w14:paraId="7251B884" w14:textId="09EBCC36"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d</w:t>
      </w:r>
      <w:r w:rsidR="00AA6092">
        <w:rPr>
          <w:rFonts w:ascii="Garamond" w:hAnsi="Garamond"/>
          <w:lang w:val="sq-AL"/>
        </w:rPr>
        <w:t>)</w:t>
      </w:r>
      <w:r w:rsidRPr="006D5B0E">
        <w:rPr>
          <w:rFonts w:ascii="Garamond" w:hAnsi="Garamond"/>
          <w:lang w:val="sq-AL"/>
        </w:rPr>
        <w:t xml:space="preserve"> shtrirj</w:t>
      </w:r>
      <w:r w:rsidR="00AA6092">
        <w:rPr>
          <w:rFonts w:ascii="Garamond" w:hAnsi="Garamond"/>
          <w:lang w:val="sq-AL"/>
        </w:rPr>
        <w:t>en</w:t>
      </w:r>
      <w:r w:rsidRPr="006D5B0E">
        <w:rPr>
          <w:rFonts w:ascii="Garamond" w:hAnsi="Garamond"/>
          <w:lang w:val="sq-AL"/>
        </w:rPr>
        <w:t xml:space="preserve"> gjeografike;</w:t>
      </w:r>
    </w:p>
    <w:p w14:paraId="44209C42" w14:textId="40540125"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e</w:t>
      </w:r>
      <w:r w:rsidR="00AA6092">
        <w:rPr>
          <w:rFonts w:ascii="Garamond" w:hAnsi="Garamond"/>
          <w:lang w:val="sq-AL"/>
        </w:rPr>
        <w:t>)</w:t>
      </w:r>
      <w:r w:rsidRPr="006D5B0E">
        <w:rPr>
          <w:rFonts w:ascii="Garamond" w:hAnsi="Garamond"/>
          <w:lang w:val="sq-AL"/>
        </w:rPr>
        <w:t xml:space="preserve"> kohëzgjatj</w:t>
      </w:r>
      <w:r w:rsidR="00AA6092">
        <w:rPr>
          <w:rFonts w:ascii="Garamond" w:hAnsi="Garamond"/>
          <w:lang w:val="sq-AL"/>
        </w:rPr>
        <w:t>en</w:t>
      </w:r>
      <w:r w:rsidRPr="006D5B0E">
        <w:rPr>
          <w:rFonts w:ascii="Garamond" w:hAnsi="Garamond"/>
          <w:lang w:val="sq-AL"/>
        </w:rPr>
        <w:t xml:space="preserve"> e parashikuar </w:t>
      </w:r>
      <w:r w:rsidR="00AA6092">
        <w:rPr>
          <w:rFonts w:ascii="Garamond" w:hAnsi="Garamond"/>
          <w:lang w:val="sq-AL"/>
        </w:rPr>
        <w:t>të</w:t>
      </w:r>
      <w:r w:rsidRPr="006D5B0E">
        <w:rPr>
          <w:rFonts w:ascii="Garamond" w:hAnsi="Garamond"/>
          <w:lang w:val="sq-AL"/>
        </w:rPr>
        <w:t xml:space="preserve"> kartelit të supozuar; dhe</w:t>
      </w:r>
    </w:p>
    <w:p w14:paraId="32177701" w14:textId="6F7F0C75"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f</w:t>
      </w:r>
      <w:r w:rsidR="00AA6092">
        <w:rPr>
          <w:rFonts w:ascii="Garamond" w:hAnsi="Garamond"/>
          <w:lang w:val="sq-AL"/>
        </w:rPr>
        <w:t>)</w:t>
      </w:r>
      <w:r w:rsidRPr="006D5B0E">
        <w:rPr>
          <w:rFonts w:ascii="Garamond" w:hAnsi="Garamond"/>
          <w:lang w:val="sq-AL"/>
        </w:rPr>
        <w:t xml:space="preserve"> natyrën e sjelljes së supozuar.</w:t>
      </w:r>
    </w:p>
    <w:p w14:paraId="493D31D6" w14:textId="10668F00"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16. Kur jepet një shënues (</w:t>
      </w:r>
      <w:r w:rsidRPr="006D5B0E">
        <w:rPr>
          <w:rFonts w:ascii="Garamond" w:eastAsia="Times New Roman" w:hAnsi="Garamond" w:cs="Times New Roman"/>
          <w:i/>
          <w:iCs/>
        </w:rPr>
        <w:t>marker</w:t>
      </w:r>
      <w:r w:rsidRPr="006D5B0E">
        <w:rPr>
          <w:rFonts w:ascii="Garamond" w:eastAsia="Times New Roman" w:hAnsi="Garamond" w:cs="Times New Roman"/>
        </w:rPr>
        <w:t>), Autoriteti i Konkurrencës cakton një afat brenda të cilit ndërmarrja duhet të përfundojë aplikimin e saj</w:t>
      </w:r>
      <w:r w:rsidR="00AA6092">
        <w:rPr>
          <w:rFonts w:ascii="Garamond" w:eastAsia="Times New Roman" w:hAnsi="Garamond" w:cs="Times New Roman"/>
        </w:rPr>
        <w:t>,</w:t>
      </w:r>
      <w:r w:rsidRPr="006D5B0E">
        <w:rPr>
          <w:rFonts w:ascii="Garamond" w:eastAsia="Times New Roman" w:hAnsi="Garamond" w:cs="Times New Roman"/>
        </w:rPr>
        <w:t xml:space="preserve"> duke paraqitur provat e kërkuara dhe deklaratën e shoqërisë.</w:t>
      </w:r>
    </w:p>
    <w:p w14:paraId="4BADBBBA" w14:textId="4988B7B6"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17. Nëse ndërmarrja përmbush kërkesat brenda afatit të caktuar, informacioni i paraqitur konsiderohet se është dorëzuar në datën kur i është dhënë shënuesi (</w:t>
      </w:r>
      <w:r w:rsidRPr="006D5B0E">
        <w:rPr>
          <w:rFonts w:ascii="Garamond" w:eastAsia="Times New Roman" w:hAnsi="Garamond" w:cs="Times New Roman"/>
          <w:i/>
          <w:iCs/>
        </w:rPr>
        <w:t>marker</w:t>
      </w:r>
      <w:r w:rsidRPr="006D5B0E">
        <w:rPr>
          <w:rFonts w:ascii="Garamond" w:eastAsia="Times New Roman" w:hAnsi="Garamond" w:cs="Times New Roman"/>
        </w:rPr>
        <w:t>), për qëllime të përcaktimit të rendit të përparësisë</w:t>
      </w:r>
      <w:r w:rsidR="00AA6092">
        <w:rPr>
          <w:rFonts w:ascii="Garamond" w:eastAsia="Times New Roman" w:hAnsi="Garamond" w:cs="Times New Roman"/>
        </w:rPr>
        <w:t>,</w:t>
      </w:r>
      <w:r w:rsidRPr="006D5B0E">
        <w:rPr>
          <w:rFonts w:ascii="Garamond" w:eastAsia="Times New Roman" w:hAnsi="Garamond" w:cs="Times New Roman"/>
        </w:rPr>
        <w:t xml:space="preserve"> në kuadër të Programit të Lehtësimit.</w:t>
      </w:r>
    </w:p>
    <w:p w14:paraId="6307B85E"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18. Mospërmbushja e kërkesave për plotësimin e shënuesit (</w:t>
      </w:r>
      <w:r w:rsidRPr="006D5B0E">
        <w:rPr>
          <w:rFonts w:ascii="Garamond" w:eastAsia="Times New Roman" w:hAnsi="Garamond" w:cs="Times New Roman"/>
          <w:i/>
          <w:iCs/>
        </w:rPr>
        <w:t>marker</w:t>
      </w:r>
      <w:r w:rsidRPr="006D5B0E">
        <w:rPr>
          <w:rFonts w:ascii="Garamond" w:eastAsia="Times New Roman" w:hAnsi="Garamond" w:cs="Times New Roman"/>
        </w:rPr>
        <w:t>) brenda afatit të caktuar sjell humbjen e efektit të tij.</w:t>
      </w:r>
    </w:p>
    <w:p w14:paraId="321A6707" w14:textId="2109B3A1" w:rsidR="00D77A88" w:rsidRPr="006D5B0E" w:rsidRDefault="00D77A88" w:rsidP="009757ED">
      <w:pPr>
        <w:spacing w:line="240" w:lineRule="auto"/>
        <w:ind w:firstLine="284"/>
        <w:jc w:val="both"/>
        <w:rPr>
          <w:rFonts w:ascii="Garamond" w:eastAsia="Times New Roman" w:hAnsi="Garamond" w:cs="Times New Roman"/>
          <w:b/>
          <w:bCs/>
        </w:rPr>
      </w:pPr>
      <w:r w:rsidRPr="006D5B0E">
        <w:rPr>
          <w:rFonts w:ascii="Garamond" w:eastAsia="Times New Roman" w:hAnsi="Garamond" w:cs="Times New Roman"/>
          <w:b/>
          <w:bCs/>
        </w:rPr>
        <w:t xml:space="preserve">C. Aplikime të </w:t>
      </w:r>
      <w:r w:rsidR="00AA6092">
        <w:rPr>
          <w:rFonts w:ascii="Garamond" w:eastAsia="Times New Roman" w:hAnsi="Garamond" w:cs="Times New Roman"/>
          <w:b/>
          <w:bCs/>
        </w:rPr>
        <w:t>p</w:t>
      </w:r>
      <w:r w:rsidRPr="006D5B0E">
        <w:rPr>
          <w:rFonts w:ascii="Garamond" w:eastAsia="Times New Roman" w:hAnsi="Garamond" w:cs="Times New Roman"/>
          <w:b/>
          <w:bCs/>
        </w:rPr>
        <w:t xml:space="preserve">ërmbledhura </w:t>
      </w:r>
      <w:r w:rsidRPr="006D5B0E">
        <w:rPr>
          <w:rFonts w:ascii="Garamond" w:eastAsia="Times New Roman" w:hAnsi="Garamond" w:cs="Times New Roman"/>
          <w:b/>
          <w:bCs/>
          <w:i/>
          <w:iCs/>
        </w:rPr>
        <w:t>(Summary Applications)</w:t>
      </w:r>
    </w:p>
    <w:p w14:paraId="2BCA3D05" w14:textId="356ED829"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19. Një ndërmarrje që ka paraqitur</w:t>
      </w:r>
      <w:r w:rsidR="00AA6092">
        <w:rPr>
          <w:rFonts w:ascii="Garamond" w:eastAsia="Times New Roman" w:hAnsi="Garamond" w:cs="Times New Roman"/>
        </w:rPr>
        <w:t xml:space="preserve"> ose synon të paraqesë</w:t>
      </w:r>
      <w:r w:rsidRPr="006D5B0E">
        <w:rPr>
          <w:rFonts w:ascii="Garamond" w:eastAsia="Times New Roman" w:hAnsi="Garamond" w:cs="Times New Roman"/>
        </w:rPr>
        <w:t xml:space="preserve"> një kërkesë për imunitet</w:t>
      </w:r>
      <w:r w:rsidR="00AA6092">
        <w:rPr>
          <w:rFonts w:ascii="Garamond" w:eastAsia="Times New Roman" w:hAnsi="Garamond" w:cs="Times New Roman"/>
        </w:rPr>
        <w:t>,</w:t>
      </w:r>
      <w:r w:rsidRPr="006D5B0E">
        <w:rPr>
          <w:rFonts w:ascii="Garamond" w:eastAsia="Times New Roman" w:hAnsi="Garamond" w:cs="Times New Roman"/>
        </w:rPr>
        <w:t xml:space="preserve"> ose lehtësim pranë një autoriteti të huaj të konkurrenc</w:t>
      </w:r>
      <w:r w:rsidR="00AA6092">
        <w:rPr>
          <w:rFonts w:ascii="Garamond" w:eastAsia="Times New Roman" w:hAnsi="Garamond" w:cs="Times New Roman"/>
        </w:rPr>
        <w:t>ës,</w:t>
      </w:r>
      <w:r w:rsidRPr="006D5B0E">
        <w:rPr>
          <w:rFonts w:ascii="Garamond" w:eastAsia="Times New Roman" w:hAnsi="Garamond" w:cs="Times New Roman"/>
        </w:rPr>
        <w:t xml:space="preserve"> në lidhje me të njëjtin kartel të dyshuar mund të paraqesë një kërkesë të përmbledhur pranë Autoritetit Shqiptar të Konkurrencës, kur karteli i dyshuar është i aftë të ndikojë në konkurrencën në tregun shqiptar.</w:t>
      </w:r>
    </w:p>
    <w:p w14:paraId="0893A54A" w14:textId="34683A4A"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lastRenderedPageBreak/>
        <w:t>20. Një kërkesë e përmbledhur nuk do të japë në vetvete ndonjë të drejtë për imunitet ose lehtësim. Qëllimi i një kërkese të përmbledhur është të ruajë pozicionin e aplikantit në radhën e lehtësimit ose imunitetit në rast se Autoriteti Shqiptar i Kon</w:t>
      </w:r>
      <w:r w:rsidR="00AA6092">
        <w:rPr>
          <w:rFonts w:ascii="Garamond" w:eastAsia="Times New Roman" w:hAnsi="Garamond" w:cs="Times New Roman"/>
        </w:rPr>
        <w:t>kurrencës konsiderohet se është</w:t>
      </w:r>
      <w:r w:rsidRPr="006D5B0E">
        <w:rPr>
          <w:rFonts w:ascii="Garamond" w:eastAsia="Times New Roman" w:hAnsi="Garamond" w:cs="Times New Roman"/>
        </w:rPr>
        <w:t xml:space="preserve"> ose do jetë, në pozicionin e duhur për të vepruar.</w:t>
      </w:r>
    </w:p>
    <w:p w14:paraId="2338AB67" w14:textId="1D90F324"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21. Një kërkesë e përmbledhur duhet të përmbajë</w:t>
      </w:r>
      <w:r w:rsidR="00AA6092">
        <w:rPr>
          <w:rFonts w:ascii="Garamond" w:eastAsia="Times New Roman" w:hAnsi="Garamond" w:cs="Times New Roman"/>
        </w:rPr>
        <w:t>,</w:t>
      </w:r>
      <w:r w:rsidRPr="006D5B0E">
        <w:rPr>
          <w:rFonts w:ascii="Garamond" w:eastAsia="Times New Roman" w:hAnsi="Garamond" w:cs="Times New Roman"/>
        </w:rPr>
        <w:t xml:space="preserve"> të paktën:</w:t>
      </w:r>
    </w:p>
    <w:p w14:paraId="501445A4" w14:textId="27833BDF"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a</w:t>
      </w:r>
      <w:r w:rsidR="00AA6092">
        <w:rPr>
          <w:rFonts w:ascii="Garamond" w:hAnsi="Garamond"/>
          <w:lang w:val="sq-AL"/>
        </w:rPr>
        <w:t>)</w:t>
      </w:r>
      <w:r w:rsidRPr="006D5B0E">
        <w:rPr>
          <w:rFonts w:ascii="Garamond" w:hAnsi="Garamond"/>
          <w:lang w:val="sq-AL"/>
        </w:rPr>
        <w:t xml:space="preserve"> identifikimin e ndërmarrjes aplikuese;</w:t>
      </w:r>
    </w:p>
    <w:p w14:paraId="34C07966" w14:textId="75B66777"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b</w:t>
      </w:r>
      <w:r w:rsidR="00AA6092">
        <w:rPr>
          <w:rFonts w:ascii="Garamond" w:hAnsi="Garamond"/>
          <w:lang w:val="sq-AL"/>
        </w:rPr>
        <w:t>)</w:t>
      </w:r>
      <w:r w:rsidRPr="006D5B0E">
        <w:rPr>
          <w:rFonts w:ascii="Garamond" w:hAnsi="Garamond"/>
          <w:lang w:val="sq-AL"/>
        </w:rPr>
        <w:t xml:space="preserve"> identifikimi</w:t>
      </w:r>
      <w:r w:rsidR="00AA6092">
        <w:rPr>
          <w:rFonts w:ascii="Garamond" w:hAnsi="Garamond"/>
          <w:lang w:val="sq-AL"/>
        </w:rPr>
        <w:t>n</w:t>
      </w:r>
      <w:r w:rsidRPr="006D5B0E">
        <w:rPr>
          <w:rFonts w:ascii="Garamond" w:hAnsi="Garamond"/>
          <w:lang w:val="sq-AL"/>
        </w:rPr>
        <w:t xml:space="preserve"> </w:t>
      </w:r>
      <w:r w:rsidR="00AA6092">
        <w:rPr>
          <w:rFonts w:ascii="Garamond" w:hAnsi="Garamond"/>
          <w:lang w:val="sq-AL"/>
        </w:rPr>
        <w:t>e</w:t>
      </w:r>
      <w:r w:rsidRPr="006D5B0E">
        <w:rPr>
          <w:rFonts w:ascii="Garamond" w:hAnsi="Garamond"/>
          <w:lang w:val="sq-AL"/>
        </w:rPr>
        <w:t xml:space="preserve"> pjesëmarrësve të tjerë në kartel;</w:t>
      </w:r>
    </w:p>
    <w:p w14:paraId="56FE0935" w14:textId="34EB2EE8"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c</w:t>
      </w:r>
      <w:r w:rsidR="00AA6092">
        <w:rPr>
          <w:rFonts w:ascii="Garamond" w:hAnsi="Garamond"/>
          <w:lang w:val="sq-AL"/>
        </w:rPr>
        <w:t>)</w:t>
      </w:r>
      <w:r w:rsidRPr="006D5B0E">
        <w:rPr>
          <w:rFonts w:ascii="Garamond" w:hAnsi="Garamond"/>
          <w:lang w:val="sq-AL"/>
        </w:rPr>
        <w:t xml:space="preserve"> përshkrimi</w:t>
      </w:r>
      <w:r w:rsidR="00AA6092">
        <w:rPr>
          <w:rFonts w:ascii="Garamond" w:hAnsi="Garamond"/>
          <w:lang w:val="sq-AL"/>
        </w:rPr>
        <w:t>n</w:t>
      </w:r>
      <w:r w:rsidRPr="006D5B0E">
        <w:rPr>
          <w:rFonts w:ascii="Garamond" w:hAnsi="Garamond"/>
          <w:lang w:val="sq-AL"/>
        </w:rPr>
        <w:t xml:space="preserve"> </w:t>
      </w:r>
      <w:r w:rsidR="00AA6092">
        <w:rPr>
          <w:rFonts w:ascii="Garamond" w:hAnsi="Garamond"/>
          <w:lang w:val="sq-AL"/>
        </w:rPr>
        <w:t>e</w:t>
      </w:r>
      <w:r w:rsidRPr="006D5B0E">
        <w:rPr>
          <w:rFonts w:ascii="Garamond" w:hAnsi="Garamond"/>
          <w:lang w:val="sq-AL"/>
        </w:rPr>
        <w:t xml:space="preserve"> kartelit të supozuar (natyra, objektivat, funksionimi);</w:t>
      </w:r>
    </w:p>
    <w:p w14:paraId="6AB41735" w14:textId="0BAB83BB"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d</w:t>
      </w:r>
      <w:r w:rsidR="00AA6092">
        <w:rPr>
          <w:rFonts w:ascii="Garamond" w:hAnsi="Garamond"/>
          <w:lang w:val="sq-AL"/>
        </w:rPr>
        <w:t>)</w:t>
      </w:r>
      <w:r w:rsidRPr="006D5B0E">
        <w:rPr>
          <w:rFonts w:ascii="Garamond" w:hAnsi="Garamond"/>
          <w:lang w:val="sq-AL"/>
        </w:rPr>
        <w:t xml:space="preserve"> produktet ose shërbimet e prekura;</w:t>
      </w:r>
    </w:p>
    <w:p w14:paraId="19EB4E1B" w14:textId="170764EC"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e</w:t>
      </w:r>
      <w:r w:rsidR="00AA6092">
        <w:rPr>
          <w:rFonts w:ascii="Garamond" w:hAnsi="Garamond"/>
          <w:lang w:val="sq-AL"/>
        </w:rPr>
        <w:t>)</w:t>
      </w:r>
      <w:r w:rsidRPr="006D5B0E">
        <w:rPr>
          <w:rFonts w:ascii="Garamond" w:hAnsi="Garamond"/>
          <w:lang w:val="sq-AL"/>
        </w:rPr>
        <w:t xml:space="preserve"> shtrirj</w:t>
      </w:r>
      <w:r w:rsidR="00AA6092">
        <w:rPr>
          <w:rFonts w:ascii="Garamond" w:hAnsi="Garamond"/>
          <w:lang w:val="sq-AL"/>
        </w:rPr>
        <w:t>en</w:t>
      </w:r>
      <w:r w:rsidRPr="006D5B0E">
        <w:rPr>
          <w:rFonts w:ascii="Garamond" w:hAnsi="Garamond"/>
          <w:lang w:val="sq-AL"/>
        </w:rPr>
        <w:t xml:space="preserve"> gjeografike;</w:t>
      </w:r>
    </w:p>
    <w:p w14:paraId="73203354" w14:textId="78A24511"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f</w:t>
      </w:r>
      <w:r w:rsidR="00AA6092">
        <w:rPr>
          <w:rFonts w:ascii="Garamond" w:hAnsi="Garamond"/>
          <w:lang w:val="sq-AL"/>
        </w:rPr>
        <w:t>)</w:t>
      </w:r>
      <w:r w:rsidRPr="006D5B0E">
        <w:rPr>
          <w:rFonts w:ascii="Garamond" w:hAnsi="Garamond"/>
          <w:lang w:val="sq-AL"/>
        </w:rPr>
        <w:t xml:space="preserve"> kohëzgjatj</w:t>
      </w:r>
      <w:r w:rsidR="00AA6092">
        <w:rPr>
          <w:rFonts w:ascii="Garamond" w:hAnsi="Garamond"/>
          <w:lang w:val="sq-AL"/>
        </w:rPr>
        <w:t>en</w:t>
      </w:r>
      <w:r w:rsidRPr="006D5B0E">
        <w:rPr>
          <w:rFonts w:ascii="Garamond" w:hAnsi="Garamond"/>
          <w:lang w:val="sq-AL"/>
        </w:rPr>
        <w:t>; dhe</w:t>
      </w:r>
    </w:p>
    <w:p w14:paraId="355E0F55" w14:textId="30BF9231"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g</w:t>
      </w:r>
      <w:r w:rsidR="00AA6092">
        <w:rPr>
          <w:rFonts w:ascii="Garamond" w:hAnsi="Garamond"/>
          <w:lang w:val="sq-AL"/>
        </w:rPr>
        <w:t>)</w:t>
      </w:r>
      <w:r w:rsidRPr="006D5B0E">
        <w:rPr>
          <w:rFonts w:ascii="Garamond" w:hAnsi="Garamond"/>
          <w:lang w:val="sq-AL"/>
        </w:rPr>
        <w:t xml:space="preserve"> informacion</w:t>
      </w:r>
      <w:r w:rsidR="00AA6092">
        <w:rPr>
          <w:rFonts w:ascii="Garamond" w:hAnsi="Garamond"/>
          <w:lang w:val="sq-AL"/>
        </w:rPr>
        <w:t>in</w:t>
      </w:r>
      <w:r w:rsidRPr="006D5B0E">
        <w:rPr>
          <w:rFonts w:ascii="Garamond" w:hAnsi="Garamond"/>
          <w:lang w:val="sq-AL"/>
        </w:rPr>
        <w:t xml:space="preserve"> mbi çdo kërkesë paralele për lehtësim/imunitet.</w:t>
      </w:r>
    </w:p>
    <w:p w14:paraId="747F066B"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22. Autoriteti i Konkurrencës vlerëson nëse është në pozicionin e duhur për të vepruar, duke marrë parasysh:</w:t>
      </w:r>
    </w:p>
    <w:p w14:paraId="48262F35" w14:textId="14596FBA"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a) efektet e shkeljes së pretenduar në tregun shqiptar;</w:t>
      </w:r>
    </w:p>
    <w:p w14:paraId="7BEDD34D" w14:textId="52197CE6"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b) aftësinë për të hetuar dhe zbatuar në mënyrë efektive;</w:t>
      </w:r>
    </w:p>
    <w:p w14:paraId="6DD02303" w14:textId="4E4AC18F"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c) interesin në sigurimin e një ndarjeje efikase të zbatimit; dhe</w:t>
      </w:r>
    </w:p>
    <w:p w14:paraId="64DC159C" w14:textId="34B9522B" w:rsidR="00D77A88" w:rsidRPr="006D5B0E" w:rsidRDefault="00D77A88" w:rsidP="009757ED">
      <w:pPr>
        <w:pStyle w:val="NormalWeb"/>
        <w:spacing w:before="0" w:beforeAutospacing="0" w:after="0" w:afterAutospacing="0"/>
        <w:ind w:firstLine="284"/>
        <w:rPr>
          <w:rFonts w:ascii="Garamond" w:hAnsi="Garamond"/>
          <w:lang w:val="sq-AL"/>
        </w:rPr>
      </w:pPr>
      <w:r w:rsidRPr="006D5B0E">
        <w:rPr>
          <w:rFonts w:ascii="Garamond" w:hAnsi="Garamond"/>
          <w:lang w:val="sq-AL"/>
        </w:rPr>
        <w:t>d) procedura paralele në juridiksione të tjera.</w:t>
      </w:r>
    </w:p>
    <w:p w14:paraId="6A35F4AF" w14:textId="77777777" w:rsidR="00D77A88" w:rsidRPr="006D5B0E" w:rsidRDefault="00D77A88" w:rsidP="009757ED">
      <w:pPr>
        <w:pStyle w:val="ListParagraph"/>
        <w:spacing w:line="240" w:lineRule="auto"/>
        <w:ind w:left="0" w:firstLine="284"/>
        <w:jc w:val="both"/>
        <w:rPr>
          <w:rFonts w:ascii="Garamond" w:eastAsia="Times New Roman" w:hAnsi="Garamond" w:cs="Times New Roman"/>
        </w:rPr>
      </w:pPr>
      <w:r w:rsidRPr="006D5B0E">
        <w:rPr>
          <w:rFonts w:ascii="Garamond" w:eastAsia="Times New Roman" w:hAnsi="Garamond" w:cs="Times New Roman"/>
        </w:rPr>
        <w:t>Vlerësimi nëse Autoriteti i Konkurrencës është në pozicionin e duhur për të vepruar është diskrecionar dhe nuk duhet të krijojë ndonjë pritshmëri legjitime se Autoriteti i Konkurrencës do të hapë procedurat përkatëse.</w:t>
      </w:r>
    </w:p>
    <w:p w14:paraId="32F8D6CF" w14:textId="57413C28"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23. Autoriteti i Konkurrencës duhet të marrë parasysh nevojën për të siguruar shpërndarjen efikase të çështjeve brenda Rrjetit Evropian të Konkurrencës (ECN) dhe për të shmangur zbatimin paralel</w:t>
      </w:r>
      <w:r w:rsidRPr="006D5B0E">
        <w:rPr>
          <w:rStyle w:val="FootnoteReference"/>
          <w:rFonts w:ascii="Garamond" w:eastAsia="Times New Roman" w:hAnsi="Garamond" w:cs="Times New Roman"/>
        </w:rPr>
        <w:footnoteReference w:id="3"/>
      </w:r>
      <w:r w:rsidRPr="006D5B0E">
        <w:rPr>
          <w:rFonts w:ascii="Garamond" w:eastAsia="Times New Roman" w:hAnsi="Garamond" w:cs="Times New Roman"/>
        </w:rPr>
        <w:t xml:space="preserve"> ose të dyfishtë</w:t>
      </w:r>
      <w:r w:rsidRPr="006D5B0E">
        <w:rPr>
          <w:rStyle w:val="FootnoteReference"/>
          <w:rFonts w:ascii="Garamond" w:eastAsia="Times New Roman" w:hAnsi="Garamond" w:cs="Times New Roman"/>
        </w:rPr>
        <w:footnoteReference w:id="4"/>
      </w:r>
      <w:r w:rsidRPr="006D5B0E">
        <w:rPr>
          <w:rFonts w:ascii="Garamond" w:eastAsia="Times New Roman" w:hAnsi="Garamond" w:cs="Times New Roman"/>
        </w:rPr>
        <w:t>, kur është rasti.</w:t>
      </w:r>
    </w:p>
    <w:p w14:paraId="61DB2149"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24. Kur Autoriteti i Konkurrencës konsideron se nuk është në pozicionin e duhur për të vepruar, ai duhet të informojë aplikantin. Kërkesa e përmbledhur nuk do të përpunohet më tej, pa paragjykuar pozicionin e aplikantit para autoriteteve të huaja të konkurrencës.</w:t>
      </w:r>
    </w:p>
    <w:p w14:paraId="2E98E5A2" w14:textId="484B9229"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hAnsi="Garamond" w:cs="Times New Roman"/>
        </w:rPr>
        <w:t xml:space="preserve">25. Kur Autoriteti i Konkurrencës konsideron se </w:t>
      </w:r>
      <w:r w:rsidRPr="006D5B0E">
        <w:rPr>
          <w:rFonts w:ascii="Garamond" w:eastAsia="Times New Roman" w:hAnsi="Garamond" w:cs="Times New Roman"/>
        </w:rPr>
        <w:t xml:space="preserve">është në pozicionin e duhur </w:t>
      </w:r>
      <w:r w:rsidRPr="006D5B0E">
        <w:rPr>
          <w:rFonts w:ascii="Garamond" w:hAnsi="Garamond" w:cs="Times New Roman"/>
        </w:rPr>
        <w:t>për të vepruar, ai mund t</w:t>
      </w:r>
      <w:r w:rsidR="00AA6092">
        <w:rPr>
          <w:rFonts w:ascii="Garamond" w:hAnsi="Garamond" w:cs="Times New Roman"/>
        </w:rPr>
        <w:t>’</w:t>
      </w:r>
      <w:r w:rsidRPr="006D5B0E">
        <w:rPr>
          <w:rFonts w:ascii="Garamond" w:hAnsi="Garamond" w:cs="Times New Roman"/>
        </w:rPr>
        <w:t>i kërkojë aplikantit të paraqesë një aplikim të plotë brenda një periudhe të caktuar.</w:t>
      </w:r>
    </w:p>
    <w:p w14:paraId="3AAE31D9" w14:textId="1633000B"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26. Kur një kërkesë e plotë dorëzohet brenda afatit të caktuar, ajo do të konsiderohet e dorëzuar në datën e kërkesës së përmbledhur</w:t>
      </w:r>
      <w:r w:rsidR="00AA6092">
        <w:rPr>
          <w:rFonts w:ascii="Garamond" w:eastAsia="Times New Roman" w:hAnsi="Garamond" w:cs="Times New Roman"/>
        </w:rPr>
        <w:t>,</w:t>
      </w:r>
      <w:r w:rsidRPr="006D5B0E">
        <w:rPr>
          <w:rFonts w:ascii="Garamond" w:eastAsia="Times New Roman" w:hAnsi="Garamond" w:cs="Times New Roman"/>
        </w:rPr>
        <w:t xml:space="preserve"> me qëllim përcaktimin e përparësisë.</w:t>
      </w:r>
    </w:p>
    <w:p w14:paraId="702B9250" w14:textId="29B5392B" w:rsidR="00D77A88" w:rsidRPr="006D5B0E" w:rsidRDefault="00D77A88" w:rsidP="009757ED">
      <w:pPr>
        <w:spacing w:line="240" w:lineRule="auto"/>
        <w:ind w:firstLine="284"/>
        <w:jc w:val="both"/>
        <w:rPr>
          <w:rFonts w:ascii="Garamond" w:eastAsia="Times New Roman" w:hAnsi="Garamond" w:cs="Times New Roman"/>
          <w:b/>
          <w:bCs/>
        </w:rPr>
      </w:pPr>
      <w:r w:rsidRPr="006D5B0E">
        <w:rPr>
          <w:rFonts w:ascii="Garamond" w:eastAsia="Times New Roman" w:hAnsi="Garamond" w:cs="Times New Roman"/>
          <w:b/>
          <w:bCs/>
        </w:rPr>
        <w:t xml:space="preserve">D. Dorëzimi i </w:t>
      </w:r>
      <w:r w:rsidR="00AA6092">
        <w:rPr>
          <w:rFonts w:ascii="Garamond" w:eastAsia="Times New Roman" w:hAnsi="Garamond" w:cs="Times New Roman"/>
          <w:b/>
          <w:bCs/>
        </w:rPr>
        <w:t>a</w:t>
      </w:r>
      <w:r w:rsidRPr="006D5B0E">
        <w:rPr>
          <w:rFonts w:ascii="Garamond" w:eastAsia="Times New Roman" w:hAnsi="Garamond" w:cs="Times New Roman"/>
          <w:b/>
          <w:bCs/>
        </w:rPr>
        <w:t>plikimeve</w:t>
      </w:r>
    </w:p>
    <w:p w14:paraId="511DAB74" w14:textId="5D207D61"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27</w:t>
      </w:r>
      <w:r w:rsidR="00AA6092">
        <w:rPr>
          <w:rFonts w:ascii="Garamond" w:hAnsi="Garamond" w:cs="Times New Roman"/>
        </w:rPr>
        <w:t>.</w:t>
      </w:r>
      <w:r w:rsidRPr="006D5B0E">
        <w:rPr>
          <w:rFonts w:ascii="Garamond" w:hAnsi="Garamond" w:cs="Times New Roman"/>
        </w:rPr>
        <w:t xml:space="preserve"> Një ndërmarrje mund të paraqesë një kërkesë zyrtare</w:t>
      </w:r>
      <w:r w:rsidR="00AA6092">
        <w:rPr>
          <w:rFonts w:ascii="Garamond" w:hAnsi="Garamond" w:cs="Times New Roman"/>
        </w:rPr>
        <w:t>,</w:t>
      </w:r>
      <w:r w:rsidRPr="006D5B0E">
        <w:rPr>
          <w:rFonts w:ascii="Garamond" w:hAnsi="Garamond" w:cs="Times New Roman"/>
        </w:rPr>
        <w:t xml:space="preserve"> qoftë:</w:t>
      </w:r>
    </w:p>
    <w:p w14:paraId="7A475E7F" w14:textId="622C90B0"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a</w:t>
      </w:r>
      <w:r w:rsidR="00AA6092">
        <w:rPr>
          <w:rFonts w:ascii="Garamond" w:eastAsia="Times New Roman" w:hAnsi="Garamond" w:cs="Times New Roman"/>
        </w:rPr>
        <w:t>)</w:t>
      </w:r>
      <w:r w:rsidRPr="006D5B0E">
        <w:rPr>
          <w:rFonts w:ascii="Garamond" w:eastAsia="Times New Roman" w:hAnsi="Garamond" w:cs="Times New Roman"/>
        </w:rPr>
        <w:t xml:space="preserve"> duke ofruar një deklaratë të plotë dhe të gjitha provat e disponueshme; ose</w:t>
      </w:r>
    </w:p>
    <w:p w14:paraId="1F013AC8" w14:textId="36C5C21D"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b</w:t>
      </w:r>
      <w:r w:rsidR="00AA6092">
        <w:rPr>
          <w:rFonts w:ascii="Garamond" w:eastAsia="Times New Roman" w:hAnsi="Garamond" w:cs="Times New Roman"/>
        </w:rPr>
        <w:t>)</w:t>
      </w:r>
      <w:r w:rsidRPr="006D5B0E">
        <w:rPr>
          <w:rFonts w:ascii="Garamond" w:eastAsia="Times New Roman" w:hAnsi="Garamond" w:cs="Times New Roman"/>
        </w:rPr>
        <w:t xml:space="preserve"> duke paraqitur një kërkesë në formë hipotetike të shoqëruar me një listë të detajuar provash që do të paraqiten më vonë.</w:t>
      </w:r>
    </w:p>
    <w:p w14:paraId="0D38BBE3"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28. Autoriteti i Konkurrencës siguron që kërkesat për imunitet ose lehtësim të trajtohen në një rend strikt date pranimi, në varësi të kërkesave për shënues (</w:t>
      </w:r>
      <w:r w:rsidRPr="006D5B0E">
        <w:rPr>
          <w:rFonts w:ascii="Garamond" w:eastAsia="Times New Roman" w:hAnsi="Garamond" w:cs="Times New Roman"/>
          <w:i/>
          <w:iCs/>
        </w:rPr>
        <w:t>marker</w:t>
      </w:r>
      <w:r w:rsidRPr="006D5B0E">
        <w:rPr>
          <w:rFonts w:ascii="Garamond" w:eastAsia="Times New Roman" w:hAnsi="Garamond" w:cs="Times New Roman"/>
        </w:rPr>
        <w:t>) dhe atyre aplikimeve të përmbledhura (</w:t>
      </w:r>
      <w:r w:rsidRPr="006D5B0E">
        <w:rPr>
          <w:rFonts w:ascii="Garamond" w:eastAsia="Times New Roman" w:hAnsi="Garamond" w:cs="Times New Roman"/>
          <w:i/>
          <w:iCs/>
        </w:rPr>
        <w:t>summary applications</w:t>
      </w:r>
      <w:r w:rsidRPr="006D5B0E">
        <w:rPr>
          <w:rFonts w:ascii="Garamond" w:eastAsia="Times New Roman" w:hAnsi="Garamond" w:cs="Times New Roman"/>
        </w:rPr>
        <w:t>).</w:t>
      </w:r>
    </w:p>
    <w:p w14:paraId="548CB3E7" w14:textId="5BB49153"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hAnsi="Garamond" w:cs="Times New Roman"/>
        </w:rPr>
        <w:t>29. Autoriteti i Konkurrencës nuk do të shqyrtojë kërkesat për uljen e gjobave përpara se të vendosë për ndonjë kërkesë për imunitet</w:t>
      </w:r>
      <w:r w:rsidR="00AA6092">
        <w:rPr>
          <w:rFonts w:ascii="Garamond" w:hAnsi="Garamond" w:cs="Times New Roman"/>
        </w:rPr>
        <w:t>,</w:t>
      </w:r>
      <w:r w:rsidRPr="006D5B0E">
        <w:rPr>
          <w:rFonts w:ascii="Garamond" w:hAnsi="Garamond" w:cs="Times New Roman"/>
        </w:rPr>
        <w:t xml:space="preserve"> në lidhje me të njëjtin kartel të dyshuar.</w:t>
      </w:r>
    </w:p>
    <w:p w14:paraId="34DE86DA"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hAnsi="Garamond" w:cs="Times New Roman"/>
        </w:rPr>
        <w:t>30. Autoriteti i Konkurrencës bashkëpunon me autoritete të huaja konkurrence, kur është e përshtatshme dhe në përputhje me ligjin në fuqi, për të siguruar shpërndarjen efikase të rasteve dhe qëndrueshmërinë e zbatimit.</w:t>
      </w:r>
    </w:p>
    <w:p w14:paraId="7E8DF962" w14:textId="77777777" w:rsidR="00D77A88" w:rsidRPr="00AA6092" w:rsidRDefault="00D77A88" w:rsidP="009757ED">
      <w:pPr>
        <w:spacing w:line="240" w:lineRule="auto"/>
        <w:ind w:firstLine="284"/>
        <w:jc w:val="both"/>
        <w:rPr>
          <w:rFonts w:ascii="Garamond" w:eastAsia="Times New Roman" w:hAnsi="Garamond" w:cs="Times New Roman"/>
          <w:bCs/>
        </w:rPr>
      </w:pPr>
      <w:r w:rsidRPr="00AA6092">
        <w:rPr>
          <w:rFonts w:ascii="Garamond" w:eastAsia="Times New Roman" w:hAnsi="Garamond" w:cs="Times New Roman"/>
          <w:bCs/>
        </w:rPr>
        <w:t>III. ULJA E GJOBËS</w:t>
      </w:r>
    </w:p>
    <w:p w14:paraId="27A51B4A" w14:textId="3E7C1FC9" w:rsidR="00D77A88" w:rsidRPr="006D5B0E" w:rsidRDefault="00D77A88" w:rsidP="009757ED">
      <w:pPr>
        <w:spacing w:line="240" w:lineRule="auto"/>
        <w:ind w:firstLine="284"/>
        <w:jc w:val="both"/>
        <w:rPr>
          <w:rFonts w:ascii="Garamond" w:eastAsia="Times New Roman" w:hAnsi="Garamond" w:cs="Times New Roman"/>
          <w:b/>
          <w:bCs/>
        </w:rPr>
      </w:pPr>
      <w:r w:rsidRPr="006D5B0E">
        <w:rPr>
          <w:rFonts w:ascii="Garamond" w:eastAsia="Times New Roman" w:hAnsi="Garamond" w:cs="Times New Roman"/>
          <w:b/>
          <w:bCs/>
        </w:rPr>
        <w:t>A. Kërkesat për t</w:t>
      </w:r>
      <w:r w:rsidR="00AA6092">
        <w:rPr>
          <w:rFonts w:ascii="Garamond" w:eastAsia="Times New Roman" w:hAnsi="Garamond" w:cs="Times New Roman"/>
          <w:b/>
          <w:bCs/>
        </w:rPr>
        <w:t>’</w:t>
      </w:r>
      <w:r w:rsidRPr="006D5B0E">
        <w:rPr>
          <w:rFonts w:ascii="Garamond" w:eastAsia="Times New Roman" w:hAnsi="Garamond" w:cs="Times New Roman"/>
          <w:b/>
          <w:bCs/>
        </w:rPr>
        <w:t>u kualifikuar për uljen e një gjobe</w:t>
      </w:r>
    </w:p>
    <w:p w14:paraId="296E0081"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lastRenderedPageBreak/>
        <w:t>31. Ndërmarrjet që zbulojnë pjesëmarrjen e tyre në një kartel të dyshuar që ndikon në tregun shqiptar, të cilat nuk i plotësojnë kushtet sipas seksionit II më sipër, mund të kualifikohen për të përfituar nga një ulje gjobe që mund të ishte vendosur.</w:t>
      </w:r>
    </w:p>
    <w:p w14:paraId="7C1619DE" w14:textId="67FD4600"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32. Për t</w:t>
      </w:r>
      <w:r w:rsidR="00AA6092">
        <w:rPr>
          <w:rFonts w:ascii="Garamond" w:eastAsia="Times New Roman" w:hAnsi="Garamond" w:cs="Times New Roman"/>
        </w:rPr>
        <w:t>’</w:t>
      </w:r>
      <w:r w:rsidRPr="006D5B0E">
        <w:rPr>
          <w:rFonts w:ascii="Garamond" w:eastAsia="Times New Roman" w:hAnsi="Garamond" w:cs="Times New Roman"/>
        </w:rPr>
        <w:t>u kualifikuar, një ndërmarrje duhet t’i paraqesë Autoritetit të Konkurrencës prova të shkeljes së pretenduar, të cilat përfaqësojnë vlerë të shtuar të konsiderueshme</w:t>
      </w:r>
      <w:r w:rsidR="00AA6092">
        <w:rPr>
          <w:rFonts w:ascii="Garamond" w:eastAsia="Times New Roman" w:hAnsi="Garamond" w:cs="Times New Roman"/>
        </w:rPr>
        <w:t>,</w:t>
      </w:r>
      <w:r w:rsidRPr="006D5B0E">
        <w:rPr>
          <w:rFonts w:ascii="Garamond" w:eastAsia="Times New Roman" w:hAnsi="Garamond" w:cs="Times New Roman"/>
        </w:rPr>
        <w:t xml:space="preserve"> në lidhje me provat që tashmë ka Autoriteti i Konkurrencës dhe duhet të përmbushin kushtet kumu</w:t>
      </w:r>
      <w:r w:rsidR="00AA6092">
        <w:rPr>
          <w:rFonts w:ascii="Garamond" w:eastAsia="Times New Roman" w:hAnsi="Garamond" w:cs="Times New Roman"/>
        </w:rPr>
        <w:t>lative të përcaktuara në pikat 12/“</w:t>
      </w:r>
      <w:r w:rsidRPr="006D5B0E">
        <w:rPr>
          <w:rFonts w:ascii="Garamond" w:eastAsia="Times New Roman" w:hAnsi="Garamond" w:cs="Times New Roman"/>
        </w:rPr>
        <w:t>a</w:t>
      </w:r>
      <w:r w:rsidR="00AA6092">
        <w:rPr>
          <w:rFonts w:ascii="Garamond" w:eastAsia="Times New Roman" w:hAnsi="Garamond" w:cs="Times New Roman"/>
        </w:rPr>
        <w:t>” deri në 12/“</w:t>
      </w:r>
      <w:r w:rsidRPr="006D5B0E">
        <w:rPr>
          <w:rFonts w:ascii="Garamond" w:eastAsia="Times New Roman" w:hAnsi="Garamond" w:cs="Times New Roman"/>
        </w:rPr>
        <w:t>c</w:t>
      </w:r>
      <w:r w:rsidR="00AA6092">
        <w:rPr>
          <w:rFonts w:ascii="Garamond" w:eastAsia="Times New Roman" w:hAnsi="Garamond" w:cs="Times New Roman"/>
        </w:rPr>
        <w:t>”,</w:t>
      </w:r>
      <w:r w:rsidRPr="006D5B0E">
        <w:rPr>
          <w:rFonts w:ascii="Garamond" w:eastAsia="Times New Roman" w:hAnsi="Garamond" w:cs="Times New Roman"/>
        </w:rPr>
        <w:t xml:space="preserve"> më sipër.</w:t>
      </w:r>
    </w:p>
    <w:p w14:paraId="76EB6503" w14:textId="7229351D"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33. Koncepti i </w:t>
      </w:r>
      <w:r w:rsidR="00AA6092">
        <w:rPr>
          <w:rFonts w:ascii="Garamond" w:eastAsia="Times New Roman" w:hAnsi="Garamond" w:cs="Times New Roman"/>
        </w:rPr>
        <w:t>‘vlerës së shtuar’</w:t>
      </w:r>
      <w:r w:rsidRPr="006D5B0E">
        <w:rPr>
          <w:rFonts w:ascii="Garamond" w:eastAsia="Times New Roman" w:hAnsi="Garamond" w:cs="Times New Roman"/>
        </w:rPr>
        <w:t xml:space="preserve"> i referohet masës në të cilën provat e ofruara forcojnë, nga vetë natyra dhe/ose niveli i detajeve të tyre, aftësinë e Autoritetit të Konkurrencës për të provuar kartelin e supozuar. Në këtë vlerësim, Autoriteti i Konkurrencës</w:t>
      </w:r>
      <w:r w:rsidR="00AA6092">
        <w:rPr>
          <w:rFonts w:ascii="Garamond" w:eastAsia="Times New Roman" w:hAnsi="Garamond" w:cs="Times New Roman"/>
        </w:rPr>
        <w:t>,</w:t>
      </w:r>
      <w:r w:rsidRPr="006D5B0E">
        <w:rPr>
          <w:rFonts w:ascii="Garamond" w:eastAsia="Times New Roman" w:hAnsi="Garamond" w:cs="Times New Roman"/>
        </w:rPr>
        <w:t xml:space="preserve"> në përgjithësi</w:t>
      </w:r>
      <w:r w:rsidR="00AA6092">
        <w:rPr>
          <w:rFonts w:ascii="Garamond" w:eastAsia="Times New Roman" w:hAnsi="Garamond" w:cs="Times New Roman"/>
        </w:rPr>
        <w:t>,</w:t>
      </w:r>
      <w:r w:rsidRPr="006D5B0E">
        <w:rPr>
          <w:rFonts w:ascii="Garamond" w:eastAsia="Times New Roman" w:hAnsi="Garamond" w:cs="Times New Roman"/>
        </w:rPr>
        <w:t xml:space="preserve"> do të konsiderojë provat me shkrim që burojnë nga periudha kohore </w:t>
      </w:r>
      <w:r w:rsidR="00AA6092">
        <w:rPr>
          <w:rFonts w:ascii="Garamond" w:eastAsia="Times New Roman" w:hAnsi="Garamond" w:cs="Times New Roman"/>
        </w:rPr>
        <w:t>t</w:t>
      </w:r>
      <w:r w:rsidRPr="006D5B0E">
        <w:rPr>
          <w:rFonts w:ascii="Garamond" w:eastAsia="Times New Roman" w:hAnsi="Garamond" w:cs="Times New Roman"/>
        </w:rPr>
        <w:t>ë cilës i përkasin faktet</w:t>
      </w:r>
      <w:r w:rsidR="00AA6092">
        <w:rPr>
          <w:rFonts w:ascii="Garamond" w:eastAsia="Times New Roman" w:hAnsi="Garamond" w:cs="Times New Roman"/>
        </w:rPr>
        <w:t>,</w:t>
      </w:r>
      <w:r w:rsidRPr="006D5B0E">
        <w:rPr>
          <w:rFonts w:ascii="Garamond" w:eastAsia="Times New Roman" w:hAnsi="Garamond" w:cs="Times New Roman"/>
        </w:rPr>
        <w:t xml:space="preserve"> si të kenë një vlerë më të madhe sesa provat e përcaktuara më pas. Provat inkriminuese që lidhen drejtpërdrejt me faktet në fjalë</w:t>
      </w:r>
      <w:r w:rsidR="00AA6092">
        <w:rPr>
          <w:rFonts w:ascii="Garamond" w:eastAsia="Times New Roman" w:hAnsi="Garamond" w:cs="Times New Roman"/>
        </w:rPr>
        <w:t>,</w:t>
      </w:r>
      <w:r w:rsidRPr="006D5B0E">
        <w:rPr>
          <w:rFonts w:ascii="Garamond" w:eastAsia="Times New Roman" w:hAnsi="Garamond" w:cs="Times New Roman"/>
        </w:rPr>
        <w:t xml:space="preserve"> në përgjithësi</w:t>
      </w:r>
      <w:r w:rsidR="00AA6092">
        <w:rPr>
          <w:rFonts w:ascii="Garamond" w:eastAsia="Times New Roman" w:hAnsi="Garamond" w:cs="Times New Roman"/>
        </w:rPr>
        <w:t>,</w:t>
      </w:r>
      <w:r w:rsidRPr="006D5B0E">
        <w:rPr>
          <w:rFonts w:ascii="Garamond" w:eastAsia="Times New Roman" w:hAnsi="Garamond" w:cs="Times New Roman"/>
        </w:rPr>
        <w:t xml:space="preserve"> do të konsiderohen si të kenë një vlerë më të madhe sesa ato me vetëm rëndësi indirekte. Në të njëjtën mënyrë, shkalla e mbështetjes me prova të tjera që kërkohet në mënyrë që provat e paraqitura të mund të përdoren kundër ndërmarrjeve të tjera të përfshira në çështje ndikon në vlerën e tyre provuese. Si rrjedhojë, provat bindëse kanë vlerë provuese më të lartë sesa prova</w:t>
      </w:r>
      <w:r w:rsidR="00AA6092">
        <w:rPr>
          <w:rFonts w:ascii="Garamond" w:eastAsia="Times New Roman" w:hAnsi="Garamond" w:cs="Times New Roman"/>
        </w:rPr>
        <w:t>,</w:t>
      </w:r>
      <w:r w:rsidRPr="006D5B0E">
        <w:rPr>
          <w:rFonts w:ascii="Garamond" w:eastAsia="Times New Roman" w:hAnsi="Garamond" w:cs="Times New Roman"/>
        </w:rPr>
        <w:t xml:space="preserve"> të tilla si deklaratat, të cilat, nëse kundërshtohen, duhet të mbështeten me prova të tjera.</w:t>
      </w:r>
    </w:p>
    <w:p w14:paraId="3F8F1E99"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34. Autoriteti i Konkurrencës do të përcaktojë në çdo vendim të miratuar në fund të procedurës administrative nivelin e reduktimit të cilin do të përfitojë një ndërmarrje, në krahasim me gjobën që përndryshe do të vendosej. Për:</w:t>
      </w:r>
    </w:p>
    <w:p w14:paraId="7095ACD2" w14:textId="4B0B23DE" w:rsidR="00D77A88" w:rsidRPr="006D5B0E" w:rsidRDefault="00204371" w:rsidP="009757ED">
      <w:pPr>
        <w:spacing w:line="240" w:lineRule="auto"/>
        <w:ind w:firstLine="284"/>
        <w:jc w:val="both"/>
        <w:rPr>
          <w:rFonts w:ascii="Garamond" w:eastAsia="Times New Roman" w:hAnsi="Garamond" w:cs="Times New Roman"/>
        </w:rPr>
      </w:pPr>
      <w:r>
        <w:rPr>
          <w:rFonts w:ascii="Garamond" w:eastAsia="Times New Roman" w:hAnsi="Garamond" w:cs="Times New Roman"/>
        </w:rPr>
        <w:t xml:space="preserve">- </w:t>
      </w:r>
      <w:r w:rsidR="00D77A88" w:rsidRPr="006D5B0E">
        <w:rPr>
          <w:rFonts w:ascii="Garamond" w:eastAsia="Times New Roman" w:hAnsi="Garamond" w:cs="Times New Roman"/>
        </w:rPr>
        <w:t>ndërmarrjen e parë që ofron vlerë të shtuar të konsiderueshme: një ulje prej 30</w:t>
      </w:r>
      <w:r>
        <w:rPr>
          <w:rFonts w:ascii="Garamond" w:eastAsia="Times New Roman" w:hAnsi="Garamond" w:cs="Times New Roman"/>
        </w:rPr>
        <w:t>–</w:t>
      </w:r>
      <w:r w:rsidR="00D77A88" w:rsidRPr="006D5B0E">
        <w:rPr>
          <w:rFonts w:ascii="Garamond" w:eastAsia="Times New Roman" w:hAnsi="Garamond" w:cs="Times New Roman"/>
        </w:rPr>
        <w:t>50%</w:t>
      </w:r>
      <w:r>
        <w:rPr>
          <w:rFonts w:ascii="Garamond" w:eastAsia="Times New Roman" w:hAnsi="Garamond" w:cs="Times New Roman"/>
        </w:rPr>
        <w:t>;</w:t>
      </w:r>
    </w:p>
    <w:p w14:paraId="3913DAF1" w14:textId="60E2F2A8" w:rsidR="00D77A88" w:rsidRPr="006D5B0E" w:rsidRDefault="00204371" w:rsidP="009757ED">
      <w:pPr>
        <w:spacing w:line="240" w:lineRule="auto"/>
        <w:ind w:firstLine="284"/>
        <w:jc w:val="both"/>
        <w:rPr>
          <w:rFonts w:ascii="Garamond" w:eastAsia="Times New Roman" w:hAnsi="Garamond" w:cs="Times New Roman"/>
        </w:rPr>
      </w:pPr>
      <w:r>
        <w:rPr>
          <w:rFonts w:ascii="Garamond" w:eastAsia="Times New Roman" w:hAnsi="Garamond" w:cs="Times New Roman"/>
        </w:rPr>
        <w:t xml:space="preserve">- </w:t>
      </w:r>
      <w:r w:rsidR="00D77A88" w:rsidRPr="006D5B0E">
        <w:rPr>
          <w:rFonts w:ascii="Garamond" w:eastAsia="Times New Roman" w:hAnsi="Garamond" w:cs="Times New Roman"/>
        </w:rPr>
        <w:t>ndërmarrjen e dytë që ofron vlerë të shtuar të konsiderueshme: një ulje prej 20</w:t>
      </w:r>
      <w:r>
        <w:rPr>
          <w:rFonts w:ascii="Garamond" w:eastAsia="Times New Roman" w:hAnsi="Garamond" w:cs="Times New Roman"/>
        </w:rPr>
        <w:t>–30%;</w:t>
      </w:r>
    </w:p>
    <w:p w14:paraId="49C323B2" w14:textId="58D9B4F1" w:rsidR="00D77A88" w:rsidRPr="006D5B0E" w:rsidRDefault="00204371" w:rsidP="009757ED">
      <w:pPr>
        <w:spacing w:line="240" w:lineRule="auto"/>
        <w:ind w:firstLine="284"/>
        <w:jc w:val="both"/>
        <w:rPr>
          <w:rFonts w:ascii="Garamond" w:eastAsia="Times New Roman" w:hAnsi="Garamond" w:cs="Times New Roman"/>
        </w:rPr>
      </w:pPr>
      <w:r>
        <w:rPr>
          <w:rFonts w:ascii="Garamond" w:eastAsia="Times New Roman" w:hAnsi="Garamond" w:cs="Times New Roman"/>
        </w:rPr>
        <w:t xml:space="preserve">- </w:t>
      </w:r>
      <w:r w:rsidR="00D77A88" w:rsidRPr="006D5B0E">
        <w:rPr>
          <w:rFonts w:ascii="Garamond" w:eastAsia="Times New Roman" w:hAnsi="Garamond" w:cs="Times New Roman"/>
        </w:rPr>
        <w:t>ndërmarrjet pasuese që ofrojnë vlerë të shtuar të konsiderueshme: një ulje deri në 20%.</w:t>
      </w:r>
    </w:p>
    <w:p w14:paraId="5E3D3CD4" w14:textId="162F02C3"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Për të përcaktuar nivelin e reduktimit brenda secilit prej këtyre brezave, Autoriteti i Konkurrencës do të marrë në konsideratë kohën në të cilën janë paraqitur provat </w:t>
      </w:r>
      <w:r w:rsidR="00204371">
        <w:rPr>
          <w:rFonts w:ascii="Garamond" w:eastAsia="Times New Roman" w:hAnsi="Garamond" w:cs="Times New Roman"/>
        </w:rPr>
        <w:t>që plotësojnë kushtin në pikën 32</w:t>
      </w:r>
      <w:r w:rsidRPr="006D5B0E">
        <w:rPr>
          <w:rFonts w:ascii="Garamond" w:eastAsia="Times New Roman" w:hAnsi="Garamond" w:cs="Times New Roman"/>
        </w:rPr>
        <w:t xml:space="preserve"> dhe masën në të cilën ato përfaqësojnë vlerë të shtuar.</w:t>
      </w:r>
    </w:p>
    <w:p w14:paraId="6E5370B2" w14:textId="37A6B01A"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Nëse aplikanti për uljen e gjobës është i pari që paraqet pro</w:t>
      </w:r>
      <w:r w:rsidR="00204371">
        <w:rPr>
          <w:rFonts w:ascii="Garamond" w:eastAsia="Times New Roman" w:hAnsi="Garamond" w:cs="Times New Roman"/>
        </w:rPr>
        <w:t>va bindëse, në kuptimin e pikës 33,</w:t>
      </w:r>
      <w:r w:rsidRPr="006D5B0E">
        <w:rPr>
          <w:rFonts w:ascii="Garamond" w:eastAsia="Times New Roman" w:hAnsi="Garamond" w:cs="Times New Roman"/>
        </w:rPr>
        <w:t xml:space="preserve"> të cilat Autoriteti i Konkurrencës i përdor për të përcaktuar fakte shtesë që rrisin rëndësinë ose kohëzgjatjen e shkeljes, Autoriteti i Konkurrencës nuk do t</w:t>
      </w:r>
      <w:r w:rsidR="00204371">
        <w:rPr>
          <w:rFonts w:ascii="Garamond" w:eastAsia="Times New Roman" w:hAnsi="Garamond" w:cs="Times New Roman"/>
        </w:rPr>
        <w:t>’</w:t>
      </w:r>
      <w:r w:rsidRPr="006D5B0E">
        <w:rPr>
          <w:rFonts w:ascii="Garamond" w:eastAsia="Times New Roman" w:hAnsi="Garamond" w:cs="Times New Roman"/>
        </w:rPr>
        <w:t>i marrë parasysh faktet shtesë kur cakton gjobën që do t</w:t>
      </w:r>
      <w:r w:rsidR="00204371">
        <w:rPr>
          <w:rFonts w:ascii="Garamond" w:eastAsia="Times New Roman" w:hAnsi="Garamond" w:cs="Times New Roman"/>
        </w:rPr>
        <w:t>’</w:t>
      </w:r>
      <w:r w:rsidRPr="006D5B0E">
        <w:rPr>
          <w:rFonts w:ascii="Garamond" w:eastAsia="Times New Roman" w:hAnsi="Garamond" w:cs="Times New Roman"/>
        </w:rPr>
        <w:t>i vendoset ndërmarrjes që i ka ofruar këto prova.</w:t>
      </w:r>
    </w:p>
    <w:p w14:paraId="2510654C" w14:textId="77777777" w:rsidR="00D77A88" w:rsidRPr="006D5B0E" w:rsidRDefault="00D77A88" w:rsidP="009757ED">
      <w:pPr>
        <w:spacing w:line="240" w:lineRule="auto"/>
        <w:ind w:firstLine="284"/>
        <w:jc w:val="both"/>
        <w:rPr>
          <w:rFonts w:ascii="Garamond" w:eastAsia="Times New Roman" w:hAnsi="Garamond" w:cs="Times New Roman"/>
          <w:b/>
          <w:bCs/>
        </w:rPr>
      </w:pPr>
      <w:r w:rsidRPr="006D5B0E">
        <w:rPr>
          <w:rFonts w:ascii="Garamond" w:eastAsia="Times New Roman" w:hAnsi="Garamond" w:cs="Times New Roman"/>
          <w:b/>
          <w:bCs/>
        </w:rPr>
        <w:t>B. Procedura</w:t>
      </w:r>
    </w:p>
    <w:p w14:paraId="184E4746" w14:textId="27B24629"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35. Një ndërmarrje që dëshiron të përfitojë nga ulja e gjobës duhet të paraqesë një kërkesë zyrtare pranë Autoritetit të Konkurrencës dhe duhet t</w:t>
      </w:r>
      <w:r w:rsidR="00204371">
        <w:rPr>
          <w:rFonts w:ascii="Garamond" w:eastAsia="Times New Roman" w:hAnsi="Garamond" w:cs="Times New Roman"/>
        </w:rPr>
        <w:t>’</w:t>
      </w:r>
      <w:r w:rsidRPr="006D5B0E">
        <w:rPr>
          <w:rFonts w:ascii="Garamond" w:eastAsia="Times New Roman" w:hAnsi="Garamond" w:cs="Times New Roman"/>
        </w:rPr>
        <w:t>i paraqesë Autoritetit prova të mjaftueshme mbi kartelin e dyshuar për t</w:t>
      </w:r>
      <w:r w:rsidR="00204371">
        <w:rPr>
          <w:rFonts w:ascii="Garamond" w:eastAsia="Times New Roman" w:hAnsi="Garamond" w:cs="Times New Roman"/>
        </w:rPr>
        <w:t>’</w:t>
      </w:r>
      <w:r w:rsidRPr="006D5B0E">
        <w:rPr>
          <w:rFonts w:ascii="Garamond" w:eastAsia="Times New Roman" w:hAnsi="Garamond" w:cs="Times New Roman"/>
        </w:rPr>
        <w:t>u kualifikuar për ulje të gjobës</w:t>
      </w:r>
      <w:r w:rsidR="00204371">
        <w:rPr>
          <w:rFonts w:ascii="Garamond" w:eastAsia="Times New Roman" w:hAnsi="Garamond" w:cs="Times New Roman"/>
        </w:rPr>
        <w:t>, në përputhje me pikën 32</w:t>
      </w:r>
      <w:r w:rsidRPr="006D5B0E">
        <w:rPr>
          <w:rFonts w:ascii="Garamond" w:eastAsia="Times New Roman" w:hAnsi="Garamond" w:cs="Times New Roman"/>
        </w:rPr>
        <w:t xml:space="preserve"> të këtij </w:t>
      </w:r>
      <w:r w:rsidR="00204371">
        <w:rPr>
          <w:rFonts w:ascii="Garamond" w:eastAsia="Times New Roman" w:hAnsi="Garamond" w:cs="Times New Roman"/>
        </w:rPr>
        <w:t>u</w:t>
      </w:r>
      <w:r w:rsidRPr="006D5B0E">
        <w:rPr>
          <w:rFonts w:ascii="Garamond" w:eastAsia="Times New Roman" w:hAnsi="Garamond" w:cs="Times New Roman"/>
        </w:rPr>
        <w:t>dhëzimi. Çdo paraqitje vullnetare e provave pranë Autoritetit të Konkurrencës, të cilat ndërmarrja që i paraqet dëshiron të merren në konsideratë për trajtimin përfitues të seksionit III</w:t>
      </w:r>
      <w:r w:rsidR="00204371">
        <w:rPr>
          <w:rFonts w:ascii="Garamond" w:eastAsia="Times New Roman" w:hAnsi="Garamond" w:cs="Times New Roman"/>
        </w:rPr>
        <w:t>,</w:t>
      </w:r>
      <w:r w:rsidRPr="006D5B0E">
        <w:rPr>
          <w:rFonts w:ascii="Garamond" w:eastAsia="Times New Roman" w:hAnsi="Garamond" w:cs="Times New Roman"/>
        </w:rPr>
        <w:t xml:space="preserve"> të këtij </w:t>
      </w:r>
      <w:r w:rsidR="00204371">
        <w:rPr>
          <w:rFonts w:ascii="Garamond" w:eastAsia="Times New Roman" w:hAnsi="Garamond" w:cs="Times New Roman"/>
        </w:rPr>
        <w:t>u</w:t>
      </w:r>
      <w:r w:rsidRPr="006D5B0E">
        <w:rPr>
          <w:rFonts w:ascii="Garamond" w:eastAsia="Times New Roman" w:hAnsi="Garamond" w:cs="Times New Roman"/>
        </w:rPr>
        <w:t>dhëzimi, duhet të identifikohet qartë në kohën e paraqitjes së tyre si pjesë e një kërkese zyrtare për ulje të gjobës.</w:t>
      </w:r>
    </w:p>
    <w:p w14:paraId="0E111875" w14:textId="049A4E2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36. Nëse kërkohet, Autoriteti i Konkurrencës do të japë një konfirmim të marrjes së kërkesës së ndërmarrjes për uljen e gjobës dhe të çdo paraqitjeje të mëvonshme të provave, duke konfirmuar datën dhe, kur është e përshtatshme, kohën e çdo dorëzimi. Autoriteti i Konkurrencës nuk do të mbajë asnjë qëndrim mbi </w:t>
      </w:r>
      <w:r w:rsidR="00204371" w:rsidRPr="006D5B0E">
        <w:rPr>
          <w:rFonts w:ascii="Garamond" w:eastAsia="Times New Roman" w:hAnsi="Garamond" w:cs="Times New Roman"/>
        </w:rPr>
        <w:t>kërkesa</w:t>
      </w:r>
      <w:r w:rsidR="00204371">
        <w:rPr>
          <w:rFonts w:ascii="Garamond" w:eastAsia="Times New Roman" w:hAnsi="Garamond" w:cs="Times New Roman"/>
        </w:rPr>
        <w:t>t</w:t>
      </w:r>
      <w:r w:rsidRPr="006D5B0E">
        <w:rPr>
          <w:rFonts w:ascii="Garamond" w:eastAsia="Times New Roman" w:hAnsi="Garamond" w:cs="Times New Roman"/>
        </w:rPr>
        <w:t xml:space="preserve"> për ulje gjobash përpara se të ketë arritur një vendim mbi çdo kërkesë ekzistuese për imunitet me kusht nga gjobat</w:t>
      </w:r>
      <w:r w:rsidR="00204371">
        <w:rPr>
          <w:rFonts w:ascii="Garamond" w:eastAsia="Times New Roman" w:hAnsi="Garamond" w:cs="Times New Roman"/>
        </w:rPr>
        <w:t>,</w:t>
      </w:r>
      <w:r w:rsidRPr="006D5B0E">
        <w:rPr>
          <w:rFonts w:ascii="Garamond" w:eastAsia="Times New Roman" w:hAnsi="Garamond" w:cs="Times New Roman"/>
        </w:rPr>
        <w:t xml:space="preserve"> në lidhje me të njëjtin kartel të dyshuar.</w:t>
      </w:r>
    </w:p>
    <w:p w14:paraId="40E3FF2F" w14:textId="4CB15338"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37. Nëse Autoriteti i Konkurrencës arrin në përfundimin paraprak se provat e paraqitura nga ndërmarrja përbëjnë vlerë të shtuar të konsideru</w:t>
      </w:r>
      <w:r w:rsidR="00204371">
        <w:rPr>
          <w:rFonts w:ascii="Garamond" w:eastAsia="Times New Roman" w:hAnsi="Garamond" w:cs="Times New Roman"/>
        </w:rPr>
        <w:t>eshme sipas kuptimit të pikave 32 dhe 33</w:t>
      </w:r>
      <w:r w:rsidRPr="006D5B0E">
        <w:rPr>
          <w:rFonts w:ascii="Garamond" w:eastAsia="Times New Roman" w:hAnsi="Garamond" w:cs="Times New Roman"/>
        </w:rPr>
        <w:t>, dhe se ndërmarrja ka përmbushur kushtet e pik</w:t>
      </w:r>
      <w:r w:rsidR="00204371">
        <w:rPr>
          <w:rFonts w:ascii="Garamond" w:eastAsia="Times New Roman" w:hAnsi="Garamond" w:cs="Times New Roman"/>
        </w:rPr>
        <w:t>ave 12 dhe 35</w:t>
      </w:r>
      <w:r w:rsidRPr="006D5B0E">
        <w:rPr>
          <w:rFonts w:ascii="Garamond" w:eastAsia="Times New Roman" w:hAnsi="Garamond" w:cs="Times New Roman"/>
        </w:rPr>
        <w:t>, Autoriteti do ta informojë ndërmarrjen me shkrim, jo më vonë se data në të cilën njoftohet një vendim, për qëllimin e tij për të aplikuar një ulje të gjobës brenda një intervali të caktuar</w:t>
      </w:r>
      <w:r w:rsidR="00204371">
        <w:rPr>
          <w:rFonts w:ascii="Garamond" w:eastAsia="Times New Roman" w:hAnsi="Garamond" w:cs="Times New Roman"/>
        </w:rPr>
        <w:t>, siç parashikohet në pikën 34</w:t>
      </w:r>
      <w:r w:rsidRPr="006D5B0E">
        <w:rPr>
          <w:rFonts w:ascii="Garamond" w:eastAsia="Times New Roman" w:hAnsi="Garamond" w:cs="Times New Roman"/>
        </w:rPr>
        <w:t>. Autoriteti i Konkurrencës</w:t>
      </w:r>
      <w:r w:rsidR="00204371">
        <w:rPr>
          <w:rFonts w:ascii="Garamond" w:eastAsia="Times New Roman" w:hAnsi="Garamond" w:cs="Times New Roman"/>
        </w:rPr>
        <w:t>,</w:t>
      </w:r>
      <w:r w:rsidRPr="006D5B0E">
        <w:rPr>
          <w:rFonts w:ascii="Garamond" w:eastAsia="Times New Roman" w:hAnsi="Garamond" w:cs="Times New Roman"/>
        </w:rPr>
        <w:t xml:space="preserve"> gjithashtu, brenda të njëjtit afat kohor, do ta informojë ndërmarrjen me shkrim nëse del me vendimin se ndërmarrja nuk kualifikohet për ulje të </w:t>
      </w:r>
      <w:r w:rsidRPr="006D5B0E">
        <w:rPr>
          <w:rFonts w:ascii="Garamond" w:eastAsia="Times New Roman" w:hAnsi="Garamond" w:cs="Times New Roman"/>
        </w:rPr>
        <w:lastRenderedPageBreak/>
        <w:t>gjobës. Autoriteti i Konkurrencës mund të mos marrë në konsideratë çdo kërkesë për ulje të gjobave me arsyetimin se ajo është paraqitur pasi është lëshuar vendimi.</w:t>
      </w:r>
    </w:p>
    <w:p w14:paraId="05C17286" w14:textId="7777777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38. Autoriteti i Konkurrencës do të vlerësojë pozicionin përfundimtar të secilës ndërmarrje që ka paraqitur një kërkesë për uljen e gjobës në fund të procedurës administrative në çdo vendim të marrë. Autoriteti i Konkurrencës do të përcaktojë në çdo vendim:</w:t>
      </w:r>
    </w:p>
    <w:p w14:paraId="69534290" w14:textId="5199571D"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a</w:t>
      </w:r>
      <w:r w:rsidR="00204371">
        <w:rPr>
          <w:rFonts w:ascii="Garamond" w:eastAsia="Times New Roman" w:hAnsi="Garamond" w:cs="Times New Roman"/>
        </w:rPr>
        <w:t>)</w:t>
      </w:r>
      <w:r w:rsidRPr="006D5B0E">
        <w:rPr>
          <w:rFonts w:ascii="Garamond" w:eastAsia="Times New Roman" w:hAnsi="Garamond" w:cs="Times New Roman"/>
        </w:rPr>
        <w:t xml:space="preserve"> nëse provat e ofruara nga një ndërmarrje përfaqësonin vlerë të shtuar të konsiderueshme</w:t>
      </w:r>
      <w:r w:rsidR="00204371">
        <w:rPr>
          <w:rFonts w:ascii="Garamond" w:eastAsia="Times New Roman" w:hAnsi="Garamond" w:cs="Times New Roman"/>
        </w:rPr>
        <w:t>,</w:t>
      </w:r>
      <w:r w:rsidRPr="006D5B0E">
        <w:rPr>
          <w:rFonts w:ascii="Garamond" w:eastAsia="Times New Roman" w:hAnsi="Garamond" w:cs="Times New Roman"/>
        </w:rPr>
        <w:t xml:space="preserve"> në lidhje me provat tashmë në posedim të Autoritetit të Konkurrencës në të njëjtën kohë;</w:t>
      </w:r>
    </w:p>
    <w:p w14:paraId="3A2D7DE2" w14:textId="7BB528D8"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b</w:t>
      </w:r>
      <w:r w:rsidR="00204371">
        <w:rPr>
          <w:rFonts w:ascii="Garamond" w:eastAsia="Times New Roman" w:hAnsi="Garamond" w:cs="Times New Roman"/>
        </w:rPr>
        <w:t>)</w:t>
      </w:r>
      <w:r w:rsidRPr="006D5B0E">
        <w:rPr>
          <w:rFonts w:ascii="Garamond" w:eastAsia="Times New Roman" w:hAnsi="Garamond" w:cs="Times New Roman"/>
        </w:rPr>
        <w:t xml:space="preserve"> nëse janë përmbushur </w:t>
      </w:r>
      <w:r w:rsidR="00204371">
        <w:rPr>
          <w:rFonts w:ascii="Garamond" w:eastAsia="Times New Roman" w:hAnsi="Garamond" w:cs="Times New Roman"/>
        </w:rPr>
        <w:t>kushtet e përcaktuara në pikat 12/“</w:t>
      </w:r>
      <w:r w:rsidRPr="006D5B0E">
        <w:rPr>
          <w:rFonts w:ascii="Garamond" w:eastAsia="Times New Roman" w:hAnsi="Garamond" w:cs="Times New Roman"/>
        </w:rPr>
        <w:t>a</w:t>
      </w:r>
      <w:r w:rsidR="00204371">
        <w:rPr>
          <w:rFonts w:ascii="Garamond" w:eastAsia="Times New Roman" w:hAnsi="Garamond" w:cs="Times New Roman"/>
        </w:rPr>
        <w:t>” deri në 12/“</w:t>
      </w:r>
      <w:r w:rsidRPr="006D5B0E">
        <w:rPr>
          <w:rFonts w:ascii="Garamond" w:eastAsia="Times New Roman" w:hAnsi="Garamond" w:cs="Times New Roman"/>
        </w:rPr>
        <w:t>c</w:t>
      </w:r>
      <w:r w:rsidR="00204371">
        <w:rPr>
          <w:rFonts w:ascii="Garamond" w:eastAsia="Times New Roman" w:hAnsi="Garamond" w:cs="Times New Roman"/>
        </w:rPr>
        <w:t>”,</w:t>
      </w:r>
      <w:r w:rsidRPr="006D5B0E">
        <w:rPr>
          <w:rFonts w:ascii="Garamond" w:eastAsia="Times New Roman" w:hAnsi="Garamond" w:cs="Times New Roman"/>
        </w:rPr>
        <w:t xml:space="preserve"> më sipër;</w:t>
      </w:r>
    </w:p>
    <w:p w14:paraId="7E430C55" w14:textId="3A350985"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c</w:t>
      </w:r>
      <w:r w:rsidR="00204371">
        <w:rPr>
          <w:rFonts w:ascii="Garamond" w:eastAsia="Times New Roman" w:hAnsi="Garamond" w:cs="Times New Roman"/>
        </w:rPr>
        <w:t>)</w:t>
      </w:r>
      <w:r w:rsidRPr="006D5B0E">
        <w:rPr>
          <w:rFonts w:ascii="Garamond" w:eastAsia="Times New Roman" w:hAnsi="Garamond" w:cs="Times New Roman"/>
        </w:rPr>
        <w:t xml:space="preserve"> niveli i saktë i reduktimit nga i cili do të përfitojë një ndërmarrje brenda interv</w:t>
      </w:r>
      <w:r w:rsidR="00204371">
        <w:rPr>
          <w:rFonts w:ascii="Garamond" w:eastAsia="Times New Roman" w:hAnsi="Garamond" w:cs="Times New Roman"/>
        </w:rPr>
        <w:t>aleve të specifikuara në pikën 34</w:t>
      </w:r>
      <w:r w:rsidRPr="006D5B0E">
        <w:rPr>
          <w:rFonts w:ascii="Garamond" w:eastAsia="Times New Roman" w:hAnsi="Garamond" w:cs="Times New Roman"/>
        </w:rPr>
        <w:t>.</w:t>
      </w:r>
    </w:p>
    <w:p w14:paraId="6D3D12C9" w14:textId="47482C18" w:rsidR="00D77A88" w:rsidRPr="006D5B0E" w:rsidRDefault="00D77A88" w:rsidP="009757ED">
      <w:pPr>
        <w:tabs>
          <w:tab w:val="left" w:pos="540"/>
        </w:tabs>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Nëse Autoriteti i Konkurrencës konstaton se ndërmarrja nuk i ka përmbushur </w:t>
      </w:r>
      <w:r w:rsidR="00204371">
        <w:rPr>
          <w:rFonts w:ascii="Garamond" w:eastAsia="Times New Roman" w:hAnsi="Garamond" w:cs="Times New Roman"/>
        </w:rPr>
        <w:t>kushtet e përcaktuara në pikën 12</w:t>
      </w:r>
      <w:r w:rsidRPr="006D5B0E">
        <w:rPr>
          <w:rFonts w:ascii="Garamond" w:eastAsia="Times New Roman" w:hAnsi="Garamond" w:cs="Times New Roman"/>
        </w:rPr>
        <w:t xml:space="preserve">, ndërmarrja nuk do të përfitojë nga asnjë trajtim i favorshëm sipas këtij </w:t>
      </w:r>
      <w:r w:rsidR="00204371">
        <w:rPr>
          <w:rFonts w:ascii="Garamond" w:eastAsia="Times New Roman" w:hAnsi="Garamond" w:cs="Times New Roman"/>
        </w:rPr>
        <w:t>u</w:t>
      </w:r>
      <w:r w:rsidRPr="006D5B0E">
        <w:rPr>
          <w:rFonts w:ascii="Garamond" w:eastAsia="Times New Roman" w:hAnsi="Garamond" w:cs="Times New Roman"/>
        </w:rPr>
        <w:t>dhëzimi.</w:t>
      </w:r>
    </w:p>
    <w:p w14:paraId="26E4E07E" w14:textId="3893A9C1" w:rsidR="00D77A88" w:rsidRPr="00204371" w:rsidRDefault="00D77A88" w:rsidP="009757ED">
      <w:pPr>
        <w:spacing w:line="240" w:lineRule="auto"/>
        <w:ind w:firstLine="284"/>
        <w:jc w:val="both"/>
        <w:rPr>
          <w:rFonts w:ascii="Garamond" w:eastAsia="Times New Roman" w:hAnsi="Garamond" w:cs="Times New Roman"/>
          <w:bCs/>
        </w:rPr>
      </w:pPr>
      <w:r w:rsidRPr="00204371">
        <w:rPr>
          <w:rFonts w:ascii="Garamond" w:eastAsia="Times New Roman" w:hAnsi="Garamond" w:cs="Times New Roman"/>
          <w:bCs/>
        </w:rPr>
        <w:t>IV. DEKLARATA TË SHOQËRISË</w:t>
      </w:r>
      <w:r w:rsidR="00204371">
        <w:rPr>
          <w:rFonts w:ascii="Garamond" w:eastAsia="Times New Roman" w:hAnsi="Garamond" w:cs="Times New Roman"/>
          <w:bCs/>
        </w:rPr>
        <w:t>,</w:t>
      </w:r>
      <w:r w:rsidRPr="00204371">
        <w:rPr>
          <w:rFonts w:ascii="Garamond" w:eastAsia="Times New Roman" w:hAnsi="Garamond" w:cs="Times New Roman"/>
          <w:bCs/>
        </w:rPr>
        <w:t xml:space="preserve"> TË BËRA PËR T</w:t>
      </w:r>
      <w:r w:rsidR="00204371">
        <w:rPr>
          <w:rFonts w:ascii="Garamond" w:eastAsia="Times New Roman" w:hAnsi="Garamond" w:cs="Times New Roman"/>
          <w:bCs/>
        </w:rPr>
        <w:t>’</w:t>
      </w:r>
      <w:r w:rsidRPr="00204371">
        <w:rPr>
          <w:rFonts w:ascii="Garamond" w:eastAsia="Times New Roman" w:hAnsi="Garamond" w:cs="Times New Roman"/>
          <w:bCs/>
        </w:rPr>
        <w:t>U KUALIFIKUAR SIPAS KËTIJ UDHËZIMI</w:t>
      </w:r>
    </w:p>
    <w:p w14:paraId="4E394AF1" w14:textId="1032A347"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39. Një deklaratë e shoqërisë është një deklarim vullnetar, nga ose në emër të një ndërmarrjeje ndaj Autoritetit të Konkurrencës, i njohurive të ndërmarrjes mbi një kartel dhe rolin e saj në të, i përgatitur posaçërisht për t</w:t>
      </w:r>
      <w:r w:rsidR="00204371">
        <w:rPr>
          <w:rFonts w:ascii="Garamond" w:eastAsia="Times New Roman" w:hAnsi="Garamond" w:cs="Times New Roman"/>
        </w:rPr>
        <w:t>’</w:t>
      </w:r>
      <w:r w:rsidRPr="006D5B0E">
        <w:rPr>
          <w:rFonts w:ascii="Garamond" w:eastAsia="Times New Roman" w:hAnsi="Garamond" w:cs="Times New Roman"/>
        </w:rPr>
        <w:t xml:space="preserve">u paraqitur sipas këtij </w:t>
      </w:r>
      <w:r w:rsidR="00204371">
        <w:rPr>
          <w:rFonts w:ascii="Garamond" w:eastAsia="Times New Roman" w:hAnsi="Garamond" w:cs="Times New Roman"/>
        </w:rPr>
        <w:t>u</w:t>
      </w:r>
      <w:r w:rsidRPr="006D5B0E">
        <w:rPr>
          <w:rFonts w:ascii="Garamond" w:eastAsia="Times New Roman" w:hAnsi="Garamond" w:cs="Times New Roman"/>
        </w:rPr>
        <w:t>dhëzimi. Çdo deklaratë e bërë ndaj Autoritetit të Konkurrencës</w:t>
      </w:r>
      <w:r w:rsidR="00204371">
        <w:rPr>
          <w:rFonts w:ascii="Garamond" w:eastAsia="Times New Roman" w:hAnsi="Garamond" w:cs="Times New Roman"/>
        </w:rPr>
        <w:t>,</w:t>
      </w:r>
      <w:r w:rsidRPr="006D5B0E">
        <w:rPr>
          <w:rFonts w:ascii="Garamond" w:eastAsia="Times New Roman" w:hAnsi="Garamond" w:cs="Times New Roman"/>
        </w:rPr>
        <w:t xml:space="preserve"> në lidhje me këtë </w:t>
      </w:r>
      <w:r w:rsidR="00204371">
        <w:rPr>
          <w:rFonts w:ascii="Garamond" w:eastAsia="Times New Roman" w:hAnsi="Garamond" w:cs="Times New Roman"/>
        </w:rPr>
        <w:t>u</w:t>
      </w:r>
      <w:r w:rsidRPr="006D5B0E">
        <w:rPr>
          <w:rFonts w:ascii="Garamond" w:eastAsia="Times New Roman" w:hAnsi="Garamond" w:cs="Times New Roman"/>
        </w:rPr>
        <w:t>dhëzim, përbën pjesë të dosjes së Autoritetit të Konkurrencës dhe kështu mund të përdoret si provë.</w:t>
      </w:r>
    </w:p>
    <w:p w14:paraId="2B4C9899" w14:textId="10A46621"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40. Me kërkesën e aplikantit, Autoriteti i Konkurrencës mund të pranojë që deklaratat e shoqërisë të ofrohen me gojë, përveç nëse aplikanti ua ka zbuluar tashmë përmbajtjen e deklaratës së shoqërisë palëve të treta. Deklaratat me gojë të shoqërisë do të regjistrohen dhe transkriptohen në ambientet e Autoritetit të Konkurrencës. Në përputhje me ligjet dhe rregulloret në fuqi, ndërmarrjeve që bëjnë deklarata me gojë do t</w:t>
      </w:r>
      <w:r w:rsidR="00204371">
        <w:rPr>
          <w:rFonts w:ascii="Garamond" w:eastAsia="Times New Roman" w:hAnsi="Garamond" w:cs="Times New Roman"/>
        </w:rPr>
        <w:t>’</w:t>
      </w:r>
      <w:r w:rsidRPr="006D5B0E">
        <w:rPr>
          <w:rFonts w:ascii="Garamond" w:eastAsia="Times New Roman" w:hAnsi="Garamond" w:cs="Times New Roman"/>
        </w:rPr>
        <w:t xml:space="preserve">u jepet mundësia të kontrollojnë saktësinë teknike të regjistrimit, i cili do të jetë i disponueshëm në ambientet e Autoritetit të Konkurrencës dhe të korrigjojnë përmbajtjen e deklaratave të tyre me gojë brenda një afati të caktuar kohor. Ndërmarrjet mund të heqin dorë nga këto të drejta brenda një afati kohor që përcakton Autoriteti. Në këtë rast, regjistrimi, nga ai moment e në vijim, konsiderohet i miratuar. Pas miratimit të shprehur ose të nënkuptuar të deklaratës gojore, ose pas paraqitjes së çdo korrigjimi të saj, ndërmarrja dëgjon regjistrimet në ambientet e Autoritetit të Konkurrencës dhe verifikon saktësinë e transkriptit brenda një afati të caktuar. Mospërmbushja e këtij detyrimi të fundit mund të sjellë humbjen e çdo trajtimi favorizues sipas këtij </w:t>
      </w:r>
      <w:r w:rsidR="00204371">
        <w:rPr>
          <w:rFonts w:ascii="Garamond" w:eastAsia="Times New Roman" w:hAnsi="Garamond" w:cs="Times New Roman"/>
        </w:rPr>
        <w:t>u</w:t>
      </w:r>
      <w:r w:rsidRPr="006D5B0E">
        <w:rPr>
          <w:rFonts w:ascii="Garamond" w:eastAsia="Times New Roman" w:hAnsi="Garamond" w:cs="Times New Roman"/>
        </w:rPr>
        <w:t>dhëzimi.</w:t>
      </w:r>
    </w:p>
    <w:p w14:paraId="3486FCA6" w14:textId="6D0E64EC"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41. Aksesi në deklaratat e shoqërisë u jepet vetëm të adresuarve të një vendimi, me kusht që ata të angazhohen, </w:t>
      </w:r>
      <w:r w:rsidR="00204371">
        <w:rPr>
          <w:rFonts w:ascii="Garamond" w:eastAsia="Times New Roman" w:hAnsi="Garamond" w:cs="Times New Roman"/>
        </w:rPr>
        <w:t>–</w:t>
      </w:r>
      <w:r w:rsidRPr="006D5B0E">
        <w:rPr>
          <w:rFonts w:ascii="Garamond" w:eastAsia="Times New Roman" w:hAnsi="Garamond" w:cs="Times New Roman"/>
        </w:rPr>
        <w:t xml:space="preserve"> së bashku me këshilltarët ligjorë që marrin akses në emër të tyre </w:t>
      </w:r>
      <w:r w:rsidR="00204371">
        <w:rPr>
          <w:rFonts w:ascii="Garamond" w:eastAsia="Times New Roman" w:hAnsi="Garamond" w:cs="Times New Roman"/>
        </w:rPr>
        <w:t>–</w:t>
      </w:r>
      <w:r w:rsidRPr="006D5B0E">
        <w:rPr>
          <w:rFonts w:ascii="Garamond" w:eastAsia="Times New Roman" w:hAnsi="Garamond" w:cs="Times New Roman"/>
        </w:rPr>
        <w:t xml:space="preserve"> të mos bëjnë asnjë kopje me mjete mekanike ose elektronike të asnjë informacioni në deklaratën e shoqërisë në të cilën po jepet akses dhe të sigurojnë që informacioni që do të merret nga deklarata e shoqërisë do të përdoret vetëm për qëllimet e përmendura më poshtë. Palëve të tjera, siç janë ankuesit, nuk do t</w:t>
      </w:r>
      <w:r w:rsidR="00204371">
        <w:rPr>
          <w:rFonts w:ascii="Garamond" w:eastAsia="Times New Roman" w:hAnsi="Garamond" w:cs="Times New Roman"/>
        </w:rPr>
        <w:t>’</w:t>
      </w:r>
      <w:r w:rsidRPr="006D5B0E">
        <w:rPr>
          <w:rFonts w:ascii="Garamond" w:eastAsia="Times New Roman" w:hAnsi="Garamond" w:cs="Times New Roman"/>
        </w:rPr>
        <w:t>u jepet akses në deklaratat e shoqërisë. Autoriteti i Konkurrencës konsideron se kjo mbrojtje specifike e një deklarate të shoqërisë nuk justifikohet nga momenti kur aplikanti ua zbulon palëve të treta përmbajtjen e saj.</w:t>
      </w:r>
    </w:p>
    <w:p w14:paraId="399748B1" w14:textId="5C68CA5B"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42. Në përputhje me </w:t>
      </w:r>
      <w:r w:rsidR="00204371" w:rsidRPr="006D5B0E">
        <w:rPr>
          <w:rFonts w:ascii="Garamond" w:eastAsia="Times New Roman" w:hAnsi="Garamond" w:cs="Times New Roman"/>
        </w:rPr>
        <w:t>udhëzimin mbi konfidencialitetin dhe aksesin në dosje</w:t>
      </w:r>
      <w:r w:rsidRPr="006D5B0E">
        <w:rPr>
          <w:rFonts w:ascii="Garamond" w:eastAsia="Times New Roman" w:hAnsi="Garamond" w:cs="Times New Roman"/>
        </w:rPr>
        <w:t>, aksesi në dosjen e çështjes do t</w:t>
      </w:r>
      <w:r w:rsidR="00204371">
        <w:rPr>
          <w:rFonts w:ascii="Garamond" w:eastAsia="Times New Roman" w:hAnsi="Garamond" w:cs="Times New Roman"/>
        </w:rPr>
        <w:t>’</w:t>
      </w:r>
      <w:r w:rsidRPr="006D5B0E">
        <w:rPr>
          <w:rFonts w:ascii="Garamond" w:eastAsia="Times New Roman" w:hAnsi="Garamond" w:cs="Times New Roman"/>
        </w:rPr>
        <w:t>u jepet vetëm të adresuarve të një vendimi me kusht që informacioni i marrë në këtë mënyrë të mund të përdoret vetëm për qëllime të procedurave administrative ose gjyqësore që lidhen me zbatimin e legjislacionit kombëtar të konkurrencës në fjalë në procedurat administrative përkatëse. Përdorimi i një informacioni të tillë për një qëllim tjetër gjatë procedurave mund të konsiderohet si mungesë bashkëpunimi</w:t>
      </w:r>
      <w:r w:rsidR="00204371">
        <w:rPr>
          <w:rFonts w:ascii="Garamond" w:eastAsia="Times New Roman" w:hAnsi="Garamond" w:cs="Times New Roman"/>
        </w:rPr>
        <w:t>,</w:t>
      </w:r>
      <w:r w:rsidRPr="006D5B0E">
        <w:rPr>
          <w:rFonts w:ascii="Garamond" w:eastAsia="Times New Roman" w:hAnsi="Garamond" w:cs="Times New Roman"/>
        </w:rPr>
        <w:t xml:space="preserve"> sipas kuptimit të këtij </w:t>
      </w:r>
      <w:r w:rsidR="00204371">
        <w:rPr>
          <w:rFonts w:ascii="Garamond" w:eastAsia="Times New Roman" w:hAnsi="Garamond" w:cs="Times New Roman"/>
        </w:rPr>
        <w:t>u</w:t>
      </w:r>
      <w:r w:rsidRPr="006D5B0E">
        <w:rPr>
          <w:rFonts w:ascii="Garamond" w:eastAsia="Times New Roman" w:hAnsi="Garamond" w:cs="Times New Roman"/>
        </w:rPr>
        <w:t>dhëzimi. Çdo dështim gjatë procedurave për t</w:t>
      </w:r>
      <w:r w:rsidR="00204371">
        <w:rPr>
          <w:rFonts w:ascii="Garamond" w:eastAsia="Times New Roman" w:hAnsi="Garamond" w:cs="Times New Roman"/>
        </w:rPr>
        <w:t>’</w:t>
      </w:r>
      <w:r w:rsidRPr="006D5B0E">
        <w:rPr>
          <w:rFonts w:ascii="Garamond" w:eastAsia="Times New Roman" w:hAnsi="Garamond" w:cs="Times New Roman"/>
        </w:rPr>
        <w:t>iu përmbajtur dispozitave përkatëse që rregullojnë përdorimin e informacionit të marrë nëpërmjet aksesit në dosjen e çështjes mund të konsiderohet si mungesë bashkëpunimi</w:t>
      </w:r>
      <w:r w:rsidR="00204371">
        <w:rPr>
          <w:rFonts w:ascii="Garamond" w:eastAsia="Times New Roman" w:hAnsi="Garamond" w:cs="Times New Roman"/>
        </w:rPr>
        <w:t>,</w:t>
      </w:r>
      <w:r w:rsidRPr="006D5B0E">
        <w:rPr>
          <w:rFonts w:ascii="Garamond" w:eastAsia="Times New Roman" w:hAnsi="Garamond" w:cs="Times New Roman"/>
        </w:rPr>
        <w:t xml:space="preserve"> sipas kuptimit të këtij </w:t>
      </w:r>
      <w:r w:rsidR="00204371">
        <w:rPr>
          <w:rFonts w:ascii="Garamond" w:eastAsia="Times New Roman" w:hAnsi="Garamond" w:cs="Times New Roman"/>
        </w:rPr>
        <w:t>u</w:t>
      </w:r>
      <w:r w:rsidRPr="006D5B0E">
        <w:rPr>
          <w:rFonts w:ascii="Garamond" w:eastAsia="Times New Roman" w:hAnsi="Garamond" w:cs="Times New Roman"/>
        </w:rPr>
        <w:t>dhëzimi. Në rrethana të caktuara, një sjellje e tillë mund t</w:t>
      </w:r>
      <w:r w:rsidR="00204371">
        <w:rPr>
          <w:rFonts w:ascii="Garamond" w:eastAsia="Times New Roman" w:hAnsi="Garamond" w:cs="Times New Roman"/>
        </w:rPr>
        <w:t>’</w:t>
      </w:r>
      <w:r w:rsidRPr="006D5B0E">
        <w:rPr>
          <w:rFonts w:ascii="Garamond" w:eastAsia="Times New Roman" w:hAnsi="Garamond" w:cs="Times New Roman"/>
        </w:rPr>
        <w:t xml:space="preserve">i nënshtrohet ndëshkimeve sipas legjislacionit në fuqi. Nëse </w:t>
      </w:r>
      <w:r w:rsidRPr="006D5B0E">
        <w:rPr>
          <w:rFonts w:ascii="Garamond" w:eastAsia="Times New Roman" w:hAnsi="Garamond" w:cs="Times New Roman"/>
        </w:rPr>
        <w:lastRenderedPageBreak/>
        <w:t>ndonjë përdorim i tillë bëhet pasi Autoriteti i Konkurrencës ka miratuar tashmë një vendim, përveç çdo ndëshkimi të zbatueshëm sipas ligjit, Autoriteti i Konkurrencës mund të ndjekë çdo mjet juridik të disponueshëm para gjykatave kompetente. Nëse ndonjë nga kufizimet e mësipërme mbi përdorimin e informacionit shkelet, në çdo moment, me përfshirjen e një këshilltari të jashtëm ligjor, Autoriteti i Konkurrencës mund ta raportojë incidentin te</w:t>
      </w:r>
      <w:r w:rsidR="00204371">
        <w:rPr>
          <w:rFonts w:ascii="Garamond" w:eastAsia="Times New Roman" w:hAnsi="Garamond" w:cs="Times New Roman"/>
        </w:rPr>
        <w:t>k</w:t>
      </w:r>
      <w:r w:rsidRPr="006D5B0E">
        <w:rPr>
          <w:rFonts w:ascii="Garamond" w:eastAsia="Times New Roman" w:hAnsi="Garamond" w:cs="Times New Roman"/>
        </w:rPr>
        <w:t xml:space="preserve"> organi kompetent profesional që rregullon profesionin ligjor, me qëllim marrjen e masave disiplinore.</w:t>
      </w:r>
    </w:p>
    <w:p w14:paraId="70590134" w14:textId="77777777" w:rsidR="00D77A88" w:rsidRPr="00204371" w:rsidRDefault="00D77A88" w:rsidP="009757ED">
      <w:pPr>
        <w:spacing w:line="240" w:lineRule="auto"/>
        <w:ind w:firstLine="284"/>
        <w:jc w:val="both"/>
        <w:rPr>
          <w:rFonts w:ascii="Garamond" w:eastAsia="Times New Roman" w:hAnsi="Garamond" w:cs="Times New Roman"/>
          <w:bCs/>
        </w:rPr>
      </w:pPr>
      <w:r w:rsidRPr="00204371">
        <w:rPr>
          <w:rFonts w:ascii="Garamond" w:eastAsia="Times New Roman" w:hAnsi="Garamond" w:cs="Times New Roman"/>
          <w:bCs/>
        </w:rPr>
        <w:t>V. KONSIDERATA TË PËRGJITHSHME</w:t>
      </w:r>
    </w:p>
    <w:p w14:paraId="328CF066" w14:textId="72E5C253"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43. Autoriteti i Konkurrencës nuk do të mbajë qëndrim nëse do të japë apo jo imunitet me kusht, ose nëse do të shpërblejë apo jo ndonjë aplikim, nëse bëhet e qartë se aplikimi ka të bëjë me shkelje të mbuluara nga periudha pesëvjeçare e parashkrimit për vendosjen e gjo</w:t>
      </w:r>
      <w:r w:rsidR="00204371">
        <w:rPr>
          <w:rFonts w:ascii="Garamond" w:eastAsia="Times New Roman" w:hAnsi="Garamond" w:cs="Times New Roman"/>
        </w:rPr>
        <w:t>bave të përcaktuara në nenin 78/2</w:t>
      </w:r>
      <w:r w:rsidRPr="006D5B0E">
        <w:rPr>
          <w:rFonts w:ascii="Garamond" w:eastAsia="Times New Roman" w:hAnsi="Garamond" w:cs="Times New Roman"/>
        </w:rPr>
        <w:t xml:space="preserve"> të </w:t>
      </w:r>
      <w:r w:rsidR="00204371" w:rsidRPr="006D5B0E">
        <w:rPr>
          <w:rFonts w:ascii="Garamond" w:hAnsi="Garamond" w:cs="Times New Roman"/>
        </w:rPr>
        <w:t>ligjit n</w:t>
      </w:r>
      <w:r w:rsidR="00204371">
        <w:rPr>
          <w:rFonts w:ascii="Garamond" w:hAnsi="Garamond" w:cs="Times New Roman"/>
        </w:rPr>
        <w:t>r. 9121, datë 28.</w:t>
      </w:r>
      <w:r w:rsidRPr="006D5B0E">
        <w:rPr>
          <w:rFonts w:ascii="Garamond" w:hAnsi="Garamond" w:cs="Times New Roman"/>
        </w:rPr>
        <w:t>7.2003</w:t>
      </w:r>
      <w:r w:rsidR="00204371">
        <w:rPr>
          <w:rFonts w:ascii="Garamond" w:hAnsi="Garamond" w:cs="Times New Roman"/>
        </w:rPr>
        <w:t>,</w:t>
      </w:r>
      <w:r w:rsidRPr="006D5B0E">
        <w:rPr>
          <w:rFonts w:ascii="Garamond" w:hAnsi="Garamond" w:cs="Times New Roman"/>
        </w:rPr>
        <w:t xml:space="preserve"> </w:t>
      </w:r>
      <w:r w:rsidR="006D5B0E">
        <w:rPr>
          <w:rFonts w:ascii="Garamond" w:hAnsi="Garamond" w:cs="Times New Roman"/>
        </w:rPr>
        <w:t>“</w:t>
      </w:r>
      <w:r w:rsidRPr="006D5B0E">
        <w:rPr>
          <w:rFonts w:ascii="Garamond" w:hAnsi="Garamond" w:cs="Times New Roman"/>
        </w:rPr>
        <w:t xml:space="preserve">Për </w:t>
      </w:r>
      <w:r w:rsidR="00204371" w:rsidRPr="006D5B0E">
        <w:rPr>
          <w:rFonts w:ascii="Garamond" w:hAnsi="Garamond" w:cs="Times New Roman"/>
        </w:rPr>
        <w:t>mbrojtjen e konkurrencë</w:t>
      </w:r>
      <w:r w:rsidRPr="006D5B0E">
        <w:rPr>
          <w:rFonts w:ascii="Garamond" w:hAnsi="Garamond" w:cs="Times New Roman"/>
        </w:rPr>
        <w:t>s</w:t>
      </w:r>
      <w:r w:rsidR="006D5B0E">
        <w:rPr>
          <w:rFonts w:ascii="Garamond" w:hAnsi="Garamond" w:cs="Times New Roman"/>
        </w:rPr>
        <w:t>”</w:t>
      </w:r>
      <w:r w:rsidRPr="006D5B0E">
        <w:rPr>
          <w:rFonts w:ascii="Garamond" w:eastAsia="Times New Roman" w:hAnsi="Garamond" w:cs="Times New Roman"/>
        </w:rPr>
        <w:t>, pasi aplikime të tilla do të ishin të paqëllimshme.</w:t>
      </w:r>
    </w:p>
    <w:p w14:paraId="63EF3DD6" w14:textId="6D64BA92"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a</w:t>
      </w:r>
      <w:r w:rsidR="00204371">
        <w:rPr>
          <w:rFonts w:ascii="Garamond" w:eastAsia="Times New Roman" w:hAnsi="Garamond" w:cs="Times New Roman"/>
        </w:rPr>
        <w:t>)</w:t>
      </w:r>
      <w:r w:rsidRPr="006D5B0E">
        <w:rPr>
          <w:rFonts w:ascii="Garamond" w:eastAsia="Times New Roman" w:hAnsi="Garamond" w:cs="Times New Roman"/>
        </w:rPr>
        <w:t xml:space="preserve"> Në përputhje me dispozitat që rregullojnë mbrojtjen e materialeve të lehtësimit nga gjoba dhe bashkëpunimin midis Autoritetit të Konkurrencës dhe gjykatave kompetente, Autoriteti i Konkurrencës nuk do të transmetojë në asnjë kohë deklaratat e shoqërive të paraqitura sipas këtij </w:t>
      </w:r>
      <w:r w:rsidR="00204371">
        <w:rPr>
          <w:rFonts w:ascii="Garamond" w:eastAsia="Times New Roman" w:hAnsi="Garamond" w:cs="Times New Roman"/>
        </w:rPr>
        <w:t>u</w:t>
      </w:r>
      <w:r w:rsidRPr="006D5B0E">
        <w:rPr>
          <w:rFonts w:ascii="Garamond" w:eastAsia="Times New Roman" w:hAnsi="Garamond" w:cs="Times New Roman"/>
        </w:rPr>
        <w:t>dhëzimi në gjykatat kompetente</w:t>
      </w:r>
      <w:r w:rsidR="00204371">
        <w:rPr>
          <w:rFonts w:ascii="Garamond" w:eastAsia="Times New Roman" w:hAnsi="Garamond" w:cs="Times New Roman"/>
        </w:rPr>
        <w:t>,</w:t>
      </w:r>
      <w:r w:rsidRPr="006D5B0E">
        <w:rPr>
          <w:rFonts w:ascii="Garamond" w:eastAsia="Times New Roman" w:hAnsi="Garamond" w:cs="Times New Roman"/>
        </w:rPr>
        <w:t xml:space="preserve"> për përdorim në padi për dëmshpërblim që rrjedhin nga shkeljet e legjislacionit kombëtar të konkurrencës. Ky paragraf nuk </w:t>
      </w:r>
      <w:r w:rsidR="00204371" w:rsidRPr="006D5B0E">
        <w:rPr>
          <w:rFonts w:ascii="Garamond" w:eastAsia="Times New Roman" w:hAnsi="Garamond" w:cs="Times New Roman"/>
        </w:rPr>
        <w:t>cenon</w:t>
      </w:r>
      <w:r w:rsidRPr="006D5B0E">
        <w:rPr>
          <w:rFonts w:ascii="Garamond" w:eastAsia="Times New Roman" w:hAnsi="Garamond" w:cs="Times New Roman"/>
        </w:rPr>
        <w:t xml:space="preserve"> asnjë zbulim ose përdorim të deklaratave të tilla aty ku parashikohet shprehimisht nga legjislacioni në fuqi.</w:t>
      </w:r>
    </w:p>
    <w:p w14:paraId="6C243134" w14:textId="3F0E77A8"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44. Ky </w:t>
      </w:r>
      <w:r w:rsidR="00204371">
        <w:rPr>
          <w:rFonts w:ascii="Garamond" w:eastAsia="Times New Roman" w:hAnsi="Garamond" w:cs="Times New Roman"/>
        </w:rPr>
        <w:t>u</w:t>
      </w:r>
      <w:r w:rsidRPr="006D5B0E">
        <w:rPr>
          <w:rFonts w:ascii="Garamond" w:eastAsia="Times New Roman" w:hAnsi="Garamond" w:cs="Times New Roman"/>
        </w:rPr>
        <w:t xml:space="preserve">dhëzim shfuqizon </w:t>
      </w:r>
      <w:r w:rsidR="00204371">
        <w:rPr>
          <w:rFonts w:ascii="Garamond" w:eastAsia="Times New Roman" w:hAnsi="Garamond" w:cs="Times New Roman"/>
        </w:rPr>
        <w:t>u</w:t>
      </w:r>
      <w:r w:rsidRPr="006D5B0E">
        <w:rPr>
          <w:rFonts w:ascii="Garamond" w:eastAsia="Times New Roman" w:hAnsi="Garamond" w:cs="Times New Roman"/>
        </w:rPr>
        <w:t>dhëzimin e mëparshëm mbi imunitetin nga gjobat dhe uljen e gjobave në rastet e karteleve.</w:t>
      </w:r>
    </w:p>
    <w:p w14:paraId="43807866" w14:textId="1491EB46"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45. Autoriteti i Konkurrencës është i vetëdijshëm se ky </w:t>
      </w:r>
      <w:r w:rsidR="00204371">
        <w:rPr>
          <w:rFonts w:ascii="Garamond" w:eastAsia="Times New Roman" w:hAnsi="Garamond" w:cs="Times New Roman"/>
        </w:rPr>
        <w:t>u</w:t>
      </w:r>
      <w:r w:rsidRPr="006D5B0E">
        <w:rPr>
          <w:rFonts w:ascii="Garamond" w:eastAsia="Times New Roman" w:hAnsi="Garamond" w:cs="Times New Roman"/>
        </w:rPr>
        <w:t>dhëzim do të krijojë pritshmëri legjitime mbi të cilat ndërmarrjet mund të mbështeten kur i zbulojnë Autoritetit të Konkurrencës ekzistencën e një karteli.</w:t>
      </w:r>
    </w:p>
    <w:p w14:paraId="3297B919" w14:textId="3EFEAFCC"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46. Në përputhje me praktikën e Autoritetit të Konkurrencës, fakti që një ndërmarrje ka bashkëpunuar me Autoritetin e Konkurrencës gjatë procedurës së tij administrative do të tregohet në çdo vendim, në mënyrë që të shpjegohet arsyeja për imunitetin ose uljen e gjobës. Fakti që jepet imunitet ose ulje në lidhje me gjobat nuk mund ta mbr</w:t>
      </w:r>
      <w:r w:rsidR="00204371">
        <w:rPr>
          <w:rFonts w:ascii="Garamond" w:eastAsia="Times New Roman" w:hAnsi="Garamond" w:cs="Times New Roman"/>
        </w:rPr>
        <w:t>ojë një ndërmarrje nga pasojat</w:t>
      </w:r>
      <w:r w:rsidRPr="006D5B0E">
        <w:rPr>
          <w:rFonts w:ascii="Garamond" w:eastAsia="Times New Roman" w:hAnsi="Garamond" w:cs="Times New Roman"/>
        </w:rPr>
        <w:t xml:space="preserve"> civile të pjesëmarrjes së saj në një shkelje të </w:t>
      </w:r>
      <w:r w:rsidR="00204371" w:rsidRPr="006D5B0E">
        <w:rPr>
          <w:rFonts w:ascii="Garamond" w:hAnsi="Garamond" w:cs="Times New Roman"/>
        </w:rPr>
        <w:t>ligjit të konkurrencës</w:t>
      </w:r>
      <w:r w:rsidRPr="006D5B0E">
        <w:rPr>
          <w:rFonts w:ascii="Garamond" w:eastAsia="Times New Roman" w:hAnsi="Garamond" w:cs="Times New Roman"/>
        </w:rPr>
        <w:t>.</w:t>
      </w:r>
    </w:p>
    <w:p w14:paraId="01A4B7F9" w14:textId="4411BB7B" w:rsidR="00D77A88" w:rsidRPr="006D5B0E" w:rsidRDefault="00D77A88" w:rsidP="009757ED">
      <w:pPr>
        <w:spacing w:line="240" w:lineRule="auto"/>
        <w:ind w:firstLine="284"/>
        <w:jc w:val="both"/>
        <w:rPr>
          <w:rFonts w:ascii="Garamond" w:hAnsi="Garamond" w:cs="Times New Roman"/>
        </w:rPr>
      </w:pPr>
      <w:r w:rsidRPr="006D5B0E">
        <w:rPr>
          <w:rFonts w:ascii="Garamond" w:eastAsia="Times New Roman" w:hAnsi="Garamond" w:cs="Times New Roman"/>
        </w:rPr>
        <w:t>47. Autoriteti i Konkurrencës konsideron se zakonisht zbulimi publik i dokumenteve dhe deklaratave të shkruara ose të regjistruara</w:t>
      </w:r>
      <w:r w:rsidR="00204371">
        <w:rPr>
          <w:rFonts w:ascii="Garamond" w:eastAsia="Times New Roman" w:hAnsi="Garamond" w:cs="Times New Roman"/>
        </w:rPr>
        <w:t>,</w:t>
      </w:r>
      <w:r w:rsidRPr="006D5B0E">
        <w:rPr>
          <w:rFonts w:ascii="Garamond" w:eastAsia="Times New Roman" w:hAnsi="Garamond" w:cs="Times New Roman"/>
        </w:rPr>
        <w:t xml:space="preserve"> të marra në kontekstin e këtij </w:t>
      </w:r>
      <w:r w:rsidR="00204371">
        <w:rPr>
          <w:rFonts w:ascii="Garamond" w:eastAsia="Times New Roman" w:hAnsi="Garamond" w:cs="Times New Roman"/>
        </w:rPr>
        <w:t>u</w:t>
      </w:r>
      <w:r w:rsidRPr="006D5B0E">
        <w:rPr>
          <w:rFonts w:ascii="Garamond" w:eastAsia="Times New Roman" w:hAnsi="Garamond" w:cs="Times New Roman"/>
        </w:rPr>
        <w:t>dhëzimi</w:t>
      </w:r>
      <w:r w:rsidR="00204371">
        <w:rPr>
          <w:rFonts w:ascii="Garamond" w:eastAsia="Times New Roman" w:hAnsi="Garamond" w:cs="Times New Roman"/>
        </w:rPr>
        <w:t>,</w:t>
      </w:r>
      <w:r w:rsidRPr="006D5B0E">
        <w:rPr>
          <w:rFonts w:ascii="Garamond" w:eastAsia="Times New Roman" w:hAnsi="Garamond" w:cs="Times New Roman"/>
        </w:rPr>
        <w:t xml:space="preserve"> do të dëmtonte interesa të caktuara publik</w:t>
      </w:r>
      <w:r w:rsidR="00204371" w:rsidRPr="006D5B0E">
        <w:rPr>
          <w:rFonts w:ascii="Garamond" w:eastAsia="Times New Roman" w:hAnsi="Garamond" w:cs="Times New Roman"/>
        </w:rPr>
        <w:t>ë</w:t>
      </w:r>
      <w:r w:rsidRPr="006D5B0E">
        <w:rPr>
          <w:rFonts w:ascii="Garamond" w:eastAsia="Times New Roman" w:hAnsi="Garamond" w:cs="Times New Roman"/>
        </w:rPr>
        <w:t xml:space="preserve"> ose privat</w:t>
      </w:r>
      <w:r w:rsidR="00204371" w:rsidRPr="006D5B0E">
        <w:rPr>
          <w:rFonts w:ascii="Garamond" w:eastAsia="Times New Roman" w:hAnsi="Garamond" w:cs="Times New Roman"/>
        </w:rPr>
        <w:t>ë</w:t>
      </w:r>
      <w:r w:rsidRPr="006D5B0E">
        <w:rPr>
          <w:rFonts w:ascii="Garamond" w:eastAsia="Times New Roman" w:hAnsi="Garamond" w:cs="Times New Roman"/>
        </w:rPr>
        <w:t>, për shembull mbrojtjen e qëllimit të inspektimeve dhe hetimeve, edhe pasi të jetë marrë vendimi.</w:t>
      </w:r>
    </w:p>
    <w:p w14:paraId="27326E4D" w14:textId="224843B1" w:rsidR="00D77A88" w:rsidRPr="006D5B0E" w:rsidRDefault="00D77A88" w:rsidP="009757ED">
      <w:pPr>
        <w:spacing w:line="240" w:lineRule="auto"/>
        <w:ind w:firstLine="284"/>
        <w:jc w:val="both"/>
        <w:rPr>
          <w:rFonts w:ascii="Garamond" w:eastAsia="Times New Roman" w:hAnsi="Garamond" w:cs="Times New Roman"/>
        </w:rPr>
      </w:pPr>
      <w:r w:rsidRPr="006D5B0E">
        <w:rPr>
          <w:rFonts w:ascii="Garamond" w:eastAsia="Times New Roman" w:hAnsi="Garamond" w:cs="Times New Roman"/>
        </w:rPr>
        <w:t xml:space="preserve">48. Dispozitat e këtij </w:t>
      </w:r>
      <w:r w:rsidR="00204371">
        <w:rPr>
          <w:rFonts w:ascii="Garamond" w:eastAsia="Times New Roman" w:hAnsi="Garamond" w:cs="Times New Roman"/>
        </w:rPr>
        <w:t>u</w:t>
      </w:r>
      <w:r w:rsidRPr="006D5B0E">
        <w:rPr>
          <w:rFonts w:ascii="Garamond" w:eastAsia="Times New Roman" w:hAnsi="Garamond" w:cs="Times New Roman"/>
        </w:rPr>
        <w:t xml:space="preserve">dhëzimi që parashikojnë mekanizma bashkëpunimi ose koordinimi me institucionet e Bashkimit Evropian, Rrjetin Evropian të Konkurrencës (ECN) ose autoritetet e konkurrencës </w:t>
      </w:r>
      <w:r w:rsidR="00204371">
        <w:rPr>
          <w:rFonts w:ascii="Garamond" w:eastAsia="Times New Roman" w:hAnsi="Garamond" w:cs="Times New Roman"/>
        </w:rPr>
        <w:t>t</w:t>
      </w:r>
      <w:r w:rsidRPr="006D5B0E">
        <w:rPr>
          <w:rFonts w:ascii="Garamond" w:eastAsia="Times New Roman" w:hAnsi="Garamond" w:cs="Times New Roman"/>
        </w:rPr>
        <w:t>ë shteteve anëtare, interpretohen dhe zbatohen në përputhje me marrëveshjet ndërkombëtare, legjislacionin kombëtar në fuqi dhe statusin e Republikës së Shqipërisë në procesin e integrimit evropian. Çdo dispozitë që presupozon të drejta ose detyrime që burojnë nga cilësia e shtetit anëtar të Bashkimit Evropian do të zbatohet pas aderimit të Republikës së Shqipërisë në Bashkimin Evropian.</w:t>
      </w:r>
    </w:p>
    <w:p w14:paraId="2587B63A" w14:textId="62668B50" w:rsidR="00D77A88" w:rsidRPr="006D5B0E" w:rsidRDefault="00D77A88" w:rsidP="009757ED">
      <w:pPr>
        <w:spacing w:line="240" w:lineRule="auto"/>
        <w:ind w:firstLine="284"/>
        <w:rPr>
          <w:rFonts w:ascii="Garamond" w:hAnsi="Garamond" w:cs="Times New Roman"/>
        </w:rPr>
      </w:pPr>
    </w:p>
    <w:p w14:paraId="12FB5767" w14:textId="4F54CE01" w:rsidR="00D77A88" w:rsidRPr="006D5B0E" w:rsidRDefault="00D77A88" w:rsidP="009757ED">
      <w:pPr>
        <w:spacing w:line="240" w:lineRule="auto"/>
        <w:ind w:firstLine="284"/>
        <w:rPr>
          <w:rFonts w:ascii="Garamond" w:hAnsi="Garamond" w:cs="Times New Roman"/>
        </w:rPr>
      </w:pPr>
    </w:p>
    <w:p w14:paraId="3D9D9C96" w14:textId="26803C13" w:rsidR="00D77A88" w:rsidRPr="006D5B0E" w:rsidRDefault="00D77A88" w:rsidP="00204371">
      <w:pPr>
        <w:spacing w:line="240" w:lineRule="auto"/>
        <w:rPr>
          <w:rFonts w:ascii="Garamond" w:hAnsi="Garamond" w:cs="Times New Roman"/>
        </w:rPr>
      </w:pPr>
    </w:p>
    <w:p w14:paraId="628CEEDF" w14:textId="77777777" w:rsidR="00D77A88" w:rsidRPr="006D5B0E" w:rsidRDefault="00D77A88" w:rsidP="009757ED">
      <w:pPr>
        <w:spacing w:line="240" w:lineRule="auto"/>
        <w:ind w:firstLine="284"/>
        <w:jc w:val="center"/>
        <w:rPr>
          <w:rFonts w:ascii="Garamond" w:hAnsi="Garamond" w:cs="Times New Roman"/>
        </w:rPr>
      </w:pPr>
      <w:r w:rsidRPr="006D5B0E">
        <w:rPr>
          <w:rFonts w:ascii="Garamond" w:hAnsi="Garamond" w:cs="Times New Roman"/>
        </w:rPr>
        <w:t>SHTOJCA 1</w:t>
      </w:r>
    </w:p>
    <w:p w14:paraId="53B4CCAF" w14:textId="6BDD17E1" w:rsidR="00D77A88" w:rsidRPr="00204371" w:rsidRDefault="006D5B0E" w:rsidP="009757ED">
      <w:pPr>
        <w:spacing w:line="240" w:lineRule="auto"/>
        <w:ind w:firstLine="284"/>
        <w:jc w:val="center"/>
        <w:rPr>
          <w:rFonts w:ascii="Garamond" w:eastAsia="Times New Roman" w:hAnsi="Garamond" w:cs="Times New Roman"/>
          <w:b/>
        </w:rPr>
      </w:pPr>
      <w:r w:rsidRPr="00204371">
        <w:rPr>
          <w:rFonts w:ascii="Garamond" w:hAnsi="Garamond" w:cs="Times New Roman"/>
          <w:b/>
        </w:rPr>
        <w:t>“</w:t>
      </w:r>
      <w:r w:rsidR="00D77A88" w:rsidRPr="00204371">
        <w:rPr>
          <w:rFonts w:ascii="Garamond" w:hAnsi="Garamond" w:cs="Times New Roman"/>
          <w:b/>
        </w:rPr>
        <w:t xml:space="preserve">Aplikimi i </w:t>
      </w:r>
      <w:r w:rsidR="00204371">
        <w:rPr>
          <w:rFonts w:ascii="Garamond" w:hAnsi="Garamond" w:cs="Times New Roman"/>
          <w:b/>
        </w:rPr>
        <w:t>p</w:t>
      </w:r>
      <w:r w:rsidR="00D77A88" w:rsidRPr="00204371">
        <w:rPr>
          <w:rFonts w:ascii="Garamond" w:eastAsia="Times New Roman" w:hAnsi="Garamond" w:cs="Times New Roman"/>
          <w:b/>
        </w:rPr>
        <w:t>ërmbledhur</w:t>
      </w:r>
      <w:r w:rsidRPr="00204371">
        <w:rPr>
          <w:rFonts w:ascii="Garamond" w:eastAsia="Times New Roman" w:hAnsi="Garamond" w:cs="Times New Roman"/>
          <w:b/>
        </w:rPr>
        <w:t>”</w:t>
      </w:r>
    </w:p>
    <w:p w14:paraId="5A1D3016" w14:textId="77777777" w:rsidR="00D77A88" w:rsidRPr="006D5B0E" w:rsidRDefault="00D77A88" w:rsidP="009757ED">
      <w:pPr>
        <w:spacing w:line="240" w:lineRule="auto"/>
        <w:ind w:firstLine="284"/>
        <w:jc w:val="center"/>
        <w:rPr>
          <w:rFonts w:ascii="Garamond" w:hAnsi="Garamond" w:cs="Times New Roman"/>
        </w:rPr>
      </w:pPr>
    </w:p>
    <w:p w14:paraId="2CCAA604" w14:textId="7815762E"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 xml:space="preserve">1. Informacion rreth </w:t>
      </w:r>
      <w:r w:rsidR="00204371" w:rsidRPr="006D5B0E">
        <w:rPr>
          <w:rFonts w:ascii="Garamond" w:hAnsi="Garamond" w:cs="Times New Roman"/>
        </w:rPr>
        <w:t xml:space="preserve">ndërmarrjes aplikuese </w:t>
      </w:r>
      <w:r w:rsidRPr="006D5B0E">
        <w:rPr>
          <w:rFonts w:ascii="Garamond" w:hAnsi="Garamond" w:cs="Times New Roman"/>
        </w:rPr>
        <w:t>(emri, adresa)</w:t>
      </w:r>
    </w:p>
    <w:p w14:paraId="754FC21D" w14:textId="77777777"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(nëse aplikimi dorëzohet në emër të subjekteve të ndryshme ligjore të të njëjtit grup kompanish, ju lutemi renditini ato sipas rendit alfabetik):</w:t>
      </w:r>
    </w:p>
    <w:p w14:paraId="0FD6CA80" w14:textId="77777777"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 ………………………………………………………………………………………………………………………………</w:t>
      </w:r>
    </w:p>
    <w:p w14:paraId="3E233CA2" w14:textId="6088C7F8"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lastRenderedPageBreak/>
        <w:t xml:space="preserve">Përfaqësues i ndërmarrjes: </w:t>
      </w:r>
      <w:r w:rsidR="00204371">
        <w:rPr>
          <w:rFonts w:ascii="Garamond" w:hAnsi="Garamond" w:cs="Times New Roman"/>
        </w:rPr>
        <w:t>.....</w:t>
      </w:r>
      <w:r w:rsidRPr="006D5B0E">
        <w:rPr>
          <w:rFonts w:ascii="Garamond" w:hAnsi="Garamond" w:cs="Times New Roman"/>
        </w:rPr>
        <w:t>……...</w:t>
      </w:r>
    </w:p>
    <w:p w14:paraId="68D9EC2A" w14:textId="38623A8B"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2. Informacion në l</w:t>
      </w:r>
      <w:r w:rsidR="00204371">
        <w:rPr>
          <w:rFonts w:ascii="Garamond" w:hAnsi="Garamond" w:cs="Times New Roman"/>
        </w:rPr>
        <w:t>idhje me shkeljen e pretenduar.</w:t>
      </w:r>
    </w:p>
    <w:p w14:paraId="0B45F4E2" w14:textId="0BAFD510"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Pjesëmarrësit:</w:t>
      </w:r>
      <w:r w:rsidR="00204371">
        <w:rPr>
          <w:rFonts w:ascii="Garamond" w:hAnsi="Garamond" w:cs="Times New Roman"/>
        </w:rPr>
        <w:t xml:space="preserve"> </w:t>
      </w:r>
      <w:r w:rsidRPr="006D5B0E">
        <w:rPr>
          <w:rFonts w:ascii="Garamond" w:hAnsi="Garamond" w:cs="Times New Roman"/>
        </w:rPr>
        <w:t>……</w:t>
      </w:r>
      <w:r w:rsidR="00204371">
        <w:rPr>
          <w:rFonts w:ascii="Garamond" w:hAnsi="Garamond" w:cs="Times New Roman"/>
        </w:rPr>
        <w:t>...........</w:t>
      </w:r>
      <w:r w:rsidRPr="006D5B0E">
        <w:rPr>
          <w:rFonts w:ascii="Garamond" w:hAnsi="Garamond" w:cs="Times New Roman"/>
        </w:rPr>
        <w:t>...</w:t>
      </w:r>
    </w:p>
    <w:p w14:paraId="15D02B9D" w14:textId="41AC75F5"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Produkti/produktet përkatëse (sa më specifikë të jetë e mundur): …</w:t>
      </w:r>
      <w:r w:rsidR="00204371">
        <w:rPr>
          <w:rFonts w:ascii="Garamond" w:hAnsi="Garamond" w:cs="Times New Roman"/>
        </w:rPr>
        <w:t>............</w:t>
      </w:r>
      <w:r w:rsidRPr="006D5B0E">
        <w:rPr>
          <w:rFonts w:ascii="Garamond" w:hAnsi="Garamond" w:cs="Times New Roman"/>
        </w:rPr>
        <w:t>…...</w:t>
      </w:r>
    </w:p>
    <w:p w14:paraId="6E25F1A3" w14:textId="1FF5DFFF" w:rsidR="00D77A88" w:rsidRPr="006D5B0E" w:rsidRDefault="00D77A88" w:rsidP="009757ED">
      <w:pPr>
        <w:spacing w:line="240" w:lineRule="auto"/>
        <w:ind w:firstLine="284"/>
        <w:jc w:val="both"/>
        <w:rPr>
          <w:rFonts w:ascii="Garamond" w:hAnsi="Garamond" w:cs="Times New Roman"/>
          <w:color w:val="000000" w:themeColor="text1"/>
        </w:rPr>
      </w:pPr>
      <w:r w:rsidRPr="006D5B0E">
        <w:rPr>
          <w:rFonts w:ascii="Garamond" w:hAnsi="Garamond" w:cs="Times New Roman"/>
          <w:color w:val="000000" w:themeColor="text1"/>
        </w:rPr>
        <w:t>Territoret e prekura: …</w:t>
      </w:r>
      <w:r w:rsidR="00204371">
        <w:rPr>
          <w:rFonts w:ascii="Garamond" w:hAnsi="Garamond" w:cs="Times New Roman"/>
          <w:color w:val="000000" w:themeColor="text1"/>
        </w:rPr>
        <w:t>...................</w:t>
      </w:r>
      <w:r w:rsidRPr="006D5B0E">
        <w:rPr>
          <w:rFonts w:ascii="Garamond" w:hAnsi="Garamond" w:cs="Times New Roman"/>
          <w:color w:val="000000" w:themeColor="text1"/>
        </w:rPr>
        <w:t>…...</w:t>
      </w:r>
    </w:p>
    <w:p w14:paraId="40B3DE9E" w14:textId="4A710766"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Vendndodhja e provave: ……</w:t>
      </w:r>
      <w:r w:rsidR="00204371">
        <w:rPr>
          <w:rFonts w:ascii="Garamond" w:hAnsi="Garamond" w:cs="Times New Roman"/>
        </w:rPr>
        <w:t>......................</w:t>
      </w:r>
      <w:r w:rsidRPr="006D5B0E">
        <w:rPr>
          <w:rFonts w:ascii="Garamond" w:hAnsi="Garamond" w:cs="Times New Roman"/>
        </w:rPr>
        <w:t>..</w:t>
      </w:r>
    </w:p>
    <w:p w14:paraId="4F703C86" w14:textId="4A1F0559" w:rsidR="00D77A88" w:rsidRPr="006D5B0E" w:rsidRDefault="00D77A88" w:rsidP="009757ED">
      <w:pPr>
        <w:spacing w:line="240" w:lineRule="auto"/>
        <w:ind w:firstLine="284"/>
        <w:rPr>
          <w:rFonts w:ascii="Garamond" w:hAnsi="Garamond" w:cs="Times New Roman"/>
        </w:rPr>
      </w:pPr>
      <w:r w:rsidRPr="006D5B0E">
        <w:rPr>
          <w:rFonts w:ascii="Garamond" w:hAnsi="Garamond" w:cs="Times New Roman"/>
        </w:rPr>
        <w:t>Përshkrim i shkurtër i shkeljes së</w:t>
      </w:r>
      <w:r w:rsidR="00204371">
        <w:rPr>
          <w:rFonts w:ascii="Garamond" w:hAnsi="Garamond" w:cs="Times New Roman"/>
        </w:rPr>
        <w:t xml:space="preserve"> </w:t>
      </w:r>
      <w:r w:rsidRPr="006D5B0E">
        <w:rPr>
          <w:rFonts w:ascii="Garamond" w:hAnsi="Garamond" w:cs="Times New Roman"/>
        </w:rPr>
        <w:t>pretenduar:</w:t>
      </w:r>
      <w:r w:rsidR="00204371">
        <w:rPr>
          <w:rFonts w:ascii="Garamond" w:hAnsi="Garamond" w:cs="Times New Roman"/>
        </w:rPr>
        <w:t xml:space="preserve"> </w:t>
      </w:r>
      <w:r w:rsidRPr="006D5B0E">
        <w:rPr>
          <w:rFonts w:ascii="Garamond" w:hAnsi="Garamond" w:cs="Times New Roman"/>
        </w:rPr>
        <w:t>……………………………………………………………………………………………………………..… ...</w:t>
      </w:r>
    </w:p>
    <w:p w14:paraId="1FCEB474" w14:textId="1CA4EC32"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 xml:space="preserve">Periudha e shkeljes së pretenduar: </w:t>
      </w:r>
      <w:r w:rsidR="008B1C22">
        <w:rPr>
          <w:rFonts w:ascii="Garamond" w:hAnsi="Garamond" w:cs="Times New Roman"/>
        </w:rPr>
        <w:t>.....................</w:t>
      </w:r>
      <w:r w:rsidRPr="006D5B0E">
        <w:rPr>
          <w:rFonts w:ascii="Garamond" w:hAnsi="Garamond" w:cs="Times New Roman"/>
        </w:rPr>
        <w:t>……...</w:t>
      </w:r>
    </w:p>
    <w:p w14:paraId="57ED7C76" w14:textId="77777777"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Informacione të tjera të dobishme: ……………………………………...… ...</w:t>
      </w:r>
    </w:p>
    <w:p w14:paraId="4CCCAF28" w14:textId="77777777" w:rsidR="00D77A88" w:rsidRPr="006D5B0E" w:rsidRDefault="00D77A88" w:rsidP="009757ED">
      <w:pPr>
        <w:spacing w:line="240" w:lineRule="auto"/>
        <w:ind w:firstLine="284"/>
        <w:jc w:val="both"/>
        <w:rPr>
          <w:rFonts w:ascii="Garamond" w:hAnsi="Garamond" w:cs="Times New Roman"/>
          <w:color w:val="000000" w:themeColor="text1"/>
        </w:rPr>
      </w:pPr>
      <w:r w:rsidRPr="006D5B0E">
        <w:rPr>
          <w:rFonts w:ascii="Garamond" w:hAnsi="Garamond" w:cs="Times New Roman"/>
          <w:color w:val="000000" w:themeColor="text1"/>
        </w:rPr>
        <w:t>3. Informacion në lidhje me kërkesat paralele për imunitet ose lehtësim nga gjoba</w:t>
      </w:r>
    </w:p>
    <w:p w14:paraId="584C8CD1" w14:textId="77777777" w:rsidR="008B1C22" w:rsidRDefault="00D77A88" w:rsidP="009757ED">
      <w:pPr>
        <w:spacing w:line="240" w:lineRule="auto"/>
        <w:ind w:firstLine="284"/>
        <w:jc w:val="both"/>
        <w:rPr>
          <w:rFonts w:ascii="Garamond" w:hAnsi="Garamond" w:cs="Times New Roman"/>
          <w:color w:val="000000" w:themeColor="text1"/>
        </w:rPr>
      </w:pPr>
      <w:r w:rsidRPr="006D5B0E">
        <w:rPr>
          <w:rFonts w:ascii="Garamond" w:hAnsi="Garamond" w:cs="Times New Roman"/>
          <w:color w:val="000000" w:themeColor="text1"/>
        </w:rPr>
        <w:t>Data e dorëzimit të kërkesës pranë autoritetit tjetër të konkurrencës (nëse nuk është dorë</w:t>
      </w:r>
      <w:r w:rsidR="008B1C22">
        <w:rPr>
          <w:rFonts w:ascii="Garamond" w:hAnsi="Garamond" w:cs="Times New Roman"/>
          <w:color w:val="000000" w:themeColor="text1"/>
        </w:rPr>
        <w:t>zuar ende, data e parashikuar):</w:t>
      </w:r>
    </w:p>
    <w:p w14:paraId="636867C6" w14:textId="4B5A0A5E" w:rsidR="00D77A88" w:rsidRPr="006D5B0E" w:rsidRDefault="00D77A88" w:rsidP="009757ED">
      <w:pPr>
        <w:spacing w:line="240" w:lineRule="auto"/>
        <w:ind w:firstLine="284"/>
        <w:jc w:val="both"/>
        <w:rPr>
          <w:rFonts w:ascii="Garamond" w:hAnsi="Garamond" w:cs="Times New Roman"/>
          <w:color w:val="000000" w:themeColor="text1"/>
        </w:rPr>
      </w:pPr>
      <w:r w:rsidRPr="006D5B0E">
        <w:rPr>
          <w:rFonts w:ascii="Garamond" w:hAnsi="Garamond" w:cs="Times New Roman"/>
          <w:color w:val="000000" w:themeColor="text1"/>
        </w:rPr>
        <w:t>……………………………………………………………………</w:t>
      </w:r>
    </w:p>
    <w:p w14:paraId="3761F364" w14:textId="77777777" w:rsidR="00D77A88" w:rsidRPr="006D5B0E" w:rsidRDefault="00D77A88" w:rsidP="009757ED">
      <w:pPr>
        <w:spacing w:line="240" w:lineRule="auto"/>
        <w:ind w:firstLine="284"/>
        <w:jc w:val="both"/>
        <w:rPr>
          <w:rFonts w:ascii="Garamond" w:hAnsi="Garamond" w:cs="Times New Roman"/>
          <w:color w:val="000000" w:themeColor="text1"/>
        </w:rPr>
      </w:pPr>
      <w:r w:rsidRPr="006D5B0E">
        <w:rPr>
          <w:rFonts w:ascii="Garamond" w:hAnsi="Garamond" w:cs="Times New Roman"/>
          <w:color w:val="000000" w:themeColor="text1"/>
        </w:rPr>
        <w:t>Emri i autoritetit të konkurrencës pranë të cilit është dorëzuar ose pritet të dorëzohet kërkesa: ……………………………………………………………………</w:t>
      </w:r>
    </w:p>
    <w:p w14:paraId="43C322B6" w14:textId="0BC31182" w:rsidR="00D77A88" w:rsidRPr="006D5B0E" w:rsidRDefault="00D77A88" w:rsidP="009757ED">
      <w:pPr>
        <w:spacing w:line="240" w:lineRule="auto"/>
        <w:ind w:firstLine="284"/>
        <w:rPr>
          <w:rFonts w:ascii="Garamond" w:hAnsi="Garamond" w:cs="Times New Roman"/>
          <w:color w:val="000000" w:themeColor="text1"/>
        </w:rPr>
      </w:pPr>
      <w:r w:rsidRPr="006D5B0E">
        <w:rPr>
          <w:rFonts w:ascii="Garamond" w:hAnsi="Garamond" w:cs="Times New Roman"/>
          <w:color w:val="000000" w:themeColor="text1"/>
        </w:rPr>
        <w:t>Emri i personit të kontaktit (nëse është i njohur):</w:t>
      </w:r>
      <w:r w:rsidR="008B1C22">
        <w:rPr>
          <w:rFonts w:ascii="Garamond" w:hAnsi="Garamond" w:cs="Times New Roman"/>
          <w:color w:val="000000" w:themeColor="text1"/>
        </w:rPr>
        <w:t xml:space="preserve"> </w:t>
      </w:r>
      <w:r w:rsidRPr="006D5B0E">
        <w:rPr>
          <w:rFonts w:ascii="Garamond" w:hAnsi="Garamond" w:cs="Times New Roman"/>
          <w:color w:val="000000" w:themeColor="text1"/>
        </w:rPr>
        <w:t>……………………………………………………………………</w:t>
      </w:r>
    </w:p>
    <w:p w14:paraId="018B9E78" w14:textId="77777777" w:rsidR="008B1C22" w:rsidRDefault="00D77A88" w:rsidP="009757ED">
      <w:pPr>
        <w:spacing w:line="240" w:lineRule="auto"/>
        <w:ind w:firstLine="284"/>
        <w:jc w:val="both"/>
        <w:rPr>
          <w:rFonts w:ascii="Garamond" w:hAnsi="Garamond" w:cs="Times New Roman"/>
          <w:color w:val="000000" w:themeColor="text1"/>
        </w:rPr>
      </w:pPr>
      <w:r w:rsidRPr="006D5B0E">
        <w:rPr>
          <w:rFonts w:ascii="Garamond" w:hAnsi="Garamond" w:cs="Times New Roman"/>
          <w:color w:val="000000" w:themeColor="text1"/>
        </w:rPr>
        <w:t xml:space="preserve">Vërejtje pse aplikanti konsideron se ky autoritet është në pozicion të përshtatshëm për të trajtuar praktikën e pretenduar: </w:t>
      </w:r>
      <w:r w:rsidR="008B1C22">
        <w:rPr>
          <w:rFonts w:ascii="Garamond" w:hAnsi="Garamond" w:cs="Times New Roman"/>
          <w:color w:val="000000" w:themeColor="text1"/>
        </w:rPr>
        <w:t xml:space="preserve"> </w:t>
      </w:r>
    </w:p>
    <w:p w14:paraId="301782B9" w14:textId="49C40F4B" w:rsidR="00D77A88" w:rsidRPr="006D5B0E" w:rsidRDefault="00D77A88" w:rsidP="009757ED">
      <w:pPr>
        <w:spacing w:line="240" w:lineRule="auto"/>
        <w:ind w:firstLine="284"/>
        <w:jc w:val="both"/>
        <w:rPr>
          <w:rFonts w:ascii="Garamond" w:hAnsi="Garamond" w:cs="Times New Roman"/>
          <w:color w:val="000000" w:themeColor="text1"/>
        </w:rPr>
      </w:pPr>
      <w:r w:rsidRPr="006D5B0E">
        <w:rPr>
          <w:rFonts w:ascii="Garamond" w:hAnsi="Garamond" w:cs="Times New Roman"/>
          <w:color w:val="000000" w:themeColor="text1"/>
        </w:rPr>
        <w:t>……………………………………………………………………</w:t>
      </w:r>
    </w:p>
    <w:p w14:paraId="10FECE8C" w14:textId="77777777"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4. Informacion mbi ekzistencën e kërkesave të tjera për lehtësim nga gjoba</w:t>
      </w:r>
    </w:p>
    <w:p w14:paraId="1A469473" w14:textId="77777777"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 xml:space="preserve">Emri i autoriteteve të konkurrencës të cilave u është paraqitur një aplikim dhe kontakti: ……………………………………………………………………………………… …………………………………………………………………………………………………………………………………………………………………………………………… ……………………………………………………………………………………. </w:t>
      </w:r>
    </w:p>
    <w:p w14:paraId="20B9AD1C" w14:textId="05393C42" w:rsidR="00D77A88" w:rsidRPr="006D5B0E" w:rsidRDefault="00D77A88" w:rsidP="009757ED">
      <w:pPr>
        <w:spacing w:line="240" w:lineRule="auto"/>
        <w:ind w:firstLine="284"/>
        <w:jc w:val="both"/>
        <w:rPr>
          <w:rFonts w:ascii="Garamond" w:hAnsi="Garamond" w:cs="Times New Roman"/>
        </w:rPr>
      </w:pPr>
      <w:r w:rsidRPr="006D5B0E">
        <w:rPr>
          <w:rFonts w:ascii="Garamond" w:hAnsi="Garamond" w:cs="Times New Roman"/>
        </w:rPr>
        <w:t>Emri i autoriteteve të konkurrencës të cilave do t</w:t>
      </w:r>
      <w:r w:rsidR="008B1C22">
        <w:rPr>
          <w:rFonts w:ascii="Garamond" w:hAnsi="Garamond" w:cs="Times New Roman"/>
        </w:rPr>
        <w:t>’</w:t>
      </w:r>
      <w:r w:rsidRPr="006D5B0E">
        <w:rPr>
          <w:rFonts w:ascii="Garamond" w:hAnsi="Garamond" w:cs="Times New Roman"/>
        </w:rPr>
        <w:t xml:space="preserve">u paraqitet një aplikim: </w:t>
      </w:r>
      <w:r w:rsidR="008B1C22">
        <w:rPr>
          <w:rFonts w:ascii="Garamond" w:hAnsi="Garamond" w:cs="Times New Roman"/>
        </w:rPr>
        <w:t>...</w:t>
      </w:r>
      <w:r w:rsidRPr="006D5B0E">
        <w:rPr>
          <w:rFonts w:ascii="Garamond" w:hAnsi="Garamond" w:cs="Times New Roman"/>
        </w:rPr>
        <w:t>…… ...</w:t>
      </w:r>
    </w:p>
    <w:p w14:paraId="0E32E0E5" w14:textId="77777777" w:rsidR="00D77A88" w:rsidRPr="006D5B0E" w:rsidRDefault="00D77A88" w:rsidP="009757ED">
      <w:pPr>
        <w:spacing w:line="240" w:lineRule="auto"/>
        <w:ind w:firstLine="284"/>
        <w:jc w:val="both"/>
        <w:rPr>
          <w:rFonts w:ascii="Garamond" w:hAnsi="Garamond"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8"/>
        <w:gridCol w:w="4276"/>
      </w:tblGrid>
      <w:tr w:rsidR="00D77A88" w:rsidRPr="006D5B0E" w14:paraId="1029D183" w14:textId="77777777" w:rsidTr="009757ED">
        <w:tc>
          <w:tcPr>
            <w:tcW w:w="4508" w:type="dxa"/>
          </w:tcPr>
          <w:p w14:paraId="50EA5CE0" w14:textId="77777777" w:rsidR="00D77A88" w:rsidRPr="006D5B0E" w:rsidRDefault="00D77A88" w:rsidP="009757ED">
            <w:pPr>
              <w:jc w:val="both"/>
              <w:rPr>
                <w:rFonts w:ascii="Garamond" w:hAnsi="Garamond" w:cs="Times New Roman"/>
              </w:rPr>
            </w:pPr>
            <w:r w:rsidRPr="006D5B0E">
              <w:rPr>
                <w:rFonts w:ascii="Garamond" w:hAnsi="Garamond" w:cs="Times New Roman"/>
              </w:rPr>
              <w:t>Data:</w:t>
            </w:r>
          </w:p>
        </w:tc>
        <w:tc>
          <w:tcPr>
            <w:tcW w:w="4508" w:type="dxa"/>
          </w:tcPr>
          <w:p w14:paraId="49F9D33E" w14:textId="77777777" w:rsidR="00D77A88" w:rsidRPr="006D5B0E" w:rsidRDefault="00D77A88" w:rsidP="009757ED">
            <w:pPr>
              <w:jc w:val="both"/>
              <w:rPr>
                <w:rFonts w:ascii="Garamond" w:hAnsi="Garamond" w:cs="Times New Roman"/>
              </w:rPr>
            </w:pPr>
            <w:r w:rsidRPr="006D5B0E">
              <w:rPr>
                <w:rFonts w:ascii="Garamond" w:hAnsi="Garamond" w:cs="Times New Roman"/>
              </w:rPr>
              <w:t>Nënshkrimi:</w:t>
            </w:r>
          </w:p>
        </w:tc>
      </w:tr>
    </w:tbl>
    <w:p w14:paraId="2F5735DB" w14:textId="77777777" w:rsidR="00D77A88" w:rsidRPr="006D5B0E" w:rsidRDefault="00D77A88" w:rsidP="009757ED">
      <w:pPr>
        <w:spacing w:line="240" w:lineRule="auto"/>
        <w:ind w:firstLine="284"/>
        <w:jc w:val="both"/>
        <w:rPr>
          <w:rFonts w:ascii="Garamond" w:hAnsi="Garamond" w:cs="Times New Roman"/>
        </w:rPr>
      </w:pPr>
    </w:p>
    <w:p w14:paraId="2C16B06A" w14:textId="77777777" w:rsidR="00FD2521" w:rsidRPr="006D5B0E" w:rsidRDefault="00FD2521" w:rsidP="003800F9">
      <w:pPr>
        <w:spacing w:line="240" w:lineRule="auto"/>
        <w:ind w:firstLine="284"/>
        <w:jc w:val="right"/>
        <w:rPr>
          <w:rFonts w:ascii="Garamond" w:hAnsi="Garamond" w:cs="Times New Roman"/>
          <w:b/>
        </w:rPr>
      </w:pPr>
    </w:p>
    <w:sectPr w:rsidR="00FD2521" w:rsidRPr="006D5B0E" w:rsidSect="00104ED2">
      <w:pgSz w:w="11906" w:h="16838" w:code="9"/>
      <w:pgMar w:top="1134" w:right="1701" w:bottom="1134" w:left="1701" w:header="397"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79748" w14:textId="77777777" w:rsidR="009A08BC" w:rsidRDefault="009A08BC" w:rsidP="00FD53EC">
      <w:r>
        <w:separator/>
      </w:r>
    </w:p>
  </w:endnote>
  <w:endnote w:type="continuationSeparator" w:id="0">
    <w:p w14:paraId="6B3E2765" w14:textId="77777777" w:rsidR="009A08BC" w:rsidRDefault="009A08BC" w:rsidP="00FD53EC">
      <w:r>
        <w:continuationSeparator/>
      </w:r>
    </w:p>
  </w:endnote>
  <w:endnote w:type="continuationNotice" w:id="1">
    <w:p w14:paraId="500E2751" w14:textId="77777777" w:rsidR="009A08BC" w:rsidRDefault="009A08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D2CC5" w14:textId="77777777" w:rsidR="009A08BC" w:rsidRDefault="009A08BC" w:rsidP="00FD53EC">
      <w:r>
        <w:separator/>
      </w:r>
    </w:p>
  </w:footnote>
  <w:footnote w:type="continuationSeparator" w:id="0">
    <w:p w14:paraId="30827A98" w14:textId="77777777" w:rsidR="009A08BC" w:rsidRDefault="009A08BC" w:rsidP="00FD53EC">
      <w:r>
        <w:continuationSeparator/>
      </w:r>
    </w:p>
  </w:footnote>
  <w:footnote w:type="continuationNotice" w:id="1">
    <w:p w14:paraId="2E1D3E25" w14:textId="77777777" w:rsidR="009A08BC" w:rsidRDefault="009A08BC">
      <w:pPr>
        <w:spacing w:line="240" w:lineRule="auto"/>
      </w:pPr>
    </w:p>
  </w:footnote>
  <w:footnote w:id="2">
    <w:p w14:paraId="3FB9CCEE" w14:textId="77777777" w:rsidR="009A08BC" w:rsidRPr="00023CD9" w:rsidRDefault="009A08BC" w:rsidP="009757ED">
      <w:pPr>
        <w:pStyle w:val="FootnoteText"/>
        <w:jc w:val="both"/>
        <w:rPr>
          <w:rFonts w:ascii="Garamond" w:hAnsi="Garamond" w:cs="Times New Roman"/>
          <w:lang w:val="en-US"/>
        </w:rPr>
      </w:pPr>
      <w:r w:rsidRPr="00023CD9">
        <w:rPr>
          <w:rStyle w:val="FootnoteReference"/>
          <w:rFonts w:ascii="Garamond" w:hAnsi="Garamond" w:cs="Times New Roman"/>
        </w:rPr>
        <w:footnoteRef/>
      </w:r>
      <w:r w:rsidRPr="00023CD9">
        <w:rPr>
          <w:rFonts w:ascii="Garamond" w:hAnsi="Garamond" w:cs="Times New Roman"/>
        </w:rPr>
        <w:t xml:space="preserve"> Ky udhëzim është përafruar me Komunikimin e Komisionit Evropian për imunitetin nga gjobat dhe uljen e gjobave në rastet e karteleve (</w:t>
      </w:r>
      <w:r w:rsidRPr="006D5B0E">
        <w:rPr>
          <w:rFonts w:ascii="Garamond" w:hAnsi="Garamond" w:cs="Times New Roman"/>
          <w:i/>
        </w:rPr>
        <w:t>Commission Notice on Immunity from fines and reduction of fines in cartel cases</w:t>
      </w:r>
      <w:r w:rsidRPr="00023CD9">
        <w:rPr>
          <w:rFonts w:ascii="Garamond" w:hAnsi="Garamond" w:cs="Times New Roman"/>
        </w:rPr>
        <w:t xml:space="preserve">) (2016/C 298/11), datë 5.8.2016, si dhe me Programin Model të Rrjetit Evropian të Konkurrencës për lehtësimin nga gjobat (ECN </w:t>
      </w:r>
      <w:r w:rsidRPr="006D5B0E">
        <w:rPr>
          <w:rFonts w:ascii="Garamond" w:hAnsi="Garamond" w:cs="Times New Roman"/>
          <w:i/>
        </w:rPr>
        <w:t>Model Leniency Programme</w:t>
      </w:r>
      <w:r w:rsidRPr="00023CD9">
        <w:rPr>
          <w:rFonts w:ascii="Garamond" w:hAnsi="Garamond" w:cs="Times New Roman"/>
        </w:rPr>
        <w:t>), i miratuar nga Rrjeti Evropian i Konkurrencës dhe i përditësuar në përputhje me Direktivën (BE) 2019/1 (ECN+). Programi Model shërben si dokument orientues për harmonizimin e programeve kombëtare të lehtësimit nga gjobat brenda Bashkimit Evropian dhe është marrë në konsideratë gjatë hartimit të këtij udhëzimi.</w:t>
      </w:r>
    </w:p>
  </w:footnote>
  <w:footnote w:id="3">
    <w:p w14:paraId="55F78D0B" w14:textId="77777777" w:rsidR="009A08BC" w:rsidRPr="00146541" w:rsidRDefault="009A08BC" w:rsidP="009757ED">
      <w:pPr>
        <w:pStyle w:val="FootnoteText"/>
        <w:jc w:val="both"/>
        <w:rPr>
          <w:rFonts w:ascii="Garamond" w:hAnsi="Garamond" w:cs="Times New Roman"/>
          <w:lang w:val="en-US"/>
        </w:rPr>
      </w:pPr>
      <w:r w:rsidRPr="00146541">
        <w:rPr>
          <w:rStyle w:val="FootnoteReference"/>
          <w:rFonts w:ascii="Garamond" w:hAnsi="Garamond" w:cs="Times New Roman"/>
        </w:rPr>
        <w:footnoteRef/>
      </w:r>
      <w:r w:rsidRPr="00146541">
        <w:rPr>
          <w:rFonts w:ascii="Garamond" w:hAnsi="Garamond" w:cs="Times New Roman"/>
        </w:rPr>
        <w:t xml:space="preserve"> </w:t>
      </w:r>
      <w:r w:rsidRPr="00146541">
        <w:rPr>
          <w:rFonts w:ascii="Garamond" w:hAnsi="Garamond" w:cs="Times New Roman"/>
        </w:rPr>
        <w:t>Zbatimi paralel ndodh kur dy ose më shumë autoritete zhvillojnë njëkohësisht procedura hetimore ose zbatuese për të njëjtën sjellje antikonkurruese.</w:t>
      </w:r>
    </w:p>
  </w:footnote>
  <w:footnote w:id="4">
    <w:p w14:paraId="14EABCE2" w14:textId="1F1CCBE0" w:rsidR="009A08BC" w:rsidRPr="004145B5" w:rsidRDefault="009A08BC" w:rsidP="009757ED">
      <w:pPr>
        <w:pStyle w:val="FootnoteText"/>
        <w:jc w:val="both"/>
        <w:rPr>
          <w:rFonts w:ascii="Times New Roman" w:hAnsi="Times New Roman" w:cs="Times New Roman"/>
          <w:lang w:val="en-US"/>
        </w:rPr>
      </w:pPr>
      <w:r w:rsidRPr="00146541">
        <w:rPr>
          <w:rStyle w:val="FootnoteReference"/>
          <w:rFonts w:ascii="Garamond" w:hAnsi="Garamond" w:cs="Times New Roman"/>
        </w:rPr>
        <w:footnoteRef/>
      </w:r>
      <w:r w:rsidRPr="00146541">
        <w:rPr>
          <w:rFonts w:ascii="Garamond" w:hAnsi="Garamond" w:cs="Times New Roman"/>
        </w:rPr>
        <w:t xml:space="preserve"> </w:t>
      </w:r>
      <w:r w:rsidRPr="00146541">
        <w:rPr>
          <w:rFonts w:ascii="Garamond" w:hAnsi="Garamond" w:cs="Times New Roman"/>
        </w:rPr>
        <w:t>Zbatimi i dyfisht</w:t>
      </w:r>
      <w:r w:rsidRPr="00AA6092">
        <w:rPr>
          <w:rFonts w:ascii="Garamond" w:hAnsi="Garamond" w:cs="Times New Roman"/>
        </w:rPr>
        <w:t>ë</w:t>
      </w:r>
      <w:r w:rsidRPr="00146541">
        <w:rPr>
          <w:rFonts w:ascii="Garamond" w:hAnsi="Garamond" w:cs="Times New Roman"/>
        </w:rPr>
        <w:t xml:space="preserve"> i referohet përsëritjes së panevojshme të procedurave ose masave zbatuese nga autoritete të ndryshme për të njëjtën çështje, në rrethana kur koordinimi ndërmjet tyre do të mund të shmangte një mbivendosje të tillë.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85DB0"/>
    <w:multiLevelType w:val="hybridMultilevel"/>
    <w:tmpl w:val="0BD2D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CA4408"/>
    <w:multiLevelType w:val="hybridMultilevel"/>
    <w:tmpl w:val="4F7A8DCE"/>
    <w:lvl w:ilvl="0" w:tplc="267A8840">
      <w:numFmt w:val="bullet"/>
      <w:lvlText w:val="―"/>
      <w:lvlJc w:val="left"/>
      <w:pPr>
        <w:ind w:left="720" w:hanging="360"/>
      </w:pPr>
      <w:rPr>
        <w:rFonts w:ascii="Arial Narrow" w:eastAsia="Calibri" w:hAnsi="Arial Narrow"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96F5A7B"/>
    <w:multiLevelType w:val="hybridMultilevel"/>
    <w:tmpl w:val="6E32F6FA"/>
    <w:lvl w:ilvl="0" w:tplc="351A8A70">
      <w:numFmt w:val="bullet"/>
      <w:lvlText w:val="-"/>
      <w:lvlJc w:val="left"/>
      <w:pPr>
        <w:ind w:left="360" w:hanging="360"/>
      </w:pPr>
      <w:rPr>
        <w:rFonts w:ascii="Calibri" w:eastAsia="Times New Roman" w:hAnsi="Calibri"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0E94F75"/>
    <w:multiLevelType w:val="hybridMultilevel"/>
    <w:tmpl w:val="EFFC27FE"/>
    <w:lvl w:ilvl="0" w:tplc="ED045C04">
      <w:numFmt w:val="bullet"/>
      <w:lvlText w:val="-"/>
      <w:lvlJc w:val="left"/>
      <w:pPr>
        <w:ind w:left="1140" w:hanging="360"/>
      </w:pPr>
      <w:rPr>
        <w:rFonts w:ascii="Garamond" w:eastAsia="Calibri" w:hAnsi="Garamond" w:cs="Aria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15:restartNumberingAfterBreak="0">
    <w:nsid w:val="50EA6358"/>
    <w:multiLevelType w:val="hybridMultilevel"/>
    <w:tmpl w:val="5E904310"/>
    <w:lvl w:ilvl="0" w:tplc="7D580CD4">
      <w:start w:val="26"/>
      <w:numFmt w:val="bullet"/>
      <w:lvlText w:val="-"/>
      <w:lvlJc w:val="left"/>
      <w:pPr>
        <w:ind w:left="810" w:hanging="360"/>
      </w:pPr>
      <w:rPr>
        <w:rFonts w:ascii="Times New Roman" w:eastAsia="Calibri"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5FC25924"/>
    <w:multiLevelType w:val="hybridMultilevel"/>
    <w:tmpl w:val="EDDCC70A"/>
    <w:lvl w:ilvl="0" w:tplc="CA4A0782">
      <w:start w:val="1"/>
      <w:numFmt w:val="bullet"/>
      <w:lvlText w:val="‒"/>
      <w:lvlJc w:val="left"/>
      <w:pPr>
        <w:ind w:left="720" w:hanging="360"/>
      </w:pPr>
      <w:rPr>
        <w:rFonts w:ascii="Arial" w:hAnsi="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65BE7784"/>
    <w:multiLevelType w:val="hybridMultilevel"/>
    <w:tmpl w:val="A6D6E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E50AE2"/>
    <w:multiLevelType w:val="hybridMultilevel"/>
    <w:tmpl w:val="691EF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52381B"/>
    <w:multiLevelType w:val="hybridMultilevel"/>
    <w:tmpl w:val="F0A0D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725C1E"/>
    <w:multiLevelType w:val="hybridMultilevel"/>
    <w:tmpl w:val="A4F6F368"/>
    <w:lvl w:ilvl="0" w:tplc="242028FC">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0F2517"/>
    <w:multiLevelType w:val="hybridMultilevel"/>
    <w:tmpl w:val="1D6CF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2"/>
  </w:num>
  <w:num w:numId="5">
    <w:abstractNumId w:val="9"/>
  </w:num>
  <w:num w:numId="6">
    <w:abstractNumId w:val="6"/>
  </w:num>
  <w:num w:numId="7">
    <w:abstractNumId w:val="10"/>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gutterAtTop/>
  <w:proofState w:grammar="clean"/>
  <w:attachedTemplate r:id="rId1"/>
  <w:documentProtection w:edit="readOnly" w:formatting="1" w:enforcement="0"/>
  <w:styleLockTheme/>
  <w:styleLockQFSet/>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46F"/>
    <w:rsid w:val="00006DFA"/>
    <w:rsid w:val="000107A5"/>
    <w:rsid w:val="000118B9"/>
    <w:rsid w:val="00011D5C"/>
    <w:rsid w:val="00035226"/>
    <w:rsid w:val="00055552"/>
    <w:rsid w:val="000567A4"/>
    <w:rsid w:val="00064B56"/>
    <w:rsid w:val="00067E80"/>
    <w:rsid w:val="000760AF"/>
    <w:rsid w:val="00091904"/>
    <w:rsid w:val="00092743"/>
    <w:rsid w:val="000B3D5D"/>
    <w:rsid w:val="000C4BB8"/>
    <w:rsid w:val="000C54B9"/>
    <w:rsid w:val="000D527D"/>
    <w:rsid w:val="000E346F"/>
    <w:rsid w:val="000E60F1"/>
    <w:rsid w:val="000F474C"/>
    <w:rsid w:val="00104ED2"/>
    <w:rsid w:val="00132047"/>
    <w:rsid w:val="00146CC4"/>
    <w:rsid w:val="0014701B"/>
    <w:rsid w:val="00171360"/>
    <w:rsid w:val="001732D2"/>
    <w:rsid w:val="0017364F"/>
    <w:rsid w:val="001808F8"/>
    <w:rsid w:val="00183CB5"/>
    <w:rsid w:val="001903CD"/>
    <w:rsid w:val="001D2AF5"/>
    <w:rsid w:val="002035C6"/>
    <w:rsid w:val="00204371"/>
    <w:rsid w:val="00206759"/>
    <w:rsid w:val="00207053"/>
    <w:rsid w:val="00217510"/>
    <w:rsid w:val="002228C7"/>
    <w:rsid w:val="00234967"/>
    <w:rsid w:val="00240DC8"/>
    <w:rsid w:val="00262128"/>
    <w:rsid w:val="00266177"/>
    <w:rsid w:val="0027750F"/>
    <w:rsid w:val="00297373"/>
    <w:rsid w:val="002A7559"/>
    <w:rsid w:val="002B76B6"/>
    <w:rsid w:val="002C57E6"/>
    <w:rsid w:val="002D370A"/>
    <w:rsid w:val="002E75BD"/>
    <w:rsid w:val="002F401C"/>
    <w:rsid w:val="002F6795"/>
    <w:rsid w:val="00301AFE"/>
    <w:rsid w:val="0031496E"/>
    <w:rsid w:val="003356E1"/>
    <w:rsid w:val="003357DB"/>
    <w:rsid w:val="003440EB"/>
    <w:rsid w:val="003506A7"/>
    <w:rsid w:val="00355EF7"/>
    <w:rsid w:val="00356382"/>
    <w:rsid w:val="00360A72"/>
    <w:rsid w:val="00363273"/>
    <w:rsid w:val="003800F9"/>
    <w:rsid w:val="003C55E7"/>
    <w:rsid w:val="003D60CA"/>
    <w:rsid w:val="003D61D9"/>
    <w:rsid w:val="003E38C7"/>
    <w:rsid w:val="003E43B4"/>
    <w:rsid w:val="003F27B2"/>
    <w:rsid w:val="00411274"/>
    <w:rsid w:val="004255D1"/>
    <w:rsid w:val="0043592A"/>
    <w:rsid w:val="00442C1F"/>
    <w:rsid w:val="0045314A"/>
    <w:rsid w:val="00455518"/>
    <w:rsid w:val="00457154"/>
    <w:rsid w:val="00457AE6"/>
    <w:rsid w:val="0046330E"/>
    <w:rsid w:val="00464E82"/>
    <w:rsid w:val="00467F16"/>
    <w:rsid w:val="0047606E"/>
    <w:rsid w:val="0048655C"/>
    <w:rsid w:val="004869E9"/>
    <w:rsid w:val="004926DE"/>
    <w:rsid w:val="0049287E"/>
    <w:rsid w:val="004B2AD5"/>
    <w:rsid w:val="004E4974"/>
    <w:rsid w:val="004F3840"/>
    <w:rsid w:val="00501590"/>
    <w:rsid w:val="00505F83"/>
    <w:rsid w:val="00510AC7"/>
    <w:rsid w:val="005229D1"/>
    <w:rsid w:val="00525124"/>
    <w:rsid w:val="00531933"/>
    <w:rsid w:val="00535EE5"/>
    <w:rsid w:val="0053614F"/>
    <w:rsid w:val="00536562"/>
    <w:rsid w:val="00540F25"/>
    <w:rsid w:val="0054448D"/>
    <w:rsid w:val="00545E88"/>
    <w:rsid w:val="00552A91"/>
    <w:rsid w:val="0057560E"/>
    <w:rsid w:val="00597F80"/>
    <w:rsid w:val="005A2DE2"/>
    <w:rsid w:val="005A34B0"/>
    <w:rsid w:val="005B1BC7"/>
    <w:rsid w:val="005D20E7"/>
    <w:rsid w:val="005E1D06"/>
    <w:rsid w:val="005E74F2"/>
    <w:rsid w:val="0061271C"/>
    <w:rsid w:val="006258FD"/>
    <w:rsid w:val="006379B7"/>
    <w:rsid w:val="006644C0"/>
    <w:rsid w:val="0066762A"/>
    <w:rsid w:val="006851CF"/>
    <w:rsid w:val="006A4F7C"/>
    <w:rsid w:val="006B1AE2"/>
    <w:rsid w:val="006C2E48"/>
    <w:rsid w:val="006C5B87"/>
    <w:rsid w:val="006D1CF3"/>
    <w:rsid w:val="006D5B0E"/>
    <w:rsid w:val="006D5B40"/>
    <w:rsid w:val="006D6D65"/>
    <w:rsid w:val="006E5EE1"/>
    <w:rsid w:val="006F52CB"/>
    <w:rsid w:val="00721202"/>
    <w:rsid w:val="00730FC0"/>
    <w:rsid w:val="00743973"/>
    <w:rsid w:val="00750A95"/>
    <w:rsid w:val="00750B2A"/>
    <w:rsid w:val="00751692"/>
    <w:rsid w:val="00755F50"/>
    <w:rsid w:val="00763510"/>
    <w:rsid w:val="00776BBF"/>
    <w:rsid w:val="00796DAD"/>
    <w:rsid w:val="007A7DA7"/>
    <w:rsid w:val="007B1DEA"/>
    <w:rsid w:val="007C3923"/>
    <w:rsid w:val="007D2C3B"/>
    <w:rsid w:val="007E5BB1"/>
    <w:rsid w:val="007F3862"/>
    <w:rsid w:val="007F3901"/>
    <w:rsid w:val="00801924"/>
    <w:rsid w:val="00804973"/>
    <w:rsid w:val="00821590"/>
    <w:rsid w:val="0082437E"/>
    <w:rsid w:val="00834FA1"/>
    <w:rsid w:val="008460E5"/>
    <w:rsid w:val="0085093D"/>
    <w:rsid w:val="008509DF"/>
    <w:rsid w:val="00881F7D"/>
    <w:rsid w:val="0088691D"/>
    <w:rsid w:val="008A774B"/>
    <w:rsid w:val="008B1C22"/>
    <w:rsid w:val="008C2001"/>
    <w:rsid w:val="008E4D5D"/>
    <w:rsid w:val="0091086B"/>
    <w:rsid w:val="00931BD8"/>
    <w:rsid w:val="00943BBC"/>
    <w:rsid w:val="009449BC"/>
    <w:rsid w:val="009454DD"/>
    <w:rsid w:val="00970330"/>
    <w:rsid w:val="009757ED"/>
    <w:rsid w:val="009A08BC"/>
    <w:rsid w:val="009D065D"/>
    <w:rsid w:val="009D5A2A"/>
    <w:rsid w:val="009F0728"/>
    <w:rsid w:val="009F4737"/>
    <w:rsid w:val="009F5C8F"/>
    <w:rsid w:val="00A01E70"/>
    <w:rsid w:val="00A026BE"/>
    <w:rsid w:val="00A03E2A"/>
    <w:rsid w:val="00A10194"/>
    <w:rsid w:val="00A113C9"/>
    <w:rsid w:val="00A2370D"/>
    <w:rsid w:val="00A2440E"/>
    <w:rsid w:val="00A45A62"/>
    <w:rsid w:val="00A54503"/>
    <w:rsid w:val="00A6618E"/>
    <w:rsid w:val="00A70CCB"/>
    <w:rsid w:val="00A74C73"/>
    <w:rsid w:val="00A9406F"/>
    <w:rsid w:val="00AA3D0B"/>
    <w:rsid w:val="00AA6092"/>
    <w:rsid w:val="00B03C61"/>
    <w:rsid w:val="00B04D80"/>
    <w:rsid w:val="00B341D2"/>
    <w:rsid w:val="00B343B8"/>
    <w:rsid w:val="00B440EB"/>
    <w:rsid w:val="00B53BA9"/>
    <w:rsid w:val="00B5636C"/>
    <w:rsid w:val="00B94AD5"/>
    <w:rsid w:val="00BC59FC"/>
    <w:rsid w:val="00BC5F2C"/>
    <w:rsid w:val="00BD6361"/>
    <w:rsid w:val="00C07713"/>
    <w:rsid w:val="00C17139"/>
    <w:rsid w:val="00C17F7E"/>
    <w:rsid w:val="00C3590F"/>
    <w:rsid w:val="00C4134F"/>
    <w:rsid w:val="00C76EE7"/>
    <w:rsid w:val="00C805D2"/>
    <w:rsid w:val="00CA5E43"/>
    <w:rsid w:val="00CB5BB3"/>
    <w:rsid w:val="00CC62EE"/>
    <w:rsid w:val="00CD3A20"/>
    <w:rsid w:val="00CD674A"/>
    <w:rsid w:val="00CE292B"/>
    <w:rsid w:val="00CF6C88"/>
    <w:rsid w:val="00D2329C"/>
    <w:rsid w:val="00D46C5A"/>
    <w:rsid w:val="00D56DE5"/>
    <w:rsid w:val="00D67AD8"/>
    <w:rsid w:val="00D77A88"/>
    <w:rsid w:val="00D93070"/>
    <w:rsid w:val="00D97888"/>
    <w:rsid w:val="00DA4873"/>
    <w:rsid w:val="00DB0FC8"/>
    <w:rsid w:val="00DB6176"/>
    <w:rsid w:val="00DD0BE3"/>
    <w:rsid w:val="00DE3291"/>
    <w:rsid w:val="00DE5CC5"/>
    <w:rsid w:val="00DF52E8"/>
    <w:rsid w:val="00E022C0"/>
    <w:rsid w:val="00E4003A"/>
    <w:rsid w:val="00E84494"/>
    <w:rsid w:val="00E85802"/>
    <w:rsid w:val="00E877AD"/>
    <w:rsid w:val="00EA1D78"/>
    <w:rsid w:val="00EB2851"/>
    <w:rsid w:val="00EE2A38"/>
    <w:rsid w:val="00EF0E9A"/>
    <w:rsid w:val="00EF66C1"/>
    <w:rsid w:val="00F01813"/>
    <w:rsid w:val="00F05256"/>
    <w:rsid w:val="00F20A01"/>
    <w:rsid w:val="00F31F06"/>
    <w:rsid w:val="00F354E9"/>
    <w:rsid w:val="00F40100"/>
    <w:rsid w:val="00F44A51"/>
    <w:rsid w:val="00F62F73"/>
    <w:rsid w:val="00F84CDD"/>
    <w:rsid w:val="00F917C2"/>
    <w:rsid w:val="00F92CD1"/>
    <w:rsid w:val="00FB459E"/>
    <w:rsid w:val="00FB6AC1"/>
    <w:rsid w:val="00FC0C61"/>
    <w:rsid w:val="00FC1774"/>
    <w:rsid w:val="00FD2521"/>
    <w:rsid w:val="00FD53EC"/>
    <w:rsid w:val="00FD56AB"/>
    <w:rsid w:val="00FD5D0B"/>
    <w:rsid w:val="00FE181C"/>
    <w:rsid w:val="00FF249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819A1B"/>
  <w15:chartTrackingRefBased/>
  <w15:docId w15:val="{B1F05D3F-252E-4490-AC15-FE560B5B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HAnsi"/>
        <w:sz w:val="24"/>
        <w:szCs w:val="24"/>
        <w:lang w:val="sq-AL" w:eastAsia="en-US" w:bidi="ar-SA"/>
      </w:rPr>
    </w:rPrDefault>
    <w:pPrDefault>
      <w:pPr>
        <w:spacing w:line="360" w:lineRule="auto"/>
      </w:pPr>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0"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iPriority="0" w:unhideWhenUsed="1"/>
    <w:lsdException w:name="Signature" w:locked="0" w:semiHidden="1" w:unhideWhenUsed="1"/>
    <w:lsdException w:name="Default Paragraph Font" w:locked="0" w:semiHidden="1" w:uiPriority="1" w:unhideWhenUsed="1"/>
    <w:lsdException w:name="Body Text" w:locked="0" w:semiHidden="1" w:uiPriority="0"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3800F9"/>
  </w:style>
  <w:style w:type="paragraph" w:styleId="Heading7">
    <w:name w:val="heading 7"/>
    <w:basedOn w:val="Normal"/>
    <w:next w:val="Normal"/>
    <w:link w:val="Heading7Char"/>
    <w:qFormat/>
    <w:rsid w:val="002E75BD"/>
    <w:pPr>
      <w:keepNext/>
      <w:outlineLvl w:val="6"/>
    </w:pPr>
    <w:rPr>
      <w:rFonts w:ascii="Arial" w:hAnsi="Arial" w:cs="Arial"/>
      <w:b/>
      <w:sz w:val="26"/>
      <w:szCs w:val="2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3EC"/>
    <w:pPr>
      <w:tabs>
        <w:tab w:val="center" w:pos="4513"/>
        <w:tab w:val="right" w:pos="9026"/>
      </w:tabs>
    </w:pPr>
  </w:style>
  <w:style w:type="character" w:customStyle="1" w:styleId="HeaderChar">
    <w:name w:val="Header Char"/>
    <w:basedOn w:val="DefaultParagraphFont"/>
    <w:link w:val="Header"/>
    <w:uiPriority w:val="99"/>
    <w:rsid w:val="00FD53EC"/>
  </w:style>
  <w:style w:type="paragraph" w:styleId="Footer">
    <w:name w:val="footer"/>
    <w:basedOn w:val="Normal"/>
    <w:link w:val="FooterChar"/>
    <w:uiPriority w:val="99"/>
    <w:unhideWhenUsed/>
    <w:rsid w:val="00FD53EC"/>
    <w:pPr>
      <w:tabs>
        <w:tab w:val="center" w:pos="4513"/>
        <w:tab w:val="right" w:pos="9026"/>
      </w:tabs>
    </w:pPr>
  </w:style>
  <w:style w:type="character" w:customStyle="1" w:styleId="FooterChar">
    <w:name w:val="Footer Char"/>
    <w:basedOn w:val="DefaultParagraphFont"/>
    <w:link w:val="Footer"/>
    <w:uiPriority w:val="99"/>
    <w:rsid w:val="00FD53EC"/>
  </w:style>
  <w:style w:type="table" w:styleId="TableGrid">
    <w:name w:val="Table Grid"/>
    <w:basedOn w:val="TableNormal"/>
    <w:uiPriority w:val="39"/>
    <w:locked/>
    <w:rsid w:val="00FD53E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53EC"/>
    <w:rPr>
      <w:color w:val="0563C1" w:themeColor="hyperlink"/>
      <w:u w:val="single"/>
    </w:rPr>
  </w:style>
  <w:style w:type="paragraph" w:styleId="BalloonText">
    <w:name w:val="Balloon Text"/>
    <w:basedOn w:val="Normal"/>
    <w:link w:val="BalloonTextChar"/>
    <w:uiPriority w:val="99"/>
    <w:semiHidden/>
    <w:unhideWhenUsed/>
    <w:rsid w:val="00D978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888"/>
    <w:rPr>
      <w:rFonts w:ascii="Segoe UI" w:hAnsi="Segoe UI" w:cs="Segoe UI"/>
      <w:sz w:val="18"/>
      <w:szCs w:val="18"/>
    </w:rPr>
  </w:style>
  <w:style w:type="character" w:customStyle="1" w:styleId="Heading7Char">
    <w:name w:val="Heading 7 Char"/>
    <w:basedOn w:val="DefaultParagraphFont"/>
    <w:link w:val="Heading7"/>
    <w:rsid w:val="002E75BD"/>
    <w:rPr>
      <w:rFonts w:ascii="Arial" w:eastAsia="Times New Roman" w:hAnsi="Arial" w:cs="Arial"/>
      <w:b/>
      <w:sz w:val="26"/>
      <w:szCs w:val="28"/>
      <w:lang w:val="it-IT"/>
    </w:rPr>
  </w:style>
  <w:style w:type="paragraph" w:styleId="BodyText">
    <w:name w:val="Body Text"/>
    <w:basedOn w:val="Normal"/>
    <w:link w:val="BodyTextChar"/>
    <w:rsid w:val="002E75BD"/>
    <w:pPr>
      <w:spacing w:after="220" w:line="180" w:lineRule="atLeast"/>
      <w:jc w:val="both"/>
    </w:pPr>
    <w:rPr>
      <w:rFonts w:ascii="Arial" w:hAnsi="Arial"/>
      <w:spacing w:val="-5"/>
      <w:sz w:val="20"/>
      <w:szCs w:val="20"/>
      <w:lang w:val="en-US"/>
    </w:rPr>
  </w:style>
  <w:style w:type="character" w:customStyle="1" w:styleId="BodyTextChar">
    <w:name w:val="Body Text Char"/>
    <w:basedOn w:val="DefaultParagraphFont"/>
    <w:link w:val="BodyText"/>
    <w:rsid w:val="002E75BD"/>
    <w:rPr>
      <w:rFonts w:ascii="Arial" w:eastAsia="Times New Roman" w:hAnsi="Arial" w:cs="Times New Roman"/>
      <w:spacing w:val="-5"/>
      <w:sz w:val="20"/>
      <w:szCs w:val="20"/>
      <w:lang w:val="en-US"/>
    </w:rPr>
  </w:style>
  <w:style w:type="character" w:styleId="Emphasis">
    <w:name w:val="Emphasis"/>
    <w:qFormat/>
    <w:rsid w:val="002E75BD"/>
    <w:rPr>
      <w:rFonts w:ascii="Arial Black" w:hAnsi="Arial Black"/>
      <w:sz w:val="18"/>
    </w:rPr>
  </w:style>
  <w:style w:type="paragraph" w:styleId="Closing">
    <w:name w:val="Closing"/>
    <w:basedOn w:val="BodyText"/>
    <w:next w:val="Normal"/>
    <w:link w:val="ClosingChar"/>
    <w:rsid w:val="002E75BD"/>
    <w:pPr>
      <w:keepNext/>
      <w:spacing w:after="60" w:line="220" w:lineRule="atLeast"/>
      <w:jc w:val="left"/>
    </w:pPr>
  </w:style>
  <w:style w:type="character" w:customStyle="1" w:styleId="ClosingChar">
    <w:name w:val="Closing Char"/>
    <w:basedOn w:val="DefaultParagraphFont"/>
    <w:link w:val="Closing"/>
    <w:rsid w:val="002E75BD"/>
    <w:rPr>
      <w:rFonts w:ascii="Arial" w:eastAsia="Times New Roman" w:hAnsi="Arial" w:cs="Times New Roman"/>
      <w:spacing w:val="-5"/>
      <w:sz w:val="20"/>
      <w:szCs w:val="20"/>
      <w:lang w:val="en-US"/>
    </w:rPr>
  </w:style>
  <w:style w:type="character" w:styleId="PlaceholderText">
    <w:name w:val="Placeholder Text"/>
    <w:basedOn w:val="DefaultParagraphFont"/>
    <w:uiPriority w:val="99"/>
    <w:semiHidden/>
    <w:rsid w:val="00EF0E9A"/>
    <w:rPr>
      <w:color w:val="808080"/>
    </w:rPr>
  </w:style>
  <w:style w:type="paragraph" w:customStyle="1" w:styleId="Calibri12Bold">
    <w:name w:val="Calibri 12 Bold"/>
    <w:basedOn w:val="BodyText"/>
    <w:link w:val="Calibri12BoldChar"/>
    <w:autoRedefine/>
    <w:qFormat/>
    <w:rsid w:val="002C57E6"/>
    <w:rPr>
      <w:rFonts w:ascii="Calibri" w:hAnsi="Calibri"/>
      <w:b/>
      <w:sz w:val="24"/>
      <w:lang w:val="sq-AL"/>
    </w:rPr>
  </w:style>
  <w:style w:type="paragraph" w:customStyle="1" w:styleId="CalibriBodyText">
    <w:name w:val="Calibri Body Text"/>
    <w:basedOn w:val="Normal"/>
    <w:link w:val="CalibriBodyTextChar"/>
    <w:autoRedefine/>
    <w:qFormat/>
    <w:rsid w:val="002B76B6"/>
  </w:style>
  <w:style w:type="character" w:customStyle="1" w:styleId="Calibri12BoldChar">
    <w:name w:val="Calibri 12 Bold Char"/>
    <w:basedOn w:val="BodyTextChar"/>
    <w:link w:val="Calibri12Bold"/>
    <w:rsid w:val="002C57E6"/>
    <w:rPr>
      <w:rFonts w:ascii="Calibri" w:eastAsia="Times New Roman" w:hAnsi="Calibri" w:cs="Times New Roman"/>
      <w:b/>
      <w:spacing w:val="-5"/>
      <w:sz w:val="24"/>
      <w:szCs w:val="20"/>
      <w:lang w:val="en-US"/>
    </w:rPr>
  </w:style>
  <w:style w:type="character" w:customStyle="1" w:styleId="CalibriBodyTextChar">
    <w:name w:val="Calibri Body Text Char"/>
    <w:basedOn w:val="DefaultParagraphFont"/>
    <w:link w:val="CalibriBodyText"/>
    <w:rsid w:val="002B76B6"/>
    <w:rPr>
      <w:rFonts w:ascii="Calibri" w:eastAsia="Times New Roman" w:hAnsi="Calibri" w:cs="Times New Roman"/>
      <w:sz w:val="24"/>
      <w:szCs w:val="24"/>
    </w:rPr>
  </w:style>
  <w:style w:type="character" w:customStyle="1" w:styleId="calibri10italic">
    <w:name w:val="calibri 10 italic"/>
    <w:basedOn w:val="DefaultParagraphFont"/>
    <w:uiPriority w:val="1"/>
    <w:qFormat/>
    <w:rsid w:val="00A45A62"/>
    <w:rPr>
      <w:rFonts w:ascii="Calibri" w:hAnsi="Calibri"/>
      <w:i/>
      <w:sz w:val="24"/>
    </w:rPr>
  </w:style>
  <w:style w:type="paragraph" w:styleId="NoSpacing">
    <w:name w:val="No Spacing"/>
    <w:uiPriority w:val="1"/>
    <w:qFormat/>
    <w:rsid w:val="00D93070"/>
    <w:pPr>
      <w:spacing w:line="240" w:lineRule="auto"/>
    </w:pPr>
    <w:rPr>
      <w:rFonts w:eastAsia="Calibri" w:cs="Calibri"/>
    </w:rPr>
  </w:style>
  <w:style w:type="paragraph" w:styleId="ListParagraph">
    <w:name w:val="List Paragraph"/>
    <w:basedOn w:val="Normal"/>
    <w:uiPriority w:val="34"/>
    <w:qFormat/>
    <w:rsid w:val="00931BD8"/>
    <w:pPr>
      <w:ind w:left="720"/>
      <w:contextualSpacing/>
    </w:pPr>
  </w:style>
  <w:style w:type="table" w:styleId="PlainTable2">
    <w:name w:val="Plain Table 2"/>
    <w:basedOn w:val="TableNormal"/>
    <w:uiPriority w:val="42"/>
    <w:locked/>
    <w:rsid w:val="00A1019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343B8"/>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107A5"/>
    <w:pPr>
      <w:widowControl w:val="0"/>
      <w:autoSpaceDE w:val="0"/>
      <w:autoSpaceDN w:val="0"/>
      <w:spacing w:line="240" w:lineRule="auto"/>
      <w:jc w:val="center"/>
    </w:pPr>
    <w:rPr>
      <w:rFonts w:ascii="Arial" w:eastAsia="Arial" w:hAnsi="Arial" w:cs="Arial"/>
      <w:sz w:val="22"/>
      <w:szCs w:val="22"/>
    </w:rPr>
  </w:style>
  <w:style w:type="paragraph" w:styleId="NormalWeb">
    <w:name w:val="Normal (Web)"/>
    <w:basedOn w:val="Normal"/>
    <w:uiPriority w:val="99"/>
    <w:unhideWhenUsed/>
    <w:rsid w:val="00D77A88"/>
    <w:pPr>
      <w:spacing w:before="100" w:beforeAutospacing="1" w:after="100" w:afterAutospacing="1" w:line="240" w:lineRule="auto"/>
    </w:pPr>
    <w:rPr>
      <w:rFonts w:ascii="Times New Roman" w:eastAsia="Times New Roman" w:hAnsi="Times New Roman" w:cs="Times New Roman"/>
      <w:lang w:val="sq"/>
    </w:rPr>
  </w:style>
  <w:style w:type="paragraph" w:styleId="FootnoteText">
    <w:name w:val="footnote text"/>
    <w:basedOn w:val="Normal"/>
    <w:link w:val="FootnoteTextChar"/>
    <w:uiPriority w:val="99"/>
    <w:semiHidden/>
    <w:unhideWhenUsed/>
    <w:rsid w:val="00D77A88"/>
    <w:pPr>
      <w:spacing w:line="240" w:lineRule="auto"/>
    </w:pPr>
    <w:rPr>
      <w:rFonts w:asciiTheme="minorHAnsi" w:hAnsiTheme="minorHAnsi" w:cstheme="minorBidi"/>
      <w:sz w:val="20"/>
      <w:szCs w:val="20"/>
      <w:lang w:val="sq"/>
    </w:rPr>
  </w:style>
  <w:style w:type="character" w:customStyle="1" w:styleId="FootnoteTextChar">
    <w:name w:val="Footnote Text Char"/>
    <w:basedOn w:val="DefaultParagraphFont"/>
    <w:link w:val="FootnoteText"/>
    <w:uiPriority w:val="99"/>
    <w:semiHidden/>
    <w:rsid w:val="00D77A88"/>
    <w:rPr>
      <w:rFonts w:asciiTheme="minorHAnsi" w:hAnsiTheme="minorHAnsi" w:cstheme="minorBidi"/>
      <w:sz w:val="20"/>
      <w:szCs w:val="20"/>
      <w:lang w:val="sq"/>
    </w:rPr>
  </w:style>
  <w:style w:type="character" w:styleId="FootnoteReference">
    <w:name w:val="footnote reference"/>
    <w:basedOn w:val="DefaultParagraphFont"/>
    <w:uiPriority w:val="99"/>
    <w:semiHidden/>
    <w:unhideWhenUsed/>
    <w:rsid w:val="00D77A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Brenda%20Institucion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1817</Nr_x002e__x0020_akti>
    <Data_x0020_e_x0020_Krijimit xmlns="0e656187-b300-4fb0-8bf4-3a50f872073c">2026-08-19T09:23:42Z</Data_x0020_e_x0020_Krijimit>
    <URL xmlns="0e656187-b300-4fb0-8bf4-3a50f872073c" xsi:nil="true"/>
    <Institucion_x0020_Pergjegjes xmlns="0e656187-b300-4fb0-8bf4-3a50f872073c">http://qbz.gov.al/resource/authority/legal-institution/5|autoriteti-i-konkurrences</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CAA;Shkrese zyrtare</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2026-08-19T00:00:00Z</Date_x0020_protokolli>
    <Titulli xmlns="0e656187-b300-4fb0-8bf4-3a50f872073c">Mbi miratimin e udhëzimit "Mbi imunitetin nga gjobat dhe lehtsëimin  e gjobave në rastet e marrëveshjeve të ndaluara"</Titulli>
    <Modifikuesi xmlns="0e656187-b300-4fb0-8bf4-3a50f872073c">entela.suli</Modifikuesi>
    <Nr_x002e__x0020_prot_x0020_QBZ xmlns="0e656187-b300-4fb0-8bf4-3a50f872073c">1869-2</Nr_x002e__x0020_prot_x0020_QBZ>
    <Data_x0020_e_x0020_Modifikimit xmlns="0e656187-b300-4fb0-8bf4-3a50f872073c">2026-08-21T08:54:08Z</Data_x0020_e_x0020_Modifikimit>
    <Dekretuar xmlns="0e656187-b300-4fb0-8bf4-3a50f872073c">false</Dekretuar>
    <Data xmlns="0e656187-b300-4fb0-8bf4-3a50f872073c">2026-08-17T00:00:00Z</Data>
    <Nr_x002e__x0020_protokolli_x0020_i_x0020_aktit xmlns="0e656187-b300-4fb0-8bf4-3a50f872073c">627-1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3BC783F908648C99E77847A4CA089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3BC783F908648C99E77847A4CA089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C5205-116C-48AF-BEB0-E4CCA200B5F1}">
  <ds:schemaRefs>
    <ds:schemaRef ds:uri="0e656187-b300-4fb0-8bf4-3a50f872073c"/>
    <ds:schemaRef ds:uri="http://www.w3.org/XML/1998/namespace"/>
    <ds:schemaRef ds:uri="http://purl.org/dc/dcmitype/"/>
    <ds:schemaRef ds:uri="http://schemas.microsoft.com/office/2006/metadata/properties"/>
    <ds:schemaRef ds:uri="http://purl.org/dc/terms/"/>
    <ds:schemaRef ds:uri="http://schemas.microsoft.com/office/2006/documentManagement/types"/>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A01E291B-6206-4F16-B12D-5C1E8E37870B}">
  <ds:schemaRefs>
    <ds:schemaRef ds:uri="http://schemas.microsoft.com/sharepoint/v3/contenttype/forms"/>
  </ds:schemaRefs>
</ds:datastoreItem>
</file>

<file path=customXml/itemProps3.xml><?xml version="1.0" encoding="utf-8"?>
<ds:datastoreItem xmlns:ds="http://schemas.openxmlformats.org/officeDocument/2006/customXml" ds:itemID="{B49232E6-CBF8-47DA-AF38-B418E2133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3BAE0FA-F4ED-46E4-B83F-9AFF76869996}">
  <ds:schemaRefs>
    <ds:schemaRef ds:uri="http://schemas.microsoft.com/sharepoint/v3/contenttype/forms"/>
  </ds:schemaRefs>
</ds:datastoreItem>
</file>

<file path=customXml/itemProps5.xml><?xml version="1.0" encoding="utf-8"?>
<ds:datastoreItem xmlns:ds="http://schemas.openxmlformats.org/officeDocument/2006/customXml" ds:itemID="{BB9F1215-357C-4DEE-BB34-CDEACDF0F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CBC556E-4E01-4758-8E30-5F23470FF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Brenda Institucionit</Template>
  <TotalTime>50</TotalTime>
  <Pages>9</Pages>
  <Words>4618</Words>
  <Characters>26327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Mbi miratimin e udhëzimit "Mbi imunitetin nga gjobat dhe lehtsëimin e gjobave në rastet e marrëveshjeve të ndaluara"</vt:lpstr>
    </vt:vector>
  </TitlesOfParts>
  <Company>ACA</Company>
  <LinksUpToDate>false</LinksUpToDate>
  <CharactersWithSpaces>30884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udhëzimit "Mbi imunitetin nga gjobat dhe lehtsëimin e gjobave në rastet e marrëveshjeve të ndaluara"</dc:title>
  <dc:creator>User</dc:creator>
  <cp:keywords>CAA;Shkrese zyrtare</cp:keywords>
  <cp:lastModifiedBy>Ermira Bukaci</cp:lastModifiedBy>
  <cp:revision>16</cp:revision>
  <cp:lastPrinted>2022-06-10T11:50:00Z</cp:lastPrinted>
  <dcterms:created xsi:type="dcterms:W3CDTF">2026-07-14T12:44:00Z</dcterms:created>
  <dcterms:modified xsi:type="dcterms:W3CDTF">2026-08-21T09:12:00Z</dcterms:modified>
</cp:coreProperties>
</file>