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6F50" w:rsidRPr="00CF3C41" w:rsidRDefault="000E6F50" w:rsidP="000E6F50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F3C41">
        <w:rPr>
          <w:sz w:val="21"/>
          <w:szCs w:val="21"/>
          <w:lang w:val="sq-AL"/>
        </w:rPr>
        <w:t>VENDIM</w:t>
      </w:r>
    </w:p>
    <w:p w:rsidR="000E6F50" w:rsidRPr="00CF3C41" w:rsidRDefault="000E6F50" w:rsidP="000E6F50">
      <w:pPr>
        <w:pStyle w:val="NumriData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Nr.188, datë 22.10.2010</w:t>
      </w: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</w:p>
    <w:p w:rsidR="000E6F50" w:rsidRPr="00CF3C41" w:rsidRDefault="000E6F50" w:rsidP="000E6F50">
      <w:pPr>
        <w:pStyle w:val="Titull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 xml:space="preserve">PËR VLEFSHMËRINË E LICENCËS SË SUBJEKTIT TELEVIZIV PRIVAT VENDOR </w:t>
      </w:r>
    </w:p>
    <w:p w:rsidR="000E6F50" w:rsidRPr="00CF3C41" w:rsidRDefault="000E6F50" w:rsidP="000E6F50">
      <w:pPr>
        <w:pStyle w:val="Titull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“TV COLOR”</w:t>
      </w: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Në mbështetje të nenit 7 pika 21, nenit 25 dhe nenit 33 pika 1 të ligjit nr.8410, datë 30.9.1998 “Për radion dhe televizionin publik e privat në Republikën e Shqipërisë”, të ndryshuar, vendimit nr.867, datë 12.6.2009 të KKRT-së, Këshilli Kombëtar i Radios dhe Televizionit</w:t>
      </w:r>
    </w:p>
    <w:p w:rsidR="000E6F50" w:rsidRPr="00CF3C41" w:rsidRDefault="000E6F50" w:rsidP="000E6F50">
      <w:pPr>
        <w:pStyle w:val="Paragrafi"/>
        <w:ind w:firstLine="0"/>
        <w:rPr>
          <w:sz w:val="21"/>
          <w:szCs w:val="21"/>
          <w:lang w:val="sq-AL"/>
        </w:rPr>
      </w:pPr>
    </w:p>
    <w:p w:rsidR="000E6F50" w:rsidRPr="00CF3C41" w:rsidRDefault="000E6F50" w:rsidP="000E6F50">
      <w:pPr>
        <w:pStyle w:val="VENDOS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VENDOSI:</w:t>
      </w: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1. Të bëjë të pavlefshme licencën e subjektit televiziv privat vendor “Tv Color” me nr. 069/TVL, pasi në mbarim të afatit të vlefshmërisë së licencës nuk ka shfaqur interes për rinovimin e saj.</w:t>
      </w: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2. Kundër këtij vendimi mund të bëhet ankim në gjykatë brenda 30 ditësh nga marrja dijeni, në përputhje me Kodin e Procedurës Civile, kreu “Gjykimi i mosmarrëveshjeve administrative”.</w:t>
      </w:r>
    </w:p>
    <w:p w:rsidR="000E6F50" w:rsidRPr="00CF3C41" w:rsidRDefault="000E6F50" w:rsidP="000E6F50">
      <w:pPr>
        <w:pStyle w:val="Paragrafi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Ky vendim hyn në fuqi pas botimit në Fletoren Zyrtare.</w:t>
      </w:r>
    </w:p>
    <w:p w:rsidR="000E6F50" w:rsidRPr="00CF3C41" w:rsidRDefault="000E6F50" w:rsidP="000E6F50">
      <w:pPr>
        <w:pStyle w:val="Paragrafi"/>
        <w:ind w:firstLine="0"/>
        <w:rPr>
          <w:sz w:val="21"/>
          <w:szCs w:val="21"/>
          <w:lang w:val="sq-AL"/>
        </w:rPr>
      </w:pPr>
    </w:p>
    <w:p w:rsidR="000E6F50" w:rsidRPr="00CF3C41" w:rsidRDefault="000E6F50" w:rsidP="000E6F50">
      <w:pPr>
        <w:pStyle w:val="Autoriteti"/>
        <w:keepNext w:val="0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KryetarE</w:t>
      </w:r>
    </w:p>
    <w:p w:rsidR="000E6F50" w:rsidRPr="00CF3C41" w:rsidRDefault="000E6F50" w:rsidP="000E6F50">
      <w:pPr>
        <w:pStyle w:val="AutoritetiEmer"/>
        <w:rPr>
          <w:sz w:val="21"/>
          <w:szCs w:val="21"/>
          <w:lang w:val="sq-AL"/>
        </w:rPr>
      </w:pPr>
      <w:r w:rsidRPr="00CF3C41">
        <w:rPr>
          <w:sz w:val="21"/>
          <w:szCs w:val="21"/>
          <w:lang w:val="sq-AL"/>
        </w:rPr>
        <w:t>Endira</w:t>
      </w:r>
      <w:r w:rsidRPr="00CF3C41">
        <w:rPr>
          <w:sz w:val="21"/>
          <w:szCs w:val="21"/>
          <w:lang w:val="sq-AL"/>
        </w:rPr>
        <w:tab/>
        <w:t>Bushati</w:t>
      </w:r>
    </w:p>
    <w:sectPr w:rsidR="000E6F50" w:rsidRPr="00CF3C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6F50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E6F50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1DE6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FAC7D2-3F6C-4103-90F8-D23A1F2C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0E6F50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0E6F50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0E6F5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