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A94" w:rsidRDefault="00063A94" w:rsidP="00063A94">
      <w:pPr>
        <w:pStyle w:val="Titulli"/>
      </w:pPr>
      <w:bookmarkStart w:id="0" w:name="_GoBack"/>
      <w:bookmarkEnd w:id="0"/>
      <w:r>
        <w:t xml:space="preserve">Rregullore </w:t>
      </w:r>
    </w:p>
    <w:p w:rsidR="00063A94" w:rsidRDefault="00063A94" w:rsidP="00063A94">
      <w:pPr>
        <w:pStyle w:val="TitulliTitull"/>
      </w:pPr>
      <w:r>
        <w:t>për marrëdhëniet e Bankës me personat e lidhur me të</w:t>
      </w:r>
    </w:p>
    <w:p w:rsidR="00063A94" w:rsidRDefault="00063A94" w:rsidP="00063A94">
      <w:pPr>
        <w:pStyle w:val="Paragrafi"/>
      </w:pPr>
    </w:p>
    <w:p w:rsidR="00063A94" w:rsidRPr="00717F96" w:rsidRDefault="00063A94" w:rsidP="00063A94">
      <w:pPr>
        <w:pStyle w:val="NeniTitull"/>
      </w:pPr>
      <w:r>
        <w:t>Baza ligjore dhe qëllimi</w:t>
      </w:r>
    </w:p>
    <w:p w:rsidR="00063A94" w:rsidRDefault="00063A94" w:rsidP="00063A94">
      <w:pPr>
        <w:pStyle w:val="NeniNr"/>
      </w:pPr>
      <w:r>
        <w:t>Neni 1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  <w:r>
        <w:t>1.1 Baza ligjore e kësaj rregulloreje janë ligji nr.8269, datë 23.12.1997 “Për Bankën e Shqipërisë” dhe ligji nr.8365, datë 2.7.1998 “Për bankat në Republikën e Shqipërisë”.</w:t>
      </w:r>
    </w:p>
    <w:p w:rsidR="00063A94" w:rsidRDefault="00063A94" w:rsidP="00063A94">
      <w:pPr>
        <w:pStyle w:val="Paragrafi"/>
      </w:pPr>
      <w:r>
        <w:t>1.2 Qëllimi i kësaj rregulloreje është rregullimi i marrëdhënieve të bankës dhe degës së bankës së huaj me personat e lidhur me to.</w:t>
      </w:r>
    </w:p>
    <w:p w:rsidR="00063A94" w:rsidRDefault="00063A94" w:rsidP="00063A94">
      <w:pPr>
        <w:pStyle w:val="Paragrafi"/>
      </w:pPr>
      <w:r>
        <w:t xml:space="preserve">1.3 Subjekte të kësaj rregulloreje janë bankat dhe degët e bankave të huaja të licencuara nga </w:t>
      </w:r>
      <w:smartTag w:uri="urn:schemas-microsoft-com:office:smarttags" w:element="place">
        <w:r>
          <w:t>Banka</w:t>
        </w:r>
      </w:smartTag>
      <w:r>
        <w:t xml:space="preserve"> e Shqipërisë, të cilat për thjeshtësi do t’i quajmë “bankë”.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NeniTitull"/>
      </w:pPr>
      <w:r>
        <w:t>Përcaktimet</w:t>
      </w:r>
    </w:p>
    <w:p w:rsidR="00063A94" w:rsidRDefault="00063A94" w:rsidP="00063A94">
      <w:pPr>
        <w:pStyle w:val="NeniNr"/>
      </w:pPr>
      <w:r>
        <w:t>Neni 2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  <w:r>
        <w:t>2.1 Me persona të lidhur kuptojmë dy ose më shumë individë dhe/ose persona fizikë dhe/ose persona juridikë, të cilët mund të jenë rezidentë ose jorezidentë në Republikën e Shqipërisë, që për qëllime të zbatimit të kësaj rregulloreje:</w:t>
      </w:r>
    </w:p>
    <w:p w:rsidR="00063A94" w:rsidRDefault="00063A94" w:rsidP="00063A94">
      <w:pPr>
        <w:pStyle w:val="Paragrafi"/>
      </w:pPr>
      <w:r>
        <w:t>2.1.1 Plotësojnë kuptimin e termave të nenit 2 germat f dhe germa k të ligjit nr.8365, datë 2.7.1998 “Për bankat në Republikën e Shqipërisë”, kur personi:</w:t>
      </w:r>
    </w:p>
    <w:p w:rsidR="00063A94" w:rsidRDefault="00063A94" w:rsidP="00063A94">
      <w:pPr>
        <w:pStyle w:val="Paragrafi"/>
      </w:pPr>
      <w:r>
        <w:t>- ka pjesëmarrje në kapitalin e bankës ose në kapitalin e një shoqërie tjetër, e cila është aksionere e bankës;</w:t>
      </w:r>
    </w:p>
    <w:p w:rsidR="00063A94" w:rsidRDefault="00063A94" w:rsidP="00063A94">
      <w:pPr>
        <w:pStyle w:val="Paragrafi"/>
      </w:pPr>
      <w:r>
        <w:t>- ndikon në vendimmarrjen e bankës apo të shoqërisë tjetër aksionere të bankës,</w:t>
      </w:r>
    </w:p>
    <w:p w:rsidR="00063A94" w:rsidRDefault="00063A94" w:rsidP="00063A94">
      <w:pPr>
        <w:pStyle w:val="Paragrafi"/>
      </w:pPr>
      <w:r>
        <w:t>- është zotërues direkt ose indirekt i një pjese të kapitalit që i jep atij 25 për qind ose më shumë të votave të organit më të lartë vendimmarrës të bankës ose të personit tjetër juridik;</w:t>
      </w:r>
    </w:p>
    <w:p w:rsidR="00063A94" w:rsidRDefault="00063A94" w:rsidP="00063A94">
      <w:pPr>
        <w:pStyle w:val="Paragrafi"/>
      </w:pPr>
      <w:r>
        <w:t>- i vetëm, ka në dispozicion shumicën e votave në bankë ose te personi tjetër juridik, në bazë të një marrëveshjeje të përfunduar me ortakët ose me aksionerët e tjerë;</w:t>
      </w:r>
    </w:p>
    <w:p w:rsidR="00063A94" w:rsidRDefault="00063A94" w:rsidP="00063A94">
      <w:pPr>
        <w:pStyle w:val="Paragrafi"/>
      </w:pPr>
      <w:r>
        <w:t xml:space="preserve">- përcakton, </w:t>
      </w:r>
      <w:r w:rsidRPr="00217860">
        <w:rPr>
          <w:i/>
        </w:rPr>
        <w:t>de facto</w:t>
      </w:r>
      <w:r>
        <w:t xml:space="preserve"> nëpërmjet të drejtës së votës që zotëron, vendimet e marra në mbledhjet e organit më të lartë të bankës ose të personit tjetër juridik, përfshirë dhe zgjedhjen dhe emërimin e administratorëve të bankës.</w:t>
      </w:r>
    </w:p>
    <w:p w:rsidR="00063A94" w:rsidRDefault="00063A94" w:rsidP="00063A94">
      <w:pPr>
        <w:pStyle w:val="Paragrafi"/>
      </w:pPr>
      <w:r>
        <w:t>2.1.2 Janë administratorë të bankës, në përputhje me përcaktimet e bëra në rregulloren “Për administratorë të bankës dhe të degës së bankës së huaj”, dhe familjarët e tyre.</w:t>
      </w:r>
    </w:p>
    <w:p w:rsidR="00063A94" w:rsidRDefault="00063A94" w:rsidP="00063A94">
      <w:pPr>
        <w:pStyle w:val="Paragrafi"/>
      </w:pPr>
      <w:r>
        <w:t>Në zbatim të nenit 35 të ligjit “Për bankat në Republikën e Shqipërisë”, me termin familjarë kuptojmë:</w:t>
      </w:r>
    </w:p>
    <w:p w:rsidR="00063A94" w:rsidRDefault="00063A94" w:rsidP="00063A94">
      <w:pPr>
        <w:pStyle w:val="Paragrafi"/>
        <w:ind w:left="720" w:firstLine="0"/>
      </w:pPr>
      <w:r>
        <w:t>- bashkëshorti (a) dhe fëmijët;</w:t>
      </w:r>
    </w:p>
    <w:p w:rsidR="00063A94" w:rsidRDefault="00063A94" w:rsidP="00063A94">
      <w:pPr>
        <w:pStyle w:val="Paragrafi"/>
      </w:pPr>
      <w:r>
        <w:t>- të paralindur, të paslindur, vëllezër, motra, ungjër, emta, nipër, mbesa, fëmijë të vëllezërve a të motrave.</w:t>
      </w:r>
    </w:p>
    <w:p w:rsidR="00063A94" w:rsidRDefault="00063A94" w:rsidP="00063A94">
      <w:pPr>
        <w:pStyle w:val="Paragrafi"/>
      </w:pPr>
      <w:r>
        <w:t>2.1.3 Sipas vlerësimit me shkrim të inspektorëve të mbikëqyrjes, janë financiarisht të lidhur, në mënyrë të tillë që vështirësitë financiare të njërit shkaktojnë vështirësi financiare të të tjerëve.</w:t>
      </w:r>
    </w:p>
    <w:p w:rsidR="00063A94" w:rsidRDefault="00063A94" w:rsidP="00063A94">
      <w:pPr>
        <w:pStyle w:val="Paragrafi"/>
      </w:pPr>
      <w:r>
        <w:t>2.1.4 Për zbatimin e kuadrit rregullativ të mbikëqyrjes, personat e lidhur konsiderohen si një kundërparti e vetme. Koeficienti i ponderimit për personat e lidhur njehsohet me koeficientin më të madh të ponderimit kur të paktën  dy nga përbërësit e personave të lidhur kanë secili koeficientë të ndryshëm ponderimi.</w:t>
      </w:r>
    </w:p>
    <w:p w:rsidR="00063A94" w:rsidRDefault="00063A94" w:rsidP="00063A94">
      <w:pPr>
        <w:pStyle w:val="Paragrafi"/>
      </w:pPr>
      <w:r>
        <w:t>2.2 Veprimet e bankës me personat e lidhur me të janë të gjitha veprimtaritë e lejuara të bankës, të kryera me personat e lidhur, të përcaktuara në pikën 2.1 të këtij neni.</w:t>
      </w:r>
    </w:p>
    <w:p w:rsidR="00063A94" w:rsidRDefault="00063A94" w:rsidP="00063A94">
      <w:pPr>
        <w:pStyle w:val="Paragrafi"/>
      </w:pPr>
      <w:r>
        <w:t>Veprimet me personat e lidhur trajtohen nga banka, me të njëjtat terma dhe me të njëjtat kushte si veprimet me të gjithë klientët e tjerët të bankës.</w:t>
      </w:r>
    </w:p>
    <w:p w:rsidR="00063A94" w:rsidRDefault="00063A94" w:rsidP="00063A94">
      <w:pPr>
        <w:pStyle w:val="Paragrafi"/>
      </w:pPr>
      <w:r>
        <w:t>2.3 Të drejtat ndaj personave të lidhur janë pjesë e veprimeve të bankës me personat e lidhur, në llogaritë e bilancit (kryegjë dhe interes) dhe/ose në llogaritë e jashtë bilancit të marra së bashku.</w:t>
      </w:r>
    </w:p>
    <w:p w:rsidR="00063A94" w:rsidRDefault="00063A94" w:rsidP="00063A94">
      <w:pPr>
        <w:pStyle w:val="Paragrafi"/>
      </w:pPr>
      <w:r>
        <w:t>2.4 Të drejtat neto janë të drejtat ndaj personave të lidhur kur nga ato zbriten sipas radhës:</w:t>
      </w:r>
    </w:p>
    <w:p w:rsidR="00063A94" w:rsidRDefault="00063A94" w:rsidP="00063A94">
      <w:pPr>
        <w:pStyle w:val="Paragrafi"/>
      </w:pPr>
      <w:r>
        <w:t>i) fondet rezevë për mbulimin e humbjeve të mundshme nga të drejtat për secilën prej llogarive të bilancit dhe/ose  të llogarive jashtë bilancit;</w:t>
      </w:r>
    </w:p>
    <w:p w:rsidR="00063A94" w:rsidRDefault="00063A94" w:rsidP="00063A94">
      <w:pPr>
        <w:pStyle w:val="Paragrafi"/>
      </w:pPr>
      <w:r>
        <w:t>ii) garancitë dhe/ose kolaterali i marrë, kur këto garanci ose kolaterale plotësojnë kushtet e përcaktuara në rregulloren “Për kontrollin e risqeve të mëdha”.</w:t>
      </w:r>
    </w:p>
    <w:p w:rsidR="00063A94" w:rsidRDefault="00063A94" w:rsidP="00063A94">
      <w:pPr>
        <w:pStyle w:val="Paragrafi"/>
      </w:pPr>
      <w:r>
        <w:lastRenderedPageBreak/>
        <w:t>2.5 Të drejtat në rrezik janë të drejtat neto të ponderuara me koeficientët, të përcaktuara në rregulloren “Për mjaftueshmërinë e kapitalit” dhe në përputhje me pikën 2.1.4 të këtij neni.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NeniTitull"/>
      </w:pPr>
      <w:r>
        <w:t>Kërkesat mbikëqyrëse</w:t>
      </w:r>
    </w:p>
    <w:p w:rsidR="00063A94" w:rsidRDefault="00063A94" w:rsidP="00063A94">
      <w:pPr>
        <w:pStyle w:val="NeniNr"/>
      </w:pPr>
      <w:r>
        <w:t>Neni 3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  <w:r>
        <w:t xml:space="preserve">3.1 </w:t>
      </w:r>
      <w:smartTag w:uri="urn:schemas-microsoft-com:office:smarttags" w:element="place">
        <w:r>
          <w:t>Banka</w:t>
        </w:r>
      </w:smartTag>
      <w:r>
        <w:t xml:space="preserve"> e Shqipërisë, në zbatim të nenit 37 të ligjit “Për bankat në Republikën e Shqipërisë”, përcakton kufizime për veprimet e bankës me personat e lidhur me të.</w:t>
      </w:r>
    </w:p>
    <w:p w:rsidR="00063A94" w:rsidRDefault="00063A94" w:rsidP="00063A94">
      <w:pPr>
        <w:pStyle w:val="Paragrafi"/>
      </w:pPr>
      <w:r>
        <w:t>3.2. Për personat e lidhur të bankës që zotërojnë direkt dhe/ose indirekt jo më pak se 5 për qind të kapitalit të bankës, dhe/ose për personat sipas përcaktimit 2.1.2 dhe/ose 2.1.3 të nenit 2 të kësaj rregulloreje:</w:t>
      </w:r>
    </w:p>
    <w:p w:rsidR="00063A94" w:rsidRDefault="00063A94" w:rsidP="00063A94">
      <w:pPr>
        <w:pStyle w:val="Paragrafi"/>
      </w:pPr>
      <w:r>
        <w:t>i) të drejtat në rrezik të jenë jo më të mëdha se 20 për qind të kapitalit rregullator;</w:t>
      </w:r>
    </w:p>
    <w:p w:rsidR="00063A94" w:rsidRDefault="00063A94" w:rsidP="00063A94">
      <w:pPr>
        <w:pStyle w:val="Paragrafi"/>
      </w:pPr>
      <w:r>
        <w:t>ii) të drejtat në rrezik të jenë jo më të mëdha se 30 për qind të kapitalit rregullator kur personi i lidhur është një bankë;</w:t>
      </w:r>
    </w:p>
    <w:p w:rsidR="00063A94" w:rsidRDefault="00063A94" w:rsidP="00063A94">
      <w:pPr>
        <w:pStyle w:val="Paragrafi"/>
      </w:pPr>
      <w:r>
        <w:t>iii) totali i të drejtave në rrezik të jetë jo më i madh se 300 për qind e kapitalit rregullator.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NeniTitull"/>
      </w:pPr>
      <w:r>
        <w:t>Kontrolli</w:t>
      </w:r>
    </w:p>
    <w:p w:rsidR="00063A94" w:rsidRDefault="00063A94" w:rsidP="00063A94">
      <w:pPr>
        <w:pStyle w:val="NeniNr"/>
      </w:pPr>
      <w:r>
        <w:t>Neni 4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  <w:r>
        <w:t xml:space="preserve">4.1 Organet vendimmarrëse të bankës </w:t>
      </w:r>
      <w:smartTag w:uri="urn:schemas-microsoft-com:office:smarttags" w:element="PersonName">
        <w:r>
          <w:t>mira</w:t>
        </w:r>
      </w:smartTag>
      <w:r>
        <w:t>tojnë rregulla dhe udhëzime të brendshme për:</w:t>
      </w:r>
    </w:p>
    <w:p w:rsidR="00063A94" w:rsidRDefault="00063A94" w:rsidP="00063A94">
      <w:pPr>
        <w:pStyle w:val="Paragrafi"/>
        <w:ind w:left="720" w:firstLine="0"/>
      </w:pPr>
      <w:r>
        <w:t>i) drejtimin e rrezikut të veprimeve me personat e lidhur;</w:t>
      </w:r>
    </w:p>
    <w:p w:rsidR="00063A94" w:rsidRDefault="00063A94" w:rsidP="00063A94">
      <w:pPr>
        <w:pStyle w:val="Paragrafi"/>
      </w:pPr>
      <w:r>
        <w:t>ii) politikat dhe procedurat për dhënien e kredive, në të cilat të theksohet shprehimisht se kushtet e kredive për personat e lidhur janë të njëjta me kushtet e të gjithë klientelës.</w:t>
      </w:r>
    </w:p>
    <w:p w:rsidR="00063A94" w:rsidRDefault="00063A94" w:rsidP="00063A94">
      <w:pPr>
        <w:pStyle w:val="Paragrafi"/>
      </w:pPr>
      <w:r>
        <w:t xml:space="preserve">4.2 Subjektet e kësaj rregulloreje të sigurojnë një sistem monitorimi dhe informacioni të vazhdueshëm për veprimet me personat e lidhur. </w:t>
      </w:r>
      <w:smartTag w:uri="urn:schemas-microsoft-com:office:smarttags" w:element="place">
        <w:r>
          <w:t>Banka</w:t>
        </w:r>
      </w:smartTag>
      <w:r>
        <w:t xml:space="preserve"> e Shqipërisë ka të drejtë të mbikëqyrë në çdo kohë sistemin e monitorimit dhe të informacionit të veprimeve me personat e lidhur.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NeniTitull"/>
      </w:pPr>
      <w:r>
        <w:t>Raportimi</w:t>
      </w:r>
    </w:p>
    <w:p w:rsidR="00063A94" w:rsidRDefault="00063A94" w:rsidP="00063A94">
      <w:pPr>
        <w:pStyle w:val="NeniNr"/>
      </w:pPr>
      <w:r>
        <w:t>Neni 5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  <w:r>
        <w:t>5.1 Subjektet e kësaj rregulloreje raportojnë në Bankën e Shqipërisë për veprimet me personat e lidhur sipas formatit të raportimit bashkëlidhur.</w:t>
      </w:r>
    </w:p>
    <w:p w:rsidR="00063A94" w:rsidRDefault="00063A94" w:rsidP="00063A94">
      <w:pPr>
        <w:pStyle w:val="Paragrafi"/>
      </w:pPr>
      <w:r>
        <w:t>5.2 Formularët e raportimit, nga subjektet e kësaj rregulloreje, plotësohen çdo muaj, ndërsa raportimi në Bankën e Shqipërisë, në Departamentin e Mbikëqyrjes, në sektorin e inspektimeve në vend, të bëhet më vonë se 10 ditë nga fundi i çdo tremujori. Inspektorët e Departamentit të Mbikëqyrjes kanë të drejtë të përcaktojnë afate më të shpeshta raportimi, kur e gjykojnë të arsyeshme.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NeniTitull"/>
      </w:pPr>
      <w:r>
        <w:t>Përfundimtare</w:t>
      </w:r>
    </w:p>
    <w:p w:rsidR="00063A94" w:rsidRDefault="00063A94" w:rsidP="00063A94">
      <w:pPr>
        <w:pStyle w:val="NeniNr"/>
      </w:pPr>
      <w:r>
        <w:t>Neni 6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  <w:r>
        <w:t xml:space="preserve">Kjo rregullore u </w:t>
      </w:r>
      <w:smartTag w:uri="urn:schemas-microsoft-com:office:smarttags" w:element="PersonName">
        <w:r>
          <w:t>mira</w:t>
        </w:r>
      </w:smartTag>
      <w:r>
        <w:t xml:space="preserve">tua me vendimin nr.100, datë 10.12.2003 të Këshillit të Mbikëqyrjes të Bankës së Shqipërisë dhe hyn në fuqi 15 ditë pas botimit në Fletoren Zyrtare. </w:t>
      </w:r>
    </w:p>
    <w:p w:rsidR="00063A94" w:rsidRDefault="00063A94" w:rsidP="00063A94">
      <w:pPr>
        <w:pStyle w:val="Autoriteti"/>
      </w:pPr>
      <w:r>
        <w:t>Kryetari</w:t>
      </w:r>
    </w:p>
    <w:p w:rsidR="00063A94" w:rsidRDefault="00063A94" w:rsidP="00063A94">
      <w:pPr>
        <w:pStyle w:val="AutoritetiEmer"/>
      </w:pPr>
      <w:r>
        <w:t>Shkëlqim Cani</w:t>
      </w: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TitulliTitull"/>
      </w:pPr>
      <w:r>
        <w:t>Formulari nr.1</w:t>
      </w:r>
    </w:p>
    <w:p w:rsidR="00063A94" w:rsidRDefault="00063A94" w:rsidP="00063A94">
      <w:pPr>
        <w:pStyle w:val="TitulliTitull"/>
      </w:pPr>
      <w:r>
        <w:t>Marrëdhëniet e Bankës me personin e lidhur</w:t>
      </w:r>
    </w:p>
    <w:p w:rsidR="00063A94" w:rsidRDefault="00063A94" w:rsidP="00063A94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063A94">
        <w:tc>
          <w:tcPr>
            <w:tcW w:w="9286" w:type="dxa"/>
          </w:tcPr>
          <w:p w:rsidR="00063A94" w:rsidRDefault="00063A94" w:rsidP="00063A94">
            <w:pPr>
              <w:pStyle w:val="Paragrafi"/>
              <w:ind w:firstLine="0"/>
              <w:jc w:val="left"/>
            </w:pPr>
            <w:r>
              <w:t>Emri i bankës…….</w:t>
            </w:r>
          </w:p>
          <w:p w:rsidR="00063A94" w:rsidRDefault="00063A94" w:rsidP="00063A94">
            <w:pPr>
              <w:pStyle w:val="Paragrafi"/>
              <w:ind w:firstLine="0"/>
              <w:jc w:val="left"/>
            </w:pPr>
          </w:p>
          <w:p w:rsidR="00063A94" w:rsidRDefault="00063A94" w:rsidP="00063A94">
            <w:pPr>
              <w:pStyle w:val="Paragrafi"/>
              <w:ind w:firstLine="0"/>
              <w:jc w:val="left"/>
            </w:pPr>
            <w:r>
              <w:lastRenderedPageBreak/>
              <w:t>Periudha raportuese……..</w:t>
            </w:r>
          </w:p>
          <w:p w:rsidR="00063A94" w:rsidRDefault="00063A94" w:rsidP="00063A94">
            <w:pPr>
              <w:pStyle w:val="Paragrafi"/>
              <w:ind w:firstLine="0"/>
              <w:jc w:val="left"/>
            </w:pPr>
          </w:p>
          <w:p w:rsidR="00063A94" w:rsidRDefault="00063A94" w:rsidP="00063A94">
            <w:pPr>
              <w:pStyle w:val="Paragrafi"/>
              <w:ind w:firstLine="0"/>
              <w:jc w:val="left"/>
            </w:pPr>
            <w:r>
              <w:t>Data e raportimit……..</w:t>
            </w:r>
          </w:p>
          <w:p w:rsidR="00063A94" w:rsidRDefault="00063A94" w:rsidP="00063A94">
            <w:pPr>
              <w:pStyle w:val="Paragrafi"/>
              <w:ind w:firstLine="0"/>
              <w:jc w:val="left"/>
            </w:pPr>
          </w:p>
          <w:p w:rsidR="00063A94" w:rsidRDefault="00063A94" w:rsidP="00063A94">
            <w:pPr>
              <w:pStyle w:val="Paragrafi"/>
              <w:ind w:firstLine="0"/>
              <w:jc w:val="left"/>
            </w:pPr>
            <w:r>
              <w:t>Përgatiti (Emër, mbiemër, firmë)</w:t>
            </w:r>
          </w:p>
          <w:p w:rsidR="00063A94" w:rsidRDefault="00063A94" w:rsidP="00063A94">
            <w:pPr>
              <w:pStyle w:val="Paragrafi"/>
              <w:ind w:firstLine="0"/>
              <w:jc w:val="left"/>
            </w:pPr>
          </w:p>
          <w:p w:rsidR="00063A94" w:rsidRDefault="00063A94" w:rsidP="00063A94">
            <w:pPr>
              <w:pStyle w:val="Paragrafi"/>
              <w:ind w:firstLine="0"/>
              <w:jc w:val="left"/>
            </w:pPr>
            <w:r>
              <w:t>Drejtuesi (Emër, mbiemër, firmë)</w:t>
            </w:r>
          </w:p>
        </w:tc>
      </w:tr>
    </w:tbl>
    <w:p w:rsidR="00063A94" w:rsidRDefault="00063A94" w:rsidP="00063A94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87"/>
        <w:gridCol w:w="1072"/>
        <w:gridCol w:w="1108"/>
        <w:gridCol w:w="1868"/>
        <w:gridCol w:w="1851"/>
      </w:tblGrid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Përbërja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  <w:jc w:val="center"/>
            </w:pPr>
            <w:r>
              <w:t>Të drejtat</w:t>
            </w:r>
          </w:p>
          <w:p w:rsidR="00063A94" w:rsidRDefault="00063A94" w:rsidP="00063A94">
            <w:pPr>
              <w:pStyle w:val="Tabele"/>
              <w:jc w:val="center"/>
            </w:pPr>
          </w:p>
          <w:p w:rsidR="00063A94" w:rsidRDefault="00063A94" w:rsidP="00063A94">
            <w:pPr>
              <w:pStyle w:val="Tabele"/>
              <w:jc w:val="center"/>
            </w:pPr>
          </w:p>
          <w:p w:rsidR="00063A94" w:rsidRDefault="00063A94" w:rsidP="00063A94">
            <w:pPr>
              <w:pStyle w:val="Tabele"/>
              <w:jc w:val="center"/>
            </w:pPr>
            <w:r>
              <w:t>(1)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  <w:jc w:val="center"/>
            </w:pPr>
            <w:r>
              <w:t>Detyrimet</w:t>
            </w:r>
          </w:p>
          <w:p w:rsidR="00063A94" w:rsidRDefault="00063A94" w:rsidP="00063A94">
            <w:pPr>
              <w:pStyle w:val="Tabele"/>
              <w:jc w:val="center"/>
            </w:pPr>
          </w:p>
          <w:p w:rsidR="00063A94" w:rsidRDefault="00063A94" w:rsidP="00063A94">
            <w:pPr>
              <w:pStyle w:val="Tabele"/>
              <w:jc w:val="center"/>
            </w:pPr>
          </w:p>
          <w:p w:rsidR="00063A94" w:rsidRDefault="00063A94" w:rsidP="00063A94">
            <w:pPr>
              <w:pStyle w:val="Tabele"/>
              <w:jc w:val="center"/>
            </w:pPr>
            <w:r>
              <w:t>(2)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  <w:jc w:val="center"/>
            </w:pPr>
            <w:r>
              <w:t xml:space="preserve">Veprimet jashë – bilancit </w:t>
            </w:r>
          </w:p>
          <w:p w:rsidR="00063A94" w:rsidRDefault="00063A94" w:rsidP="00063A94">
            <w:pPr>
              <w:pStyle w:val="Tabele"/>
              <w:jc w:val="center"/>
            </w:pPr>
            <w:r>
              <w:t>(të dhëna)</w:t>
            </w:r>
          </w:p>
          <w:p w:rsidR="00063A94" w:rsidRDefault="00063A94" w:rsidP="00063A94">
            <w:pPr>
              <w:pStyle w:val="Tabele"/>
              <w:jc w:val="center"/>
            </w:pPr>
            <w:r>
              <w:t>(3)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  <w:jc w:val="center"/>
            </w:pPr>
            <w:r>
              <w:t xml:space="preserve">Veprimet jashtë- bilancit </w:t>
            </w:r>
          </w:p>
          <w:p w:rsidR="00063A94" w:rsidRDefault="00063A94" w:rsidP="00063A94">
            <w:pPr>
              <w:pStyle w:val="Tabele"/>
              <w:jc w:val="center"/>
            </w:pPr>
            <w:r>
              <w:t>(të marra)</w:t>
            </w:r>
          </w:p>
          <w:p w:rsidR="00063A94" w:rsidRDefault="00063A94" w:rsidP="00063A94">
            <w:pPr>
              <w:pStyle w:val="Tabele"/>
              <w:jc w:val="center"/>
            </w:pPr>
            <w:r>
              <w:t>(4)</w:t>
            </w: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a. Individ: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b. Person fizik: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c. Person juridik: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Pr="007C1BF6" w:rsidRDefault="00063A94" w:rsidP="00063A94">
            <w:pPr>
              <w:pStyle w:val="Tabele"/>
              <w:rPr>
                <w:b/>
              </w:rPr>
            </w:pPr>
            <w:r w:rsidRPr="00FD5056">
              <w:t>1.Veprimet me personin e lidhur</w:t>
            </w:r>
            <w:r w:rsidRPr="007C1BF6">
              <w:rPr>
                <w:b/>
              </w:rPr>
              <w:t xml:space="preserve">  </w:t>
            </w:r>
            <w:r w:rsidRPr="00FD5056">
              <w:t>(a+b+c)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a. Individ: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b. Person fizik: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c. Person juridik: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Pr="00FD5056" w:rsidRDefault="00063A94" w:rsidP="00063A94">
            <w:pPr>
              <w:pStyle w:val="Tabele"/>
            </w:pPr>
            <w:r w:rsidRPr="00FD5056">
              <w:t>2. Veprimet me personin e lidhur  (a+b+c)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a. Individ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b. Person fizik: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c. Person juridik: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--------------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Pr="00FD5056" w:rsidRDefault="00063A94" w:rsidP="00063A94">
            <w:pPr>
              <w:pStyle w:val="Tabele"/>
            </w:pPr>
            <w:r w:rsidRPr="00FD5056">
              <w:t>n. Veprimet me personin e lidhur  (a+b+c)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Pr="007C1BF6" w:rsidRDefault="00063A94" w:rsidP="00063A94">
            <w:pPr>
              <w:pStyle w:val="Tabele"/>
              <w:rPr>
                <w:b/>
              </w:rPr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  <w:tr w:rsidR="00063A94">
        <w:tc>
          <w:tcPr>
            <w:tcW w:w="0" w:type="auto"/>
          </w:tcPr>
          <w:p w:rsidR="00063A94" w:rsidRPr="00FD5056" w:rsidRDefault="00063A94" w:rsidP="00063A94">
            <w:pPr>
              <w:pStyle w:val="Tabele"/>
            </w:pPr>
            <w:r w:rsidRPr="00FD5056">
              <w:t>Totali i veprimeve me personat e lidhur (1+2+..+n)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  <w:r>
              <w:t>//////////////</w:t>
            </w: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  <w:tc>
          <w:tcPr>
            <w:tcW w:w="0" w:type="auto"/>
          </w:tcPr>
          <w:p w:rsidR="00063A94" w:rsidRDefault="00063A94" w:rsidP="00063A94">
            <w:pPr>
              <w:pStyle w:val="Tabele"/>
            </w:pPr>
          </w:p>
        </w:tc>
      </w:tr>
    </w:tbl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Paragrafi"/>
      </w:pPr>
    </w:p>
    <w:p w:rsidR="00063A94" w:rsidRDefault="00063A94" w:rsidP="00063A94">
      <w:pPr>
        <w:pStyle w:val="TitulliTitull"/>
      </w:pPr>
      <w:r>
        <w:t>Formulari nr.2</w:t>
      </w:r>
    </w:p>
    <w:p w:rsidR="00063A94" w:rsidRDefault="00063A94" w:rsidP="00063A94">
      <w:pPr>
        <w:pStyle w:val="TitulliTitull"/>
      </w:pPr>
      <w:r>
        <w:t>Kërkesat mbikËqyrëse të vepriMeve të bankës me personin e lidhur</w:t>
      </w:r>
    </w:p>
    <w:p w:rsidR="00063A94" w:rsidRDefault="00063A94" w:rsidP="00063A94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286"/>
      </w:tblGrid>
      <w:tr w:rsidR="00063A94">
        <w:tc>
          <w:tcPr>
            <w:tcW w:w="9286" w:type="dxa"/>
          </w:tcPr>
          <w:p w:rsidR="00063A94" w:rsidRDefault="00063A94" w:rsidP="00063A94">
            <w:pPr>
              <w:pStyle w:val="Paragrafi"/>
              <w:ind w:firstLine="0"/>
            </w:pPr>
            <w:r>
              <w:t>Emri i bankës…….</w:t>
            </w:r>
          </w:p>
          <w:p w:rsidR="00063A94" w:rsidRDefault="00063A94" w:rsidP="00063A94">
            <w:pPr>
              <w:pStyle w:val="Paragrafi"/>
              <w:ind w:firstLine="0"/>
            </w:pPr>
          </w:p>
          <w:p w:rsidR="00063A94" w:rsidRDefault="00063A94" w:rsidP="00063A94">
            <w:pPr>
              <w:pStyle w:val="Paragrafi"/>
              <w:ind w:firstLine="0"/>
            </w:pPr>
            <w:r>
              <w:t>Periudha raportuese……..</w:t>
            </w:r>
          </w:p>
          <w:p w:rsidR="00063A94" w:rsidRDefault="00063A94" w:rsidP="00063A94">
            <w:pPr>
              <w:pStyle w:val="Paragrafi"/>
              <w:ind w:firstLine="0"/>
            </w:pPr>
          </w:p>
          <w:p w:rsidR="00063A94" w:rsidRDefault="00063A94" w:rsidP="00063A94">
            <w:pPr>
              <w:pStyle w:val="Paragrafi"/>
              <w:ind w:firstLine="0"/>
            </w:pPr>
            <w:r>
              <w:t>Data e raportimit……..</w:t>
            </w:r>
          </w:p>
          <w:p w:rsidR="00063A94" w:rsidRDefault="00063A94" w:rsidP="00063A94">
            <w:pPr>
              <w:pStyle w:val="Paragrafi"/>
              <w:ind w:firstLine="0"/>
            </w:pPr>
          </w:p>
          <w:p w:rsidR="00063A94" w:rsidRDefault="00063A94" w:rsidP="00063A94">
            <w:pPr>
              <w:pStyle w:val="Paragrafi"/>
              <w:ind w:firstLine="0"/>
            </w:pPr>
            <w:r>
              <w:lastRenderedPageBreak/>
              <w:t>Përgatiti (Emër, mbiemër, firmë)</w:t>
            </w:r>
          </w:p>
          <w:p w:rsidR="00063A94" w:rsidRDefault="00063A94" w:rsidP="00063A94">
            <w:pPr>
              <w:pStyle w:val="Paragrafi"/>
              <w:ind w:firstLine="0"/>
            </w:pPr>
          </w:p>
          <w:p w:rsidR="00063A94" w:rsidRDefault="00063A94" w:rsidP="00063A94">
            <w:pPr>
              <w:pStyle w:val="Paragrafi"/>
              <w:ind w:firstLine="0"/>
            </w:pPr>
            <w:r>
              <w:t>Drejtuesi (Emër, mbiemër, firmë)</w:t>
            </w:r>
          </w:p>
        </w:tc>
      </w:tr>
    </w:tbl>
    <w:p w:rsidR="00063A94" w:rsidRDefault="00063A94" w:rsidP="00063A94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128"/>
        <w:gridCol w:w="2158"/>
      </w:tblGrid>
      <w:tr w:rsidR="00063A94">
        <w:tc>
          <w:tcPr>
            <w:tcW w:w="7128" w:type="dxa"/>
          </w:tcPr>
          <w:p w:rsidR="00063A94" w:rsidRDefault="00063A94" w:rsidP="00063A94">
            <w:pPr>
              <w:pStyle w:val="Tabele"/>
              <w:widowControl w:val="0"/>
            </w:pPr>
            <w:r>
              <w:t>Kapitali rregullator</w:t>
            </w:r>
          </w:p>
        </w:tc>
        <w:tc>
          <w:tcPr>
            <w:tcW w:w="2158" w:type="dxa"/>
          </w:tcPr>
          <w:p w:rsidR="00063A94" w:rsidRDefault="00063A94" w:rsidP="00063A94">
            <w:pPr>
              <w:pStyle w:val="Tabele"/>
              <w:widowControl w:val="0"/>
            </w:pPr>
            <w:r>
              <w:t>Shumat</w:t>
            </w:r>
          </w:p>
        </w:tc>
      </w:tr>
      <w:tr w:rsidR="00063A94">
        <w:tc>
          <w:tcPr>
            <w:tcW w:w="7128" w:type="dxa"/>
          </w:tcPr>
          <w:p w:rsidR="00063A94" w:rsidRDefault="00063A94" w:rsidP="00063A94">
            <w:pPr>
              <w:pStyle w:val="Tabele"/>
              <w:widowControl w:val="0"/>
            </w:pPr>
          </w:p>
        </w:tc>
        <w:tc>
          <w:tcPr>
            <w:tcW w:w="2158" w:type="dxa"/>
          </w:tcPr>
          <w:p w:rsidR="00063A94" w:rsidRDefault="00063A94" w:rsidP="00063A94">
            <w:pPr>
              <w:pStyle w:val="Tabele"/>
              <w:widowControl w:val="0"/>
            </w:pPr>
          </w:p>
        </w:tc>
      </w:tr>
      <w:tr w:rsidR="00063A94">
        <w:tc>
          <w:tcPr>
            <w:tcW w:w="7128" w:type="dxa"/>
          </w:tcPr>
          <w:p w:rsidR="00063A94" w:rsidRDefault="00063A94" w:rsidP="00063A94">
            <w:pPr>
              <w:pStyle w:val="Tabele"/>
              <w:widowControl w:val="0"/>
            </w:pPr>
            <w:r>
              <w:t>(20%) e kapitalit rregullator:</w:t>
            </w:r>
          </w:p>
        </w:tc>
        <w:tc>
          <w:tcPr>
            <w:tcW w:w="2158" w:type="dxa"/>
          </w:tcPr>
          <w:p w:rsidR="00063A94" w:rsidRDefault="00063A94" w:rsidP="00063A94">
            <w:pPr>
              <w:pStyle w:val="Tabele"/>
              <w:widowControl w:val="0"/>
            </w:pPr>
            <w:r>
              <w:t>//////////////////////////</w:t>
            </w:r>
          </w:p>
        </w:tc>
      </w:tr>
      <w:tr w:rsidR="00063A94">
        <w:tc>
          <w:tcPr>
            <w:tcW w:w="7128" w:type="dxa"/>
          </w:tcPr>
          <w:p w:rsidR="00063A94" w:rsidRDefault="00063A94" w:rsidP="00063A94">
            <w:pPr>
              <w:pStyle w:val="Tabele"/>
              <w:widowControl w:val="0"/>
            </w:pPr>
            <w:r>
              <w:t>(30%) e kapitalit rregullator:</w:t>
            </w:r>
          </w:p>
        </w:tc>
        <w:tc>
          <w:tcPr>
            <w:tcW w:w="2158" w:type="dxa"/>
          </w:tcPr>
          <w:p w:rsidR="00063A94" w:rsidRDefault="00063A94" w:rsidP="00063A94">
            <w:pPr>
              <w:pStyle w:val="Tabele"/>
              <w:widowControl w:val="0"/>
            </w:pPr>
            <w:r>
              <w:t>//////////////////////////</w:t>
            </w:r>
          </w:p>
        </w:tc>
      </w:tr>
      <w:tr w:rsidR="00063A94">
        <w:tc>
          <w:tcPr>
            <w:tcW w:w="7128" w:type="dxa"/>
          </w:tcPr>
          <w:p w:rsidR="00063A94" w:rsidRDefault="00063A94" w:rsidP="00063A94">
            <w:pPr>
              <w:pStyle w:val="Tabele"/>
              <w:widowControl w:val="0"/>
            </w:pPr>
            <w:r>
              <w:t>(300%) e kapitalit rregullator:</w:t>
            </w:r>
          </w:p>
        </w:tc>
        <w:tc>
          <w:tcPr>
            <w:tcW w:w="2158" w:type="dxa"/>
          </w:tcPr>
          <w:p w:rsidR="00063A94" w:rsidRDefault="00063A94" w:rsidP="00063A94">
            <w:pPr>
              <w:pStyle w:val="Tabele"/>
              <w:widowControl w:val="0"/>
            </w:pPr>
            <w:r>
              <w:t>//////////////////////////</w:t>
            </w:r>
          </w:p>
        </w:tc>
      </w:tr>
      <w:tr w:rsidR="00063A94">
        <w:tc>
          <w:tcPr>
            <w:tcW w:w="7128" w:type="dxa"/>
          </w:tcPr>
          <w:p w:rsidR="00063A94" w:rsidRDefault="00063A94" w:rsidP="00063A94">
            <w:pPr>
              <w:pStyle w:val="Tabele"/>
              <w:widowControl w:val="0"/>
            </w:pPr>
          </w:p>
        </w:tc>
        <w:tc>
          <w:tcPr>
            <w:tcW w:w="2158" w:type="dxa"/>
          </w:tcPr>
          <w:p w:rsidR="00063A94" w:rsidRDefault="00063A94" w:rsidP="00063A94">
            <w:pPr>
              <w:pStyle w:val="Tabele"/>
              <w:widowControl w:val="0"/>
            </w:pPr>
          </w:p>
        </w:tc>
      </w:tr>
    </w:tbl>
    <w:p w:rsidR="00063A94" w:rsidRDefault="00063A94" w:rsidP="00063A94">
      <w:pPr>
        <w:pStyle w:val="Paragrafi"/>
      </w:pPr>
    </w:p>
    <w:tbl>
      <w:tblPr>
        <w:tblStyle w:val="TableGrid"/>
        <w:tblW w:w="9522" w:type="dxa"/>
        <w:tblLayout w:type="fixed"/>
        <w:tblLook w:val="01E0" w:firstRow="1" w:lastRow="1" w:firstColumn="1" w:lastColumn="1" w:noHBand="0" w:noVBand="0"/>
      </w:tblPr>
      <w:tblGrid>
        <w:gridCol w:w="1728"/>
        <w:gridCol w:w="1098"/>
        <w:gridCol w:w="1225"/>
        <w:gridCol w:w="1097"/>
        <w:gridCol w:w="1679"/>
        <w:gridCol w:w="1407"/>
        <w:gridCol w:w="1288"/>
      </w:tblGrid>
      <w:tr w:rsidR="00063A94">
        <w:tc>
          <w:tcPr>
            <w:tcW w:w="1728" w:type="dxa"/>
          </w:tcPr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Veprimet me personat e lidhur</w:t>
            </w:r>
          </w:p>
        </w:tc>
        <w:tc>
          <w:tcPr>
            <w:tcW w:w="1098" w:type="dxa"/>
          </w:tcPr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Të drejtat</w:t>
            </w: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 xml:space="preserve">(1) </w:t>
            </w:r>
            <w:r w:rsidRPr="008358E5"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225" w:type="dxa"/>
          </w:tcPr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Fondet rezervë</w:t>
            </w: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(2)</w:t>
            </w: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Garancitë dhe/ose kolateralet e marra (3)</w:t>
            </w:r>
          </w:p>
        </w:tc>
        <w:tc>
          <w:tcPr>
            <w:tcW w:w="1679" w:type="dxa"/>
          </w:tcPr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 xml:space="preserve">Të drejtat neto </w:t>
            </w: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rFonts w:cs="CG Times"/>
                <w:sz w:val="20"/>
              </w:rPr>
            </w:pPr>
            <w:r w:rsidRPr="008358E5">
              <w:rPr>
                <w:sz w:val="20"/>
              </w:rPr>
              <w:t>(4) = (1) – {(2) + (3)}</w:t>
            </w: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Ponderimi</w:t>
            </w: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(5)</w:t>
            </w:r>
          </w:p>
        </w:tc>
        <w:tc>
          <w:tcPr>
            <w:tcW w:w="1288" w:type="dxa"/>
          </w:tcPr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 xml:space="preserve">Të drejtat në rrezik </w:t>
            </w: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</w:p>
          <w:p w:rsidR="00063A94" w:rsidRPr="008358E5" w:rsidRDefault="00063A94" w:rsidP="00063A94">
            <w:pPr>
              <w:pStyle w:val="Paragrafi"/>
              <w:ind w:firstLine="0"/>
              <w:jc w:val="center"/>
              <w:rPr>
                <w:sz w:val="20"/>
              </w:rPr>
            </w:pPr>
            <w:r w:rsidRPr="008358E5">
              <w:rPr>
                <w:sz w:val="20"/>
              </w:rPr>
              <w:t>(6)=(4)*(5)</w:t>
            </w:r>
          </w:p>
        </w:tc>
      </w:tr>
      <w:tr w:rsidR="00063A94">
        <w:tc>
          <w:tcPr>
            <w:tcW w:w="172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  <w:r w:rsidRPr="008358E5">
              <w:rPr>
                <w:sz w:val="20"/>
              </w:rPr>
              <w:t>1. Veprimet me personin e lidhur (nga formulari nr.1)</w:t>
            </w:r>
          </w:p>
        </w:tc>
        <w:tc>
          <w:tcPr>
            <w:tcW w:w="109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5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79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8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</w:tr>
      <w:tr w:rsidR="00063A94">
        <w:tc>
          <w:tcPr>
            <w:tcW w:w="172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5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79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8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</w:tr>
      <w:tr w:rsidR="00063A94">
        <w:tc>
          <w:tcPr>
            <w:tcW w:w="172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8358E5">
              <w:rPr>
                <w:sz w:val="20"/>
              </w:rPr>
              <w:t>. Veprimet me personin e lidhur (nga formulari nr.1)</w:t>
            </w:r>
          </w:p>
        </w:tc>
        <w:tc>
          <w:tcPr>
            <w:tcW w:w="109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5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79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8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</w:tr>
      <w:tr w:rsidR="00063A94">
        <w:tc>
          <w:tcPr>
            <w:tcW w:w="172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5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79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8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</w:tr>
      <w:tr w:rsidR="00063A94">
        <w:tc>
          <w:tcPr>
            <w:tcW w:w="172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n. Veprimet me personin e lidhur (nga formulari nr.1)</w:t>
            </w:r>
          </w:p>
        </w:tc>
        <w:tc>
          <w:tcPr>
            <w:tcW w:w="109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5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79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8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</w:tr>
      <w:tr w:rsidR="00063A94">
        <w:tc>
          <w:tcPr>
            <w:tcW w:w="172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5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79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8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</w:tr>
      <w:tr w:rsidR="00063A94">
        <w:tc>
          <w:tcPr>
            <w:tcW w:w="1728" w:type="dxa"/>
          </w:tcPr>
          <w:p w:rsidR="00063A94" w:rsidRDefault="00063A94" w:rsidP="00063A94">
            <w:pPr>
              <w:pStyle w:val="Paragrafi"/>
              <w:ind w:firstLine="0"/>
              <w:rPr>
                <w:sz w:val="20"/>
              </w:rPr>
            </w:pPr>
            <w:r w:rsidRPr="00F25F41">
              <w:rPr>
                <w:sz w:val="20"/>
              </w:rPr>
              <w:t>Totali i v</w:t>
            </w:r>
            <w:r>
              <w:rPr>
                <w:sz w:val="20"/>
              </w:rPr>
              <w:t>eprimeve me personat e lidhur</w:t>
            </w:r>
          </w:p>
          <w:p w:rsidR="00063A94" w:rsidRPr="00F25F41" w:rsidRDefault="00063A94" w:rsidP="00063A94">
            <w:pPr>
              <w:pStyle w:val="Paragrafi"/>
              <w:ind w:firstLine="0"/>
              <w:rPr>
                <w:sz w:val="20"/>
              </w:rPr>
            </w:pPr>
            <w:r w:rsidRPr="00F25F41">
              <w:rPr>
                <w:sz w:val="20"/>
              </w:rPr>
              <w:t>(1+2+..+n)</w:t>
            </w:r>
          </w:p>
        </w:tc>
        <w:tc>
          <w:tcPr>
            <w:tcW w:w="109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25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9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679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407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288" w:type="dxa"/>
          </w:tcPr>
          <w:p w:rsidR="00063A94" w:rsidRPr="008358E5" w:rsidRDefault="00063A94" w:rsidP="00063A94">
            <w:pPr>
              <w:pStyle w:val="Paragrafi"/>
              <w:ind w:firstLine="0"/>
              <w:rPr>
                <w:sz w:val="20"/>
              </w:rPr>
            </w:pPr>
          </w:p>
        </w:tc>
      </w:tr>
    </w:tbl>
    <w:p w:rsidR="00063A94" w:rsidRPr="00AE44E4" w:rsidRDefault="00063A94" w:rsidP="00063A94">
      <w:pPr>
        <w:pStyle w:val="Paragrafi"/>
      </w:pPr>
    </w:p>
    <w:p w:rsidR="00063A94" w:rsidRPr="00C85B57" w:rsidRDefault="00063A94" w:rsidP="00063A94">
      <w:pPr>
        <w:pStyle w:val="Akti"/>
      </w:pPr>
      <w:r w:rsidRPr="00C85B57">
        <w:br w:type="page"/>
      </w:r>
      <w:r w:rsidRPr="00C85B57">
        <w:lastRenderedPageBreak/>
        <w:t xml:space="preserve">Për disa ndryshime </w:t>
      </w:r>
    </w:p>
    <w:p w:rsidR="00063A94" w:rsidRPr="00C85B57" w:rsidRDefault="00063A94" w:rsidP="00063A94">
      <w:pPr>
        <w:pStyle w:val="Akti"/>
      </w:pPr>
      <w:r w:rsidRPr="00C85B57">
        <w:t>në rregulloren “Për veprimtarinë valutore”,</w:t>
      </w:r>
    </w:p>
    <w:p w:rsidR="00063A94" w:rsidRPr="00C85B57" w:rsidRDefault="00063A94" w:rsidP="00063A94">
      <w:pPr>
        <w:pStyle w:val="Akti"/>
      </w:pPr>
      <w:r w:rsidRPr="00C85B57">
        <w:t xml:space="preserve"> mira</w:t>
      </w:r>
      <w:r>
        <w:t>tuar me vendim nr. 64, datë 30.</w:t>
      </w:r>
      <w:r w:rsidRPr="00C85B57">
        <w:t xml:space="preserve">7.2003 </w:t>
      </w:r>
    </w:p>
    <w:p w:rsidR="00063A94" w:rsidRPr="00C85B57" w:rsidRDefault="00063A94" w:rsidP="00063A94">
      <w:pPr>
        <w:pStyle w:val="Akti"/>
      </w:pPr>
      <w:r w:rsidRPr="00C85B57">
        <w:t xml:space="preserve">të Këshillit Mbikëqyrës </w:t>
      </w:r>
      <w:r>
        <w:t>TË Bankës së Shqipërisë</w:t>
      </w:r>
      <w:r w:rsidRPr="00C85B57">
        <w:t xml:space="preserve"> </w:t>
      </w:r>
    </w:p>
    <w:p w:rsidR="00063A94" w:rsidRPr="00C85B57" w:rsidRDefault="00063A94" w:rsidP="00063A94"/>
    <w:p w:rsidR="00063A94" w:rsidRPr="00C85B57" w:rsidRDefault="00063A94" w:rsidP="00063A94">
      <w:pPr>
        <w:pStyle w:val="Paragrafi"/>
      </w:pPr>
      <w:r>
        <w:t>Në udhëzimin 1</w:t>
      </w:r>
      <w:r w:rsidRPr="00C85B57">
        <w:t xml:space="preserve"> të rregullores “Për veprimtarinë valutore”, </w:t>
      </w:r>
      <w:smartTag w:uri="urn:schemas-microsoft-com:office:smarttags" w:element="PersonName">
        <w:r w:rsidRPr="00C85B57">
          <w:t>mira</w:t>
        </w:r>
      </w:smartTag>
      <w:r>
        <w:t>tuar me vendim nr.64, datë 30.</w:t>
      </w:r>
      <w:r w:rsidRPr="00C85B57">
        <w:t>7.2003 të Këshillit Mbikëqyrës, b</w:t>
      </w:r>
      <w:r>
        <w:t xml:space="preserve">ëhen ndryshimet si më poshtë: </w:t>
      </w:r>
    </w:p>
    <w:p w:rsidR="00063A94" w:rsidRPr="00C85B57" w:rsidRDefault="00063A94" w:rsidP="00063A94">
      <w:pPr>
        <w:pStyle w:val="Paragrafi"/>
      </w:pPr>
      <w:r>
        <w:t xml:space="preserve">1. </w:t>
      </w:r>
      <w:r w:rsidRPr="00C85B57">
        <w:t>Pika 1.</w:t>
      </w:r>
      <w:r>
        <w:t>1 germa b ndryshohet si vijon</w:t>
      </w:r>
      <w:r w:rsidRPr="00C85B57">
        <w:t>: “fatura pro-forma dhe/ose kontrata ku përcaktohet dhe forma e pagesës”.</w:t>
      </w:r>
    </w:p>
    <w:p w:rsidR="00063A94" w:rsidRPr="00C85B57" w:rsidRDefault="00063A94" w:rsidP="00063A94">
      <w:pPr>
        <w:pStyle w:val="Paragrafi"/>
      </w:pPr>
      <w:r>
        <w:t xml:space="preserve">2. </w:t>
      </w:r>
      <w:r w:rsidRPr="00C85B57">
        <w:t>Pika 2.</w:t>
      </w:r>
      <w:r>
        <w:t>1 germa b ndryshohet si vijon: “fatura përkatëse e subjektit-</w:t>
      </w:r>
      <w:r w:rsidRPr="00C85B57">
        <w:t>ose një dokument, i cili vërteton qëllimin për të cilin kërkohet kryerja e transfertës, dhe/ose kontrata dhe/ose marrëv</w:t>
      </w:r>
      <w:r>
        <w:t>eshja përkatëse”.</w:t>
      </w:r>
    </w:p>
    <w:p w:rsidR="00063A94" w:rsidRPr="00C85B57" w:rsidRDefault="00063A94" w:rsidP="00063A94">
      <w:pPr>
        <w:pStyle w:val="Paragrafi"/>
      </w:pPr>
      <w:r>
        <w:t>3. Pika 2.1 ge</w:t>
      </w:r>
      <w:r w:rsidRPr="00C85B57">
        <w:t xml:space="preserve">rma c shfuqizohet. </w:t>
      </w:r>
    </w:p>
    <w:p w:rsidR="00063A94" w:rsidRPr="00C85B57" w:rsidRDefault="00063A94" w:rsidP="00063A94">
      <w:pPr>
        <w:pStyle w:val="Paragrafi"/>
      </w:pPr>
      <w:r>
        <w:t xml:space="preserve">4. </w:t>
      </w:r>
      <w:r w:rsidRPr="00C85B57">
        <w:t>Pika 1.1</w:t>
      </w:r>
      <w:r>
        <w:t xml:space="preserve"> germa c1 ndryshohet si vijon</w:t>
      </w:r>
      <w:r w:rsidRPr="00C85B57">
        <w:t>: “në rastet e pagesës së pjesshme të shumës totale, në përputhje me kushtet e kontratës, afati maksimal i paraqitjes së aktit të zhdoganimit të mallit të paguar është deri në tre muaj pas kryerjes së pagesës. Me kalimin e këtij afati nuk do të k</w:t>
      </w:r>
      <w:r>
        <w:t xml:space="preserve">ryhet pagesa e </w:t>
      </w:r>
      <w:r w:rsidRPr="00C85B57">
        <w:t xml:space="preserve">radhës për këtë mall deri në paraqitjen e aktit të zhdoganimit të mallit të paguar. Përjashtim </w:t>
      </w:r>
      <w:r>
        <w:t>bëjnë rastet kur afati i li</w:t>
      </w:r>
      <w:r w:rsidRPr="00C85B57">
        <w:t>vrimit të mallit ose i kryerjes së shërbimit është përcaktuar ndryshe në kontrat</w:t>
      </w:r>
      <w:r>
        <w:t>ë, por jo më shumë se 12 muaj.”</w:t>
      </w:r>
    </w:p>
    <w:p w:rsidR="00063A94" w:rsidRPr="00C85B57" w:rsidRDefault="00063A94" w:rsidP="00063A94">
      <w:pPr>
        <w:pStyle w:val="Paragrafi"/>
      </w:pPr>
      <w:r>
        <w:t xml:space="preserve">5. </w:t>
      </w:r>
      <w:r w:rsidRPr="00C85B57">
        <w:t>Pika 1 “Transfertat për veprimet tregtar</w:t>
      </w:r>
      <w:r>
        <w:t>e për mallrat” shtohet pika 1.5 me këtë përmbajtje</w:t>
      </w:r>
      <w:r w:rsidRPr="00C85B57">
        <w:t>:</w:t>
      </w:r>
    </w:p>
    <w:p w:rsidR="00063A94" w:rsidRPr="00C85B57" w:rsidRDefault="00063A94" w:rsidP="00063A94">
      <w:pPr>
        <w:pStyle w:val="Paragrafi"/>
      </w:pPr>
      <w:r>
        <w:t>" 1.5</w:t>
      </w:r>
      <w:r w:rsidRPr="00C85B57">
        <w:t xml:space="preserve"> Kur pagesa kryhet paradhënie ose para mbërritjes së mallit në Republikën e Shqipërisë për shumat deri në 3.5 milionë lekë ose ekuivalenten e saj në monedhë të huaj të llogaritur me kursin</w:t>
      </w:r>
      <w:r>
        <w:t xml:space="preserve"> e ditës së kryerjes së pagesës</w:t>
      </w:r>
      <w:r w:rsidRPr="00C85B57">
        <w:t xml:space="preserve">: </w:t>
      </w:r>
    </w:p>
    <w:p w:rsidR="00063A94" w:rsidRPr="00C85B57" w:rsidRDefault="00063A94" w:rsidP="00063A94">
      <w:pPr>
        <w:pStyle w:val="Paragrafi"/>
      </w:pPr>
      <w:r>
        <w:t xml:space="preserve">a) </w:t>
      </w:r>
      <w:r w:rsidRPr="00C85B57">
        <w:t xml:space="preserve">Kërkesa për kryerjen e veprimit, ku jepet përshkrimi i natyrës dhe i qëllimit për të cilin kryhet, nënshkruar nga vetë kërkuesi. </w:t>
      </w:r>
      <w:smartTag w:uri="urn:schemas-microsoft-com:office:smarttags" w:element="place">
        <w:r w:rsidRPr="00C85B57">
          <w:t>Po</w:t>
        </w:r>
      </w:smartTag>
      <w:r w:rsidRPr="00C85B57">
        <w:t xml:space="preserve"> në këtë kërkesë, subjekti të deklarojë se dokumentacioni i paraqitur nuk është përdorur më parë për të justifikuar kryerjen e transfertave të tjera. </w:t>
      </w:r>
    </w:p>
    <w:p w:rsidR="00063A94" w:rsidRPr="00C85B57" w:rsidRDefault="00063A94" w:rsidP="00063A94">
      <w:pPr>
        <w:pStyle w:val="Paragrafi"/>
      </w:pPr>
      <w:r>
        <w:t xml:space="preserve">b) </w:t>
      </w:r>
      <w:r w:rsidRPr="00C85B57">
        <w:t>Akti i zhdoganimit të mallit sipas rasteve të parashikuara në</w:t>
      </w:r>
      <w:r>
        <w:t xml:space="preserve"> pikën 1.1. ge</w:t>
      </w:r>
      <w:r w:rsidRPr="00C85B57">
        <w:t>rma c</w:t>
      </w:r>
      <w:r>
        <w:t xml:space="preserve">.". </w:t>
      </w:r>
    </w:p>
    <w:p w:rsidR="00063A94" w:rsidRPr="00C85B57" w:rsidRDefault="00063A94" w:rsidP="00063A94">
      <w:pPr>
        <w:pStyle w:val="Paragrafi"/>
      </w:pPr>
      <w:r>
        <w:t xml:space="preserve">6. </w:t>
      </w:r>
      <w:r w:rsidRPr="00C85B57">
        <w:t xml:space="preserve">Këto ndryshime u </w:t>
      </w:r>
      <w:smartTag w:uri="urn:schemas-microsoft-com:office:smarttags" w:element="PersonName">
        <w:r w:rsidRPr="00C85B57">
          <w:t>mira</w:t>
        </w:r>
      </w:smartTag>
      <w:r>
        <w:t>tuan me vendimin nr.</w:t>
      </w:r>
      <w:r w:rsidRPr="00C85B57">
        <w:t>101, datë 10.12.2003 të Këshillit Mbikëqyrës të Bankës së Shqipërisë që hy</w:t>
      </w:r>
      <w:r>
        <w:t>j</w:t>
      </w:r>
      <w:r w:rsidRPr="00C85B57">
        <w:t>n</w:t>
      </w:r>
      <w:r>
        <w:t>ë</w:t>
      </w:r>
      <w:r w:rsidRPr="00C85B57">
        <w:t xml:space="preserve"> në fuqi 15 ditë pas botimit në Fletoren Zyrtare të Republikës së Shqipërisë.</w:t>
      </w:r>
    </w:p>
    <w:p w:rsidR="00063A94" w:rsidRPr="00C85B57" w:rsidRDefault="00063A94" w:rsidP="00063A94">
      <w:r w:rsidRPr="00C85B57">
        <w:tab/>
      </w:r>
      <w:r w:rsidRPr="00C85B57">
        <w:tab/>
      </w:r>
      <w:r w:rsidRPr="00C85B57">
        <w:tab/>
      </w:r>
      <w:r w:rsidRPr="00C85B57">
        <w:tab/>
      </w:r>
      <w:r w:rsidRPr="00C85B57">
        <w:tab/>
      </w:r>
    </w:p>
    <w:p w:rsidR="00063A94" w:rsidRPr="00C85B57" w:rsidRDefault="00063A94" w:rsidP="00063A94">
      <w:pPr>
        <w:pStyle w:val="Autoriteti"/>
      </w:pPr>
      <w:r w:rsidRPr="00C85B57">
        <w:t xml:space="preserve"> KRYETARI     </w:t>
      </w:r>
    </w:p>
    <w:p w:rsidR="00A0784B" w:rsidRPr="007732C8" w:rsidRDefault="00063A94" w:rsidP="00063A94">
      <w:pPr>
        <w:pStyle w:val="Paragrafi"/>
      </w:pPr>
      <w:r w:rsidRPr="00C85B57">
        <w:t xml:space="preserve">                                    </w:t>
      </w:r>
      <w:r w:rsidRPr="00C85B57">
        <w:tab/>
      </w:r>
      <w:r w:rsidRPr="00C85B57">
        <w:tab/>
        <w:t>Shkëlqim Cani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20C74">
      <w:r>
        <w:separator/>
      </w:r>
    </w:p>
  </w:endnote>
  <w:endnote w:type="continuationSeparator" w:id="0">
    <w:p w:rsidR="00000000" w:rsidRDefault="0062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20C74">
      <w:r>
        <w:separator/>
      </w:r>
    </w:p>
  </w:footnote>
  <w:footnote w:type="continuationSeparator" w:id="0">
    <w:p w:rsidR="00000000" w:rsidRDefault="00620C74">
      <w:r>
        <w:continuationSeparator/>
      </w:r>
    </w:p>
  </w:footnote>
  <w:footnote w:id="1">
    <w:p w:rsidR="00063A94" w:rsidRPr="00421B5A" w:rsidRDefault="00063A94" w:rsidP="00063A9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Në këtë kolonë regjistrohen shuma e të dhënave të kolonës 1 dhe të dhënat e kolonës 3 (për zërat jashtë bilanci), të nxjerra nga formulari nr.1.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63A94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20C74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A3DF8B-B9A9-46B5-9C1A-47BF99A4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A9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character" w:customStyle="1" w:styleId="ParagrafiChar">
    <w:name w:val="Paragrafi Char"/>
    <w:basedOn w:val="DefaultParagraphFont"/>
    <w:link w:val="Paragrafi"/>
    <w:rsid w:val="00063A94"/>
    <w:rPr>
      <w:rFonts w:ascii="CG Times" w:hAnsi="CG Times"/>
      <w:sz w:val="22"/>
      <w:lang w:val="en-US" w:eastAsia="en-US" w:bidi="ar-SA"/>
    </w:rPr>
  </w:style>
  <w:style w:type="table" w:styleId="TableGrid">
    <w:name w:val="Table Grid"/>
    <w:basedOn w:val="TableNormal"/>
    <w:rsid w:val="0006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3A94"/>
    <w:pPr>
      <w:widowControl w:val="0"/>
    </w:pPr>
    <w:rPr>
      <w:rFonts w:ascii="CG Times" w:hAnsi="CG Times"/>
      <w:noProof/>
      <w:lang w:val="sq-AL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character" w:styleId="FootnoteReference">
    <w:name w:val="footnote reference"/>
    <w:basedOn w:val="DefaultParagraphFont"/>
    <w:semiHidden/>
    <w:rsid w:val="00063A94"/>
    <w:rPr>
      <w:vertAlign w:val="superscript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2019-03-14T16:44:00Z</dcterms:created>
  <dcterms:modified xsi:type="dcterms:W3CDTF">2019-03-14T16:44:00Z</dcterms:modified>
</cp:coreProperties>
</file>