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BBE" w:rsidRDefault="00814BBE" w:rsidP="00814BBE">
      <w:pPr>
        <w:pStyle w:val="Akti"/>
      </w:pPr>
      <w:bookmarkStart w:id="0" w:name="_GoBack"/>
      <w:bookmarkEnd w:id="0"/>
      <w:r>
        <w:t xml:space="preserve">Vendim </w:t>
      </w:r>
    </w:p>
    <w:p w:rsidR="00814BBE" w:rsidRDefault="00814BBE" w:rsidP="00814BBE">
      <w:pPr>
        <w:pStyle w:val="NumriData"/>
      </w:pPr>
      <w:r>
        <w:t>Nr.43, datë 8.6.2005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Titulli"/>
      </w:pPr>
      <w:r>
        <w:t xml:space="preserve">PËR MIRATIMIN E </w:t>
      </w:r>
      <w:r w:rsidRPr="004E0E5E">
        <w:t>RREGULLOR</w:t>
      </w:r>
      <w:r>
        <w:t>ES</w:t>
      </w:r>
      <w:r w:rsidRPr="004E0E5E">
        <w:t xml:space="preserve"> </w:t>
      </w:r>
      <w:r>
        <w:t>“</w:t>
      </w:r>
      <w:r w:rsidRPr="004E0E5E">
        <w:t>PËR MBIKËQYRJEN E SHOQËRIVE TË KURSIM-KREDITIT DHE TË</w:t>
      </w:r>
      <w:r>
        <w:t xml:space="preserve"> </w:t>
      </w:r>
      <w:r w:rsidRPr="004E0E5E">
        <w:t xml:space="preserve">UNIONEVE TË </w:t>
      </w:r>
      <w:smartTag w:uri="urn:schemas-microsoft-com:office:smarttags" w:element="City">
        <w:smartTag w:uri="urn:schemas-microsoft-com:office:smarttags" w:element="place">
          <w:r w:rsidRPr="004E0E5E">
            <w:t>TYRE</w:t>
          </w:r>
        </w:smartTag>
      </w:smartTag>
      <w:r>
        <w:t>”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BazLigjPropozues"/>
      </w:pPr>
      <w:r w:rsidRPr="004E0E5E">
        <w:t>Baza ligjore e rregullores janë ligji nr. 8269, datë 23.12.1997 “Për Bankën e Shq</w:t>
      </w:r>
      <w:r>
        <w:t>ipërisë”, ligji nr.8365, datë 2.</w:t>
      </w:r>
      <w:r w:rsidRPr="004E0E5E">
        <w:t>7.1998 “Për bankat në Repub</w:t>
      </w:r>
      <w:r>
        <w:t>likën e Shqipërisë”, neni 1</w:t>
      </w:r>
      <w:r w:rsidRPr="004E0E5E">
        <w:t xml:space="preserve"> p</w:t>
      </w:r>
      <w:r>
        <w:t>ika 3 dhe ligji nr. 8782, datë 3.</w:t>
      </w:r>
      <w:r w:rsidRPr="004E0E5E">
        <w:t>5.2001 “Për shoqëritë e kursim-kreditit”, nenet 46, 47, 48 dhe 50.</w:t>
      </w:r>
    </w:p>
    <w:p w:rsidR="00814BBE" w:rsidRPr="004E0E5E" w:rsidRDefault="00814BBE" w:rsidP="00814BBE">
      <w:pPr>
        <w:pStyle w:val="BazLigjPropozues"/>
      </w:pPr>
      <w:r w:rsidRPr="004E0E5E">
        <w:t>Termat e përdorur në këtë rregullore kanë të njëjtin kuptim me ata të përdorur në n</w:t>
      </w:r>
      <w:r>
        <w:t>enin 3 të ligjit nr.8782, datë 3.</w:t>
      </w:r>
      <w:r w:rsidRPr="004E0E5E">
        <w:t>5.2001 “Për shoqëritë e kursim-kreditit dhe të unioneve të tyre”.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NeniTitull"/>
      </w:pPr>
      <w:r w:rsidRPr="004E0E5E">
        <w:t>Subjektet</w:t>
      </w:r>
    </w:p>
    <w:p w:rsidR="00814BBE" w:rsidRPr="004E0E5E" w:rsidRDefault="00814BBE" w:rsidP="00814BBE">
      <w:pPr>
        <w:pStyle w:val="NeniNr"/>
      </w:pPr>
      <w:r w:rsidRPr="004E0E5E">
        <w:t>Neni 1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Paragrafi"/>
      </w:pPr>
      <w:r>
        <w:t>1.1</w:t>
      </w:r>
      <w:r w:rsidRPr="004E0E5E">
        <w:t xml:space="preserve"> Subjekte të rregullores janë shoqëritë e kursim-kreditit dhe unionet e tyre, të licencuara nga </w:t>
      </w:r>
      <w:smartTag w:uri="urn:schemas-microsoft-com:office:smarttags" w:element="place">
        <w:r w:rsidRPr="004E0E5E">
          <w:t>Banka</w:t>
        </w:r>
      </w:smartTag>
      <w:r w:rsidRPr="004E0E5E">
        <w:t xml:space="preserve"> e Shqipërisë. Për thjeshtësi, në vijim të rregullores këto subjekte do të quhen “shoqëri”.</w:t>
      </w:r>
    </w:p>
    <w:p w:rsidR="00814BBE" w:rsidRPr="004E0E5E" w:rsidRDefault="00814BBE" w:rsidP="00814BBE">
      <w:pPr>
        <w:pStyle w:val="Paragrafi"/>
      </w:pPr>
      <w:r>
        <w:t>1.2</w:t>
      </w:r>
      <w:r w:rsidRPr="004E0E5E">
        <w:t xml:space="preserve"> </w:t>
      </w:r>
      <w:smartTag w:uri="urn:schemas-microsoft-com:office:smarttags" w:element="place">
        <w:r w:rsidRPr="004E0E5E">
          <w:t>Banka</w:t>
        </w:r>
      </w:smartTag>
      <w:r w:rsidRPr="004E0E5E">
        <w:t xml:space="preserve"> e Shqipërisë është autoriteti mbikëqyrës i subjekteve të kësaj rregulloreje. 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NeniTitull"/>
      </w:pPr>
      <w:r w:rsidRPr="004E0E5E">
        <w:t>Kontabiliteti</w:t>
      </w:r>
    </w:p>
    <w:p w:rsidR="00814BBE" w:rsidRPr="004E0E5E" w:rsidRDefault="00814BBE" w:rsidP="00814BBE">
      <w:pPr>
        <w:pStyle w:val="NeniNr"/>
      </w:pPr>
      <w:r w:rsidRPr="004E0E5E">
        <w:t>Neni 2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Paragrafi"/>
      </w:pPr>
      <w:r>
        <w:t>2.1</w:t>
      </w:r>
      <w:r w:rsidRPr="004E0E5E">
        <w:t xml:space="preserve"> Kontabiliteti organizohet në përputhje me ligjin “Për kontabilitetin”, me standardet ndërkombëtare kontabile</w:t>
      </w:r>
      <w:r>
        <w:t>,</w:t>
      </w:r>
      <w:r w:rsidRPr="004E0E5E">
        <w:t xml:space="preserve"> si dhe me aktet nënligjore të dala në zbatim të ligjit. </w:t>
      </w:r>
    </w:p>
    <w:p w:rsidR="00814BBE" w:rsidRPr="004E0E5E" w:rsidRDefault="00814BBE" w:rsidP="00814BBE">
      <w:pPr>
        <w:pStyle w:val="Paragrafi"/>
      </w:pPr>
      <w:r>
        <w:t>2.2</w:t>
      </w:r>
      <w:r w:rsidRPr="004E0E5E">
        <w:t xml:space="preserve"> Shoqëritë përc</w:t>
      </w:r>
      <w:r>
        <w:t>aktojnë me rregulla të brendshme</w:t>
      </w:r>
      <w:r w:rsidRPr="004E0E5E">
        <w:t xml:space="preserve"> politikat dhe procedurat kontabile të shkruara dhe të miratuara nga bordi drejtues.</w:t>
      </w:r>
    </w:p>
    <w:p w:rsidR="00814BBE" w:rsidRPr="004E0E5E" w:rsidRDefault="00814BBE" w:rsidP="00814BBE">
      <w:pPr>
        <w:pStyle w:val="Paragrafi"/>
      </w:pPr>
      <w:r>
        <w:t>2.3 Si përjashtim nga pika 2.1</w:t>
      </w:r>
      <w:r w:rsidRPr="004E0E5E">
        <w:t xml:space="preserve">, shoqëritë mund t’i kontabilizojnë interesat e kredive në momentin që ato arkëtohen faktikisht. 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NeniTitull"/>
      </w:pPr>
      <w:r w:rsidRPr="004E0E5E">
        <w:t>Kreditë dhe normat e interesit për kreditë</w:t>
      </w:r>
    </w:p>
    <w:p w:rsidR="00814BBE" w:rsidRPr="004E0E5E" w:rsidRDefault="00814BBE" w:rsidP="00814BBE">
      <w:pPr>
        <w:pStyle w:val="NeniNr"/>
      </w:pPr>
      <w:r w:rsidRPr="004E0E5E">
        <w:t>Neni 3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Paragrafi"/>
      </w:pPr>
      <w:r w:rsidRPr="004E0E5E">
        <w:t xml:space="preserve">Normat e interesit për kreditë, përcaktohen në mënyrë të tillë që me të ardhurat nga to, të paktën, të mbulohen të gjitha shpenzimet financiare të shoqërisë.   </w:t>
      </w:r>
    </w:p>
    <w:p w:rsidR="00814BBE" w:rsidRPr="004E0E5E" w:rsidRDefault="00814BBE" w:rsidP="00814BBE">
      <w:pPr>
        <w:pStyle w:val="NeniTitull"/>
      </w:pPr>
      <w:r w:rsidRPr="004E0E5E">
        <w:t xml:space="preserve">Klasifikimi i kredive  </w:t>
      </w:r>
    </w:p>
    <w:p w:rsidR="00814BBE" w:rsidRPr="004E0E5E" w:rsidRDefault="00814BBE" w:rsidP="00814BBE">
      <w:pPr>
        <w:pStyle w:val="NeniNr"/>
      </w:pPr>
      <w:r w:rsidRPr="004E0E5E">
        <w:t>Neni 4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Paragrafi"/>
      </w:pPr>
      <w:r>
        <w:t>4.1</w:t>
      </w:r>
      <w:r w:rsidRPr="004E0E5E">
        <w:t xml:space="preserve"> Politikat e k</w:t>
      </w:r>
      <w:r>
        <w:t>redisë dhe të garantimit të saj</w:t>
      </w:r>
      <w:r w:rsidRPr="004E0E5E">
        <w:t xml:space="preserve"> janë të përc</w:t>
      </w:r>
      <w:r>
        <w:t>aktuara me rregulla të brendshme</w:t>
      </w:r>
      <w:r w:rsidRPr="004E0E5E">
        <w:t xml:space="preserve"> dhe të shkruara në formën e një manuali të miratuar nga bordi drejtues. </w:t>
      </w:r>
    </w:p>
    <w:p w:rsidR="00814BBE" w:rsidRPr="004E0E5E" w:rsidRDefault="00814BBE" w:rsidP="00814BBE">
      <w:pPr>
        <w:pStyle w:val="Paragrafi"/>
      </w:pPr>
      <w:r>
        <w:t>4.2</w:t>
      </w:r>
      <w:r w:rsidRPr="004E0E5E">
        <w:t xml:space="preserve"> Klasifikimi </w:t>
      </w:r>
      <w:r>
        <w:t>i kredisë bëhet në bazë të ditë</w:t>
      </w:r>
      <w:r w:rsidRPr="004E0E5E">
        <w:t xml:space="preserve">vonesave të shlyerjes së saj: </w:t>
      </w:r>
    </w:p>
    <w:p w:rsidR="00814BBE" w:rsidRPr="004E0E5E" w:rsidRDefault="00814BBE" w:rsidP="00814BBE">
      <w:pPr>
        <w:pStyle w:val="Paragrafi"/>
      </w:pPr>
      <w:r>
        <w:t>4.2.1</w:t>
      </w:r>
      <w:r w:rsidRPr="004E0E5E">
        <w:t xml:space="preserve"> kur kredia nuk shlyhet plotësisht ose pjesërisht (kryegjë ose interes), nga 31 deri në 90 ditë, shuma (kryegjë dhe interes) e kredive, që i janë dhënë këtij anëtari nga </w:t>
      </w:r>
      <w:r>
        <w:t xml:space="preserve">shoqëria,  klasifikohet si “nën </w:t>
      </w:r>
      <w:r w:rsidRPr="004E0E5E">
        <w:t>standard”;</w:t>
      </w:r>
    </w:p>
    <w:p w:rsidR="00814BBE" w:rsidRPr="004E0E5E" w:rsidRDefault="00814BBE" w:rsidP="00814BBE">
      <w:pPr>
        <w:pStyle w:val="Paragrafi"/>
      </w:pPr>
      <w:r>
        <w:t>4.2.2</w:t>
      </w:r>
      <w:r w:rsidRPr="004E0E5E">
        <w:t xml:space="preserve"> kur kredia nuk shlyhet plotësisht ose pjesërisht (kryegjë ose interes), nga 91 deri në 365 ditë, shuma (kryegjë dhe interes) e kredive, që i janë dhënë këtij anëtari nga shoqëria,  klasifikohet “e dyshimtë”;</w:t>
      </w:r>
    </w:p>
    <w:p w:rsidR="00814BBE" w:rsidRPr="004E0E5E" w:rsidRDefault="00814BBE" w:rsidP="00814BBE">
      <w:pPr>
        <w:pStyle w:val="Paragrafi"/>
      </w:pPr>
      <w:r>
        <w:t>4.2.3</w:t>
      </w:r>
      <w:r w:rsidRPr="004E0E5E">
        <w:t xml:space="preserve"> kur kredia nuk shlyhet plotësisht ose pjesërisht (kryegjë ose interes), mbi 365 ditë, shuma (kryegjë dhe interes) e kredive, që i janë dhënë këtij anëtari nga shoqëria, klasifikohet “e humbur”.</w:t>
      </w:r>
    </w:p>
    <w:p w:rsidR="00814BBE" w:rsidRPr="004E0E5E" w:rsidRDefault="00814BBE" w:rsidP="00814BBE">
      <w:pPr>
        <w:pStyle w:val="Paragrafi"/>
      </w:pPr>
      <w:r>
        <w:t>4.3</w:t>
      </w:r>
      <w:r w:rsidRPr="004E0E5E">
        <w:t xml:space="preserve"> Kredi me probleme do të quajmë shumën e kredive të klasifikuara “nën standard”, “të dyshimta”, “të  humbura” dhe të ristrukturuara.</w:t>
      </w:r>
    </w:p>
    <w:p w:rsidR="00814BBE" w:rsidRPr="004E0E5E" w:rsidRDefault="00814BBE" w:rsidP="00814BBE">
      <w:pPr>
        <w:pStyle w:val="Paragrafi"/>
      </w:pPr>
      <w:r>
        <w:t>4.4</w:t>
      </w:r>
      <w:r w:rsidRPr="004E0E5E">
        <w:t xml:space="preserve"> Kredi “standarde” do të quajmë të gjitha kreditë, me përjashtim të kredive me probleme.</w:t>
      </w:r>
    </w:p>
    <w:p w:rsidR="00814BBE" w:rsidRPr="004E0E5E" w:rsidRDefault="00814BBE" w:rsidP="00814BBE">
      <w:pPr>
        <w:pStyle w:val="Paragrafi"/>
      </w:pPr>
      <w:r>
        <w:t>4.5</w:t>
      </w:r>
      <w:r w:rsidRPr="004E0E5E">
        <w:t xml:space="preserve"> Përllogaritja e interesit për kredinë ndërpri</w:t>
      </w:r>
      <w:r>
        <w:t>tet kur kredia klasifikohet si “e dyshimtë”</w:t>
      </w:r>
      <w:r w:rsidRPr="004E0E5E">
        <w:t>.</w:t>
      </w:r>
    </w:p>
    <w:p w:rsidR="00814BBE" w:rsidRPr="004E0E5E" w:rsidRDefault="00814BBE" w:rsidP="00814BBE">
      <w:pPr>
        <w:pStyle w:val="Paragrafi"/>
      </w:pPr>
      <w:r>
        <w:t>4.6</w:t>
      </w:r>
      <w:r w:rsidRPr="004E0E5E">
        <w:t xml:space="preserve"> Kreditë fshihen (write-off) nga bilanci i shoqërisë kur ato qëndrojnë</w:t>
      </w:r>
      <w:r>
        <w:t xml:space="preserve"> më shumë se 365 ditë si kredi ”të humbura”</w:t>
      </w:r>
      <w:r w:rsidRPr="004E0E5E">
        <w:t xml:space="preserve"> dhe/ose kur ato plotësojnë një nga kushtet e mëposhtme:</w:t>
      </w:r>
    </w:p>
    <w:p w:rsidR="00814BBE" w:rsidRPr="004E0E5E" w:rsidRDefault="00814BBE" w:rsidP="00814BBE">
      <w:pPr>
        <w:pStyle w:val="Paragrafi"/>
      </w:pPr>
      <w:r>
        <w:lastRenderedPageBreak/>
        <w:t xml:space="preserve">- </w:t>
      </w:r>
      <w:r w:rsidRPr="004E0E5E">
        <w:t>kredimarrësi ka vdekur;</w:t>
      </w:r>
    </w:p>
    <w:p w:rsidR="00814BBE" w:rsidRPr="004E0E5E" w:rsidRDefault="00814BBE" w:rsidP="00814BBE">
      <w:pPr>
        <w:pStyle w:val="Paragrafi"/>
      </w:pPr>
      <w:r>
        <w:t xml:space="preserve">- </w:t>
      </w:r>
      <w:r w:rsidRPr="004E0E5E">
        <w:t>shoqëria ka filluar një proces ligjor  kundër kredimarrësit për kthimin e  kredisë;</w:t>
      </w:r>
    </w:p>
    <w:p w:rsidR="00814BBE" w:rsidRPr="004E0E5E" w:rsidRDefault="00814BBE" w:rsidP="00814BBE">
      <w:pPr>
        <w:pStyle w:val="Paragrafi"/>
      </w:pPr>
      <w:r>
        <w:t xml:space="preserve">- </w:t>
      </w:r>
      <w:r w:rsidRPr="004E0E5E">
        <w:t>vlera e kredisë është mjaft e vogël për shoqërinë.</w:t>
      </w:r>
    </w:p>
    <w:p w:rsidR="00814BBE" w:rsidRPr="004E0E5E" w:rsidRDefault="00814BBE" w:rsidP="00814BBE">
      <w:pPr>
        <w:pStyle w:val="Paragrafi"/>
      </w:pPr>
      <w:r>
        <w:t>4.7</w:t>
      </w:r>
      <w:r w:rsidRPr="004E0E5E">
        <w:t xml:space="preserve"> Kreditë mund të ristrukturohen, kur një kredi e ristrukturuar ka vonesa mbi 30 ditë, ajo klasifikohet si “e humbur”.</w:t>
      </w:r>
    </w:p>
    <w:p w:rsidR="00814BBE" w:rsidRPr="004E0E5E" w:rsidRDefault="00814BBE" w:rsidP="00814BBE">
      <w:pPr>
        <w:pStyle w:val="Paragrafi"/>
      </w:pPr>
      <w:r>
        <w:t>4.8</w:t>
      </w:r>
      <w:r w:rsidRPr="004E0E5E">
        <w:t xml:space="preserve"> Unioni i shoqërive të kursim-kreditit mund t’u japë kredi shoqërive të kursim-kreditit sipas një marrëveshjeje (linjë kredie), e cila i lejon shoqërive të kursim-kreditit të marrin kredi brenda një kufiri të caktuar dhe gjatë një periudhe të caktuar. Për këtë linjë kredie:</w:t>
      </w:r>
    </w:p>
    <w:p w:rsidR="00814BBE" w:rsidRPr="004E0E5E" w:rsidRDefault="00814BBE" w:rsidP="00814BBE">
      <w:pPr>
        <w:pStyle w:val="Paragrafi"/>
      </w:pPr>
      <w:r>
        <w:t xml:space="preserve">- </w:t>
      </w:r>
      <w:r w:rsidRPr="004E0E5E">
        <w:t>marrëveshja midis unionit dhe shoqërive të kursim-kreditit rino</w:t>
      </w:r>
      <w:r>
        <w:t>vohet të paktën një herë në vit;</w:t>
      </w:r>
    </w:p>
    <w:p w:rsidR="00814BBE" w:rsidRPr="004E0E5E" w:rsidRDefault="00814BBE" w:rsidP="00814BBE">
      <w:pPr>
        <w:pStyle w:val="Paragrafi"/>
      </w:pPr>
      <w:r>
        <w:t xml:space="preserve">- </w:t>
      </w:r>
      <w:r w:rsidRPr="004E0E5E">
        <w:t xml:space="preserve">unioni llogarit një fond rezerve (provigjion) prej 2 për qind </w:t>
      </w:r>
      <w:r>
        <w:t>të sasisë së kredisë në proces;</w:t>
      </w:r>
    </w:p>
    <w:p w:rsidR="00814BBE" w:rsidRPr="004E0E5E" w:rsidRDefault="00814BBE" w:rsidP="00814BBE">
      <w:pPr>
        <w:pStyle w:val="Paragrafi"/>
      </w:pPr>
      <w:r>
        <w:t xml:space="preserve">- </w:t>
      </w:r>
      <w:r w:rsidRPr="004E0E5E">
        <w:t>kur shoqëria e kursim-kreditit është në shkelje të nenit 6 të kësaj rregulloreje, unioni llogarit një provigjon jo më të vogël se 30 për qind të kredisë së dhënë shoqërisë së kursim-kreditit.</w:t>
      </w:r>
    </w:p>
    <w:p w:rsidR="00814BBE" w:rsidRDefault="00814BBE" w:rsidP="00814BBE">
      <w:pPr>
        <w:pStyle w:val="Paragrafi"/>
      </w:pPr>
    </w:p>
    <w:p w:rsidR="00814BBE" w:rsidRPr="004E0E5E" w:rsidRDefault="00814BBE" w:rsidP="00814BBE">
      <w:pPr>
        <w:pStyle w:val="NeniTitull"/>
      </w:pPr>
      <w:r w:rsidRPr="004E0E5E">
        <w:t>Llogaritja e provigjoneve</w:t>
      </w:r>
    </w:p>
    <w:p w:rsidR="00814BBE" w:rsidRPr="004E0E5E" w:rsidRDefault="00814BBE" w:rsidP="00814BBE">
      <w:pPr>
        <w:pStyle w:val="NeniNr"/>
      </w:pPr>
      <w:r w:rsidRPr="004E0E5E">
        <w:t>Neni 5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Paragrafi"/>
      </w:pPr>
      <w:r>
        <w:t>5.1</w:t>
      </w:r>
      <w:r w:rsidRPr="004E0E5E">
        <w:t xml:space="preserve"> Provigjonet llogariten të paktën një herë në tre muaj. </w:t>
      </w:r>
    </w:p>
    <w:p w:rsidR="00814BBE" w:rsidRPr="004E0E5E" w:rsidRDefault="00814BBE" w:rsidP="00814BBE">
      <w:pPr>
        <w:pStyle w:val="Paragrafi"/>
      </w:pPr>
      <w:r>
        <w:t>5.2</w:t>
      </w:r>
      <w:r w:rsidRPr="004E0E5E">
        <w:t xml:space="preserve"> Provigjonet për kr</w:t>
      </w:r>
      <w:r>
        <w:t>yegjenë llogariten si më poshtë</w:t>
      </w:r>
      <w:r w:rsidRPr="004E0E5E">
        <w:t>:</w:t>
      </w:r>
    </w:p>
    <w:p w:rsidR="00814BBE" w:rsidRPr="004E0E5E" w:rsidRDefault="00814BBE" w:rsidP="00814BBE">
      <w:pPr>
        <w:pStyle w:val="Paragrafi"/>
      </w:pPr>
      <w:r>
        <w:t>5.2.1</w:t>
      </w:r>
      <w:r w:rsidRPr="004E0E5E">
        <w:t xml:space="preserve"> nga 2 për qind deri në 5 për qind të kredive “standarde”;</w:t>
      </w:r>
    </w:p>
    <w:p w:rsidR="00814BBE" w:rsidRPr="004E0E5E" w:rsidRDefault="00814BBE" w:rsidP="00814BBE">
      <w:pPr>
        <w:pStyle w:val="Paragrafi"/>
      </w:pPr>
      <w:r>
        <w:t>5.2.2</w:t>
      </w:r>
      <w:r w:rsidRPr="004E0E5E">
        <w:t xml:space="preserve"> jo më pak se 30 për qind të kredive “nënstandarde”;</w:t>
      </w:r>
    </w:p>
    <w:p w:rsidR="00814BBE" w:rsidRPr="004E0E5E" w:rsidRDefault="00814BBE" w:rsidP="00814BBE">
      <w:pPr>
        <w:pStyle w:val="Paragrafi"/>
      </w:pPr>
      <w:r>
        <w:t>5.2.3</w:t>
      </w:r>
      <w:r w:rsidRPr="004E0E5E">
        <w:t xml:space="preserve"> jo më pak se 75 për qind të kredive “të dyshimta”;</w:t>
      </w:r>
    </w:p>
    <w:p w:rsidR="00814BBE" w:rsidRPr="004E0E5E" w:rsidRDefault="00814BBE" w:rsidP="00814BBE">
      <w:pPr>
        <w:pStyle w:val="Paragrafi"/>
      </w:pPr>
      <w:r>
        <w:t>5.2.4</w:t>
      </w:r>
      <w:r w:rsidRPr="004E0E5E">
        <w:t xml:space="preserve"> 100 për qind të kredive të humbura.</w:t>
      </w:r>
    </w:p>
    <w:p w:rsidR="00814BBE" w:rsidRPr="004E0E5E" w:rsidRDefault="00814BBE" w:rsidP="00814BBE">
      <w:pPr>
        <w:pStyle w:val="Paragrafi"/>
      </w:pPr>
      <w:r>
        <w:t>5.3</w:t>
      </w:r>
      <w:r w:rsidRPr="004E0E5E">
        <w:t xml:space="preserve"> Interesat e llogaritur për kreditë me probleme, provigjonohen 100 për qind.</w:t>
      </w:r>
    </w:p>
    <w:p w:rsidR="00814BBE" w:rsidRPr="004E0E5E" w:rsidRDefault="00814BBE" w:rsidP="00814BBE">
      <w:pPr>
        <w:pStyle w:val="Paragrafi"/>
      </w:pPr>
      <w:r>
        <w:t>5.4</w:t>
      </w:r>
      <w:r w:rsidRPr="004E0E5E">
        <w:t xml:space="preserve"> Kreditë e ristrukturuara provigjonohen në mënyrë të njëjtë si kreditë me probleme.</w:t>
      </w:r>
    </w:p>
    <w:p w:rsidR="00814BBE" w:rsidRDefault="00814BBE" w:rsidP="00814BBE">
      <w:pPr>
        <w:pStyle w:val="Paragrafi"/>
      </w:pPr>
      <w:r>
        <w:t>5.5</w:t>
      </w:r>
      <w:r w:rsidRPr="004E0E5E">
        <w:t xml:space="preserve"> Norma e provigjonimit për kreditë “nën standard” është jo më e lartë se norma e provigjonimit për kreditë “e dyshimta” dhe norma e provigjonimit për kreditë “e dyshimta” është jo më e lartë se norma e provigjonimit për kreditë “e humbura”. Provigjoni llogaritet mbi pjesën e kredisë që nuk është e garantuar me bllokim depozite.</w:t>
      </w:r>
    </w:p>
    <w:p w:rsidR="00814BBE" w:rsidRPr="004E0E5E" w:rsidRDefault="00814BBE" w:rsidP="00814BBE">
      <w:pPr>
        <w:pStyle w:val="Paragrafi"/>
      </w:pPr>
      <w:r>
        <w:t>5.6</w:t>
      </w:r>
      <w:r w:rsidRPr="004E0E5E">
        <w:t xml:space="preserve"> Shoqëritë, si përjashtim nga pika 2.1, mund të mbajnë provigjone faktike më të larta se provigjonet e kërkuara sipas klasifikimit të kredive.</w:t>
      </w:r>
    </w:p>
    <w:p w:rsidR="00814BBE" w:rsidRPr="004E0E5E" w:rsidRDefault="00814BBE" w:rsidP="00814BBE">
      <w:pPr>
        <w:pStyle w:val="NeniTitull"/>
      </w:pPr>
      <w:r w:rsidRPr="004E0E5E">
        <w:t>Cilësia e portofolit të kredive</w:t>
      </w:r>
    </w:p>
    <w:p w:rsidR="00814BBE" w:rsidRPr="004E0E5E" w:rsidRDefault="00814BBE" w:rsidP="00814BBE">
      <w:pPr>
        <w:pStyle w:val="NeniNr"/>
      </w:pPr>
      <w:r w:rsidRPr="004E0E5E">
        <w:t>Neni 6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Paragrafi"/>
      </w:pPr>
      <w:r w:rsidRPr="004E0E5E">
        <w:t>Raporti midis  kredive “standarde” dhe  totalit të portofolit të kredive të jetë jo më i vogël se 90 për qind.</w:t>
      </w:r>
    </w:p>
    <w:p w:rsidR="00814BBE" w:rsidRPr="004E0E5E" w:rsidRDefault="00814BBE" w:rsidP="00814BBE">
      <w:pPr>
        <w:pStyle w:val="NeniTitull"/>
      </w:pPr>
      <w:r w:rsidRPr="004E0E5E">
        <w:t>Mjaftueshmëria e kapitalit</w:t>
      </w:r>
    </w:p>
    <w:p w:rsidR="00814BBE" w:rsidRPr="004E0E5E" w:rsidRDefault="00814BBE" w:rsidP="00814BBE">
      <w:pPr>
        <w:pStyle w:val="NeniNr"/>
      </w:pPr>
      <w:r w:rsidRPr="004E0E5E">
        <w:t>Neni 7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Paragrafi"/>
      </w:pPr>
      <w:r>
        <w:t>7.1</w:t>
      </w:r>
      <w:r w:rsidRPr="004E0E5E">
        <w:t xml:space="preserve"> Raporti i kapitalit me tepricën bruto të portofolit të kredive duhet të jetë jo më i vogël se 5 për qind në dy vitet e para të aktivitetit të kredidhënies pas marrjes së licencës dhe jo më pak se 8 për qind pas dy viteve të para.</w:t>
      </w:r>
    </w:p>
    <w:p w:rsidR="00814BBE" w:rsidRPr="004E0E5E" w:rsidRDefault="00814BBE" w:rsidP="00814BBE">
      <w:pPr>
        <w:pStyle w:val="Paragrafi"/>
      </w:pPr>
      <w:r>
        <w:t>7.2</w:t>
      </w:r>
      <w:r w:rsidRPr="004E0E5E">
        <w:t xml:space="preserve"> Raporti i kapitalit me aktivet e qëndrueshme (neto) duhet të jet</w:t>
      </w:r>
      <w:r>
        <w:t>ë jo më i vogël se 100 për qind.</w:t>
      </w:r>
    </w:p>
    <w:p w:rsidR="00814BBE" w:rsidRPr="004E0E5E" w:rsidRDefault="00814BBE" w:rsidP="00814BBE">
      <w:pPr>
        <w:pStyle w:val="Paragrafi"/>
      </w:pPr>
      <w:r>
        <w:t>7.3</w:t>
      </w:r>
      <w:r w:rsidRPr="004E0E5E">
        <w:t xml:space="preserve"> Raporti i kapitalit me shumën totale të tepricës së kredive me probleme të pagarantuar</w:t>
      </w:r>
      <w:r>
        <w:t>a</w:t>
      </w:r>
      <w:r w:rsidRPr="004E0E5E">
        <w:t xml:space="preserve"> me bllokim depozite, është në çdo kohë jo më i vogël se 100 për qind.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NeniTitull"/>
      </w:pPr>
      <w:r w:rsidRPr="004E0E5E">
        <w:t>Likuiditeti</w:t>
      </w:r>
    </w:p>
    <w:p w:rsidR="00814BBE" w:rsidRPr="004E0E5E" w:rsidRDefault="00814BBE" w:rsidP="00814BBE">
      <w:pPr>
        <w:pStyle w:val="NeniNr"/>
      </w:pPr>
      <w:r w:rsidRPr="004E0E5E">
        <w:t>Neni 8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Paragrafi"/>
      </w:pPr>
      <w:r>
        <w:t>8.1</w:t>
      </w:r>
      <w:r w:rsidRPr="004E0E5E">
        <w:t xml:space="preserve"> Shoqëria duhet të ketë gjendje në arkë, në llogari rrjedhëse ose në depozitë me afat maturimi mbetës deri në 1 muaj, në çdo kohë, një shumë jo më të vogël se 10 për qind të totalit të depozitave të lira me afat maturimi jo më </w:t>
      </w:r>
      <w:r>
        <w:t>të madh se 6 muaj.</w:t>
      </w:r>
    </w:p>
    <w:p w:rsidR="00814BBE" w:rsidRPr="004E0E5E" w:rsidRDefault="00814BBE" w:rsidP="00814BBE">
      <w:pPr>
        <w:pStyle w:val="Paragrafi"/>
      </w:pPr>
      <w:r>
        <w:t>8.2</w:t>
      </w:r>
      <w:r w:rsidRPr="004E0E5E">
        <w:t xml:space="preserve"> </w:t>
      </w:r>
      <w:r>
        <w:t xml:space="preserve"> </w:t>
      </w:r>
      <w:r w:rsidRPr="004E0E5E">
        <w:t>Shoqëria mund të japë kredi me afat mbi 3 vj</w:t>
      </w:r>
      <w:r>
        <w:t>et, një shumë jo më të madhe se</w:t>
      </w:r>
      <w:r w:rsidRPr="004E0E5E">
        <w:t>:</w:t>
      </w:r>
    </w:p>
    <w:p w:rsidR="00814BBE" w:rsidRPr="004E0E5E" w:rsidRDefault="00814BBE" w:rsidP="00814BBE">
      <w:pPr>
        <w:pStyle w:val="Paragrafi"/>
      </w:pPr>
      <w:r>
        <w:t xml:space="preserve">- </w:t>
      </w:r>
      <w:r w:rsidRPr="004E0E5E">
        <w:t xml:space="preserve">100 për qind të kapitalit, pasi janë zbritur aktivet fikse; ose </w:t>
      </w:r>
    </w:p>
    <w:p w:rsidR="00814BBE" w:rsidRPr="004E0E5E" w:rsidRDefault="00814BBE" w:rsidP="00814BBE">
      <w:pPr>
        <w:pStyle w:val="Paragrafi"/>
      </w:pPr>
      <w:r>
        <w:lastRenderedPageBreak/>
        <w:t xml:space="preserve">- </w:t>
      </w:r>
      <w:r w:rsidRPr="004E0E5E">
        <w:t>10 për qind të totalit të depozitave; ose</w:t>
      </w:r>
    </w:p>
    <w:p w:rsidR="00814BBE" w:rsidRPr="004E0E5E" w:rsidRDefault="00814BBE" w:rsidP="00814BBE">
      <w:pPr>
        <w:pStyle w:val="Paragrafi"/>
      </w:pPr>
      <w:r>
        <w:t xml:space="preserve">- </w:t>
      </w:r>
      <w:r w:rsidRPr="004E0E5E">
        <w:t>100 për qind të detyrimeve me afat mbi 3 vjet.</w:t>
      </w:r>
    </w:p>
    <w:p w:rsidR="00814BBE" w:rsidRPr="004E0E5E" w:rsidRDefault="00814BBE" w:rsidP="00814BBE">
      <w:pPr>
        <w:pStyle w:val="Paragrafi"/>
      </w:pPr>
      <w:r>
        <w:t>8.3</w:t>
      </w:r>
      <w:r w:rsidRPr="004E0E5E">
        <w:t xml:space="preserve"> Shoqëria nuk mund të japë asnjë kredi me afat mbi 5 vjet.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NeniTitull"/>
      </w:pPr>
      <w:r w:rsidRPr="004E0E5E">
        <w:t>Shpërndarja e rrezikut</w:t>
      </w:r>
    </w:p>
    <w:p w:rsidR="00814BBE" w:rsidRPr="004E0E5E" w:rsidRDefault="00814BBE" w:rsidP="00814BBE">
      <w:pPr>
        <w:pStyle w:val="NeniNr"/>
      </w:pPr>
      <w:r w:rsidRPr="004E0E5E">
        <w:t>Neni 9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Paragrafi"/>
      </w:pPr>
      <w:r>
        <w:t>9.1</w:t>
      </w:r>
      <w:r w:rsidRPr="004E0E5E">
        <w:t xml:space="preserve"> Për çdo kredi të dhënë gjatë dy viteve të para të aktivitetit të kredidhënies, pjesa e pagarantuar me bllokim depozite e kredisë, të jetë jo më e madhe se 100 për qind e kapitalit të shoqërisë.</w:t>
      </w:r>
    </w:p>
    <w:p w:rsidR="00814BBE" w:rsidRPr="004E0E5E" w:rsidRDefault="00814BBE" w:rsidP="00814BBE">
      <w:pPr>
        <w:pStyle w:val="Paragrafi"/>
      </w:pPr>
      <w:r>
        <w:t>9.2</w:t>
      </w:r>
      <w:r w:rsidRPr="004E0E5E">
        <w:t xml:space="preserve"> Për çdo kredi të dhënë gjatë vitit të tretë të aktivitetit të kredidhënies, pjesa e kredisë, e pagarantuar me bllokim depozite, të jetë jo më e madhe se 50 për qind e kapitalit të shoqërisë.</w:t>
      </w:r>
    </w:p>
    <w:p w:rsidR="00814BBE" w:rsidRPr="004E0E5E" w:rsidRDefault="00814BBE" w:rsidP="00814BBE">
      <w:pPr>
        <w:pStyle w:val="Paragrafi"/>
      </w:pPr>
      <w:r>
        <w:t>9.3</w:t>
      </w:r>
      <w:r w:rsidRPr="004E0E5E">
        <w:t xml:space="preserve"> Për çdo kredi të dhënë pas vitit të tretë të aktivitetit të kredidhënies, pjesa e kredisë e pagarantuar me bllokim dep</w:t>
      </w:r>
      <w:r>
        <w:t>ozite, të jetë jo më e madhe se</w:t>
      </w:r>
      <w:r w:rsidRPr="004E0E5E">
        <w:t>:</w:t>
      </w:r>
    </w:p>
    <w:p w:rsidR="00814BBE" w:rsidRPr="004E0E5E" w:rsidRDefault="00814BBE" w:rsidP="00814BBE">
      <w:pPr>
        <w:pStyle w:val="Paragrafi"/>
      </w:pPr>
      <w:r>
        <w:t xml:space="preserve">- </w:t>
      </w:r>
      <w:r w:rsidRPr="004E0E5E">
        <w:t>20 për qind e kapitalit të shoqërisë; ose</w:t>
      </w:r>
    </w:p>
    <w:p w:rsidR="00814BBE" w:rsidRPr="004E0E5E" w:rsidRDefault="00814BBE" w:rsidP="00814BBE">
      <w:pPr>
        <w:pStyle w:val="Paragrafi"/>
      </w:pPr>
      <w:r>
        <w:t xml:space="preserve">- </w:t>
      </w:r>
      <w:r w:rsidRPr="004E0E5E">
        <w:t>s</w:t>
      </w:r>
      <w:r>
        <w:t>asia maksimale e lejueshme gjatë</w:t>
      </w:r>
      <w:r w:rsidRPr="004E0E5E">
        <w:t xml:space="preserve"> vitit të tretë të aktivitetit të kredidhënies.</w:t>
      </w:r>
    </w:p>
    <w:p w:rsidR="00814BBE" w:rsidRPr="004E0E5E" w:rsidRDefault="00814BBE" w:rsidP="00814BBE">
      <w:pPr>
        <w:pStyle w:val="Paragrafi"/>
      </w:pPr>
      <w:r>
        <w:t>9.4</w:t>
      </w:r>
      <w:r w:rsidRPr="004E0E5E">
        <w:t xml:space="preserve"> Shuma e çdo kredie të dhënë, të jetë jo më e madhe se 15 për qind e totalit të aktiveve në kohën e dhënies së saj.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NeniTitull"/>
      </w:pPr>
      <w:r w:rsidRPr="004E0E5E">
        <w:t>Veprimet me valutat</w:t>
      </w:r>
    </w:p>
    <w:p w:rsidR="00814BBE" w:rsidRPr="004E0E5E" w:rsidRDefault="00814BBE" w:rsidP="00814BBE">
      <w:pPr>
        <w:pStyle w:val="NeniNr"/>
      </w:pPr>
      <w:r w:rsidRPr="004E0E5E">
        <w:t>Neni 10</w:t>
      </w:r>
    </w:p>
    <w:p w:rsidR="00814BBE" w:rsidRPr="004E0E5E" w:rsidRDefault="00814BBE" w:rsidP="00814BBE">
      <w:pPr>
        <w:pStyle w:val="Paragrafi"/>
      </w:pPr>
    </w:p>
    <w:p w:rsidR="00814BBE" w:rsidRDefault="00814BBE" w:rsidP="00814BBE">
      <w:pPr>
        <w:pStyle w:val="Paragrafi"/>
      </w:pPr>
      <w:r w:rsidRPr="004E0E5E">
        <w:t>10.1. Shoqëritë mund të japin kredi edhe në valutat e mëposhtme: “ Euro, usd, sfr, gbp”, por me afat maturimi jo më të madh se 3 vjet.</w:t>
      </w:r>
    </w:p>
    <w:p w:rsidR="00814BBE" w:rsidRPr="004E0E5E" w:rsidRDefault="00814BBE" w:rsidP="00814BBE">
      <w:pPr>
        <w:pStyle w:val="Paragrafi"/>
      </w:pPr>
      <w:r>
        <w:t>10.2</w:t>
      </w:r>
      <w:r w:rsidRPr="004E0E5E">
        <w:t xml:space="preserve"> Vetëm unioni lejohet të mbajë një pozicion të hapur në va</w:t>
      </w:r>
      <w:r>
        <w:t>lutë sipas normave të mëposhtme</w:t>
      </w:r>
      <w:r w:rsidRPr="004E0E5E">
        <w:t>:</w:t>
      </w:r>
    </w:p>
    <w:p w:rsidR="00814BBE" w:rsidRPr="004E0E5E" w:rsidRDefault="00814BBE" w:rsidP="00814BBE">
      <w:pPr>
        <w:pStyle w:val="Paragrafi"/>
      </w:pPr>
      <w:r>
        <w:t xml:space="preserve">- </w:t>
      </w:r>
      <w:r w:rsidRPr="004E0E5E">
        <w:t>një raport maksimal jo më të madh se 30 për qind e totalit të pozicionit të hapur neto për të gjitha valutat ndaj k</w:t>
      </w:r>
      <w:r>
        <w:t>apitalit të unionit;</w:t>
      </w:r>
    </w:p>
    <w:p w:rsidR="00814BBE" w:rsidRPr="004E0E5E" w:rsidRDefault="00814BBE" w:rsidP="00814BBE">
      <w:pPr>
        <w:pStyle w:val="Paragrafi"/>
      </w:pPr>
      <w:r>
        <w:t xml:space="preserve">- </w:t>
      </w:r>
      <w:r w:rsidRPr="004E0E5E">
        <w:t>një raport maksimal jo më të madh se 20 për qind të pozicionit të hapur neto për secilën valutë ndaj kapitalit të unionit.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NeniTitull"/>
      </w:pPr>
      <w:r w:rsidRPr="004E0E5E">
        <w:t>Raportimi</w:t>
      </w:r>
    </w:p>
    <w:p w:rsidR="00814BBE" w:rsidRPr="004E0E5E" w:rsidRDefault="00814BBE" w:rsidP="00814BBE">
      <w:pPr>
        <w:pStyle w:val="NeniNr"/>
      </w:pPr>
      <w:r w:rsidRPr="004E0E5E">
        <w:t>Neni 11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Paragrafi"/>
      </w:pPr>
      <w:r>
        <w:t>11.1</w:t>
      </w:r>
      <w:r w:rsidRPr="004E0E5E">
        <w:t xml:space="preserve"> Shoqëritë raportojnë normat e mbikëqyrjes në Bankën e Shqipërisë çdo gjashtë muaj. Të dhënat raportohen jo më vonë se 50 ditë pas mbylljes së gjashtëmujorit dhe të fundit të vitit. </w:t>
      </w:r>
    </w:p>
    <w:p w:rsidR="00814BBE" w:rsidRPr="004E0E5E" w:rsidRDefault="00814BBE" w:rsidP="00814BBE">
      <w:pPr>
        <w:pStyle w:val="Paragrafi"/>
      </w:pPr>
      <w:r>
        <w:t>11.2</w:t>
      </w:r>
      <w:r w:rsidRPr="004E0E5E">
        <w:t xml:space="preserve"> Raportimi i shoqërive në Bankën e Shqipërisë bëhet sipas sistemit raportues “Për shoqëritë e kursim-kreditit dhe unionet e tyre” të miratuara nga Këshilli Mbikëqyrës i Bankës së Shqipërisë.</w:t>
      </w:r>
    </w:p>
    <w:p w:rsidR="00814BBE" w:rsidRPr="004E0E5E" w:rsidRDefault="00814BBE" w:rsidP="00814BBE">
      <w:pPr>
        <w:pStyle w:val="Paragrafi"/>
      </w:pPr>
      <w:r>
        <w:t>11.3</w:t>
      </w:r>
      <w:r w:rsidRPr="004E0E5E">
        <w:t xml:space="preserve"> Unionet e shoqërive të kursim-kreditit raportojnë gjendjen financiare dhe normat e mbikëqyrjes mbi baza individuale dhe në mënyrë të përmbledhur për të gjithë rrjetin e shoqërive të kursim-kreditit anëtare në union. </w:t>
      </w:r>
    </w:p>
    <w:p w:rsidR="00814BBE" w:rsidRPr="004E0E5E" w:rsidRDefault="00814BBE" w:rsidP="00814BBE">
      <w:pPr>
        <w:pStyle w:val="Paragrafi"/>
      </w:pPr>
      <w:r>
        <w:t>11.4</w:t>
      </w:r>
      <w:r w:rsidRPr="004E0E5E">
        <w:t xml:space="preserve"> Unionet janë të detyruara të dërgojnë në Bankën e Shqipërisë çdo tremujor raportime të plota për normat e mbikëqyrjes të gjitha shoqërive të kursim-kreditit, të cilat nuk plotësojnë qoftë edhe një nga normat e mbikëqyrjes të vendosura.</w:t>
      </w:r>
    </w:p>
    <w:p w:rsidR="00814BBE" w:rsidRPr="004E0E5E" w:rsidRDefault="00814BBE" w:rsidP="00814BBE">
      <w:pPr>
        <w:pStyle w:val="Paragrafi"/>
      </w:pPr>
      <w:r>
        <w:t>11.5</w:t>
      </w:r>
      <w:r w:rsidRPr="004E0E5E">
        <w:t xml:space="preserve"> Kur një shoqëri kursim</w:t>
      </w:r>
      <w:r>
        <w:t>-</w:t>
      </w:r>
      <w:r w:rsidRPr="004E0E5E">
        <w:t>kreditit nuk është anëtare në union dhe është në shkelje qoftë dhe të njërës nga normat e mbikëqyrjes, ajo duhet të raportojë në Bankën e Shqipërisë çdo tre muaj për të gjitha normat e mbikëqyrjes.</w:t>
      </w:r>
    </w:p>
    <w:p w:rsidR="00814BBE" w:rsidRPr="004E0E5E" w:rsidRDefault="00814BBE" w:rsidP="00814BBE">
      <w:pPr>
        <w:pStyle w:val="Paragrafi"/>
      </w:pPr>
      <w:r>
        <w:t>11.6</w:t>
      </w:r>
      <w:r w:rsidRPr="004E0E5E">
        <w:t xml:space="preserve"> </w:t>
      </w:r>
      <w:smartTag w:uri="urn:schemas-microsoft-com:office:smarttags" w:element="place">
        <w:r w:rsidRPr="004E0E5E">
          <w:t>Banka</w:t>
        </w:r>
      </w:smartTag>
      <w:r w:rsidRPr="004E0E5E">
        <w:t xml:space="preserve"> e Shqipërisë, në çdo kohë</w:t>
      </w:r>
      <w:r>
        <w:t>,</w:t>
      </w:r>
      <w:r w:rsidRPr="004E0E5E">
        <w:t xml:space="preserve"> mund të kërkojë raportime më të shpeshta.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NeniTitull"/>
      </w:pPr>
      <w:r w:rsidRPr="004E0E5E">
        <w:t>Kontrolli</w:t>
      </w:r>
    </w:p>
    <w:p w:rsidR="00814BBE" w:rsidRPr="004E0E5E" w:rsidRDefault="00814BBE" w:rsidP="00814BBE">
      <w:pPr>
        <w:pStyle w:val="NeniNr"/>
      </w:pPr>
      <w:r w:rsidRPr="004E0E5E">
        <w:t>Neni 12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Paragrafi"/>
      </w:pPr>
      <w:r>
        <w:t>12.1</w:t>
      </w:r>
      <w:r w:rsidRPr="004E0E5E">
        <w:t xml:space="preserve"> </w:t>
      </w:r>
      <w:smartTag w:uri="urn:schemas-microsoft-com:office:smarttags" w:element="place">
        <w:r w:rsidRPr="004E0E5E">
          <w:t>Banka</w:t>
        </w:r>
      </w:smartTag>
      <w:r w:rsidRPr="004E0E5E">
        <w:t xml:space="preserve"> e Shqipërisë kontrollon dhe analizon veprimtarinë e shoqërive si nëpërmjet analizës së të dhënave të raportuara nga shoqëritë, ashtu dhe nëpërmjet inspektimeve në vend. </w:t>
      </w:r>
    </w:p>
    <w:p w:rsidR="00814BBE" w:rsidRPr="004E0E5E" w:rsidRDefault="00814BBE" w:rsidP="00814BBE">
      <w:pPr>
        <w:pStyle w:val="Paragrafi"/>
      </w:pPr>
      <w:r>
        <w:lastRenderedPageBreak/>
        <w:t>12.2</w:t>
      </w:r>
      <w:r w:rsidRPr="004E0E5E">
        <w:t xml:space="preserve"> Shoqëritë janë të detyruara të respektojnë në çdo kohë të gjitha kërkesat e rregullores dhe kërkesat shtesë të vendosura nga </w:t>
      </w:r>
      <w:smartTag w:uri="urn:schemas-microsoft-com:office:smarttags" w:element="place">
        <w:r w:rsidRPr="004E0E5E">
          <w:t>Banka</w:t>
        </w:r>
      </w:smartTag>
      <w:r w:rsidRPr="004E0E5E">
        <w:t xml:space="preserve"> e Shqipërisë. </w:t>
      </w:r>
    </w:p>
    <w:p w:rsidR="00814BBE" w:rsidRPr="004E0E5E" w:rsidRDefault="00814BBE" w:rsidP="00814BBE">
      <w:pPr>
        <w:pStyle w:val="Paragrafi"/>
      </w:pPr>
      <w:r>
        <w:t>12.3</w:t>
      </w:r>
      <w:r w:rsidRPr="004E0E5E">
        <w:t xml:space="preserve"> Në rast mosplotësimi të kërkesave të pikës 12.2., shoqëritë janë të detyruara të bëjnë rregullimet e duhura b</w:t>
      </w:r>
      <w:r>
        <w:t>renda 3 muajve</w:t>
      </w:r>
      <w:r w:rsidRPr="004E0E5E">
        <w:t xml:space="preserve"> nga data e hyrjes në fuqi të kësaj rregulloreje. Bordi i drejtorëve të shoqërisë së kursim-kreditit duhet të prezantojë një plan të hollësi</w:t>
      </w:r>
      <w:r>
        <w:t>shëm të veprimeve që do të ndër</w:t>
      </w:r>
      <w:r w:rsidRPr="004E0E5E">
        <w:t xml:space="preserve">marrë shoqëria  për të respektuar kërkesat e kësaj rregulloreje. Në rast të kundërt, </w:t>
      </w:r>
      <w:smartTag w:uri="urn:schemas-microsoft-com:office:smarttags" w:element="place">
        <w:r w:rsidRPr="004E0E5E">
          <w:t>Banka</w:t>
        </w:r>
      </w:smartTag>
      <w:r w:rsidRPr="004E0E5E">
        <w:t xml:space="preserve"> e Shqipërisë ka të drejtë të marr</w:t>
      </w:r>
      <w:r>
        <w:t xml:space="preserve">ë masa në përputhje me nenin 51 të ligjit 8782, datë </w:t>
      </w:r>
      <w:r w:rsidRPr="004E0E5E">
        <w:t>3</w:t>
      </w:r>
      <w:r>
        <w:t>.</w:t>
      </w:r>
      <w:r w:rsidRPr="004E0E5E">
        <w:t>5.</w:t>
      </w:r>
      <w:r>
        <w:t>20</w:t>
      </w:r>
      <w:r w:rsidRPr="004E0E5E">
        <w:t>01 “Për shoqëritë e kursim-kreditit”.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NeniTitull"/>
      </w:pPr>
      <w:r w:rsidRPr="004E0E5E">
        <w:t>Dispozita përfundimtare</w:t>
      </w:r>
    </w:p>
    <w:p w:rsidR="00814BBE" w:rsidRPr="004E0E5E" w:rsidRDefault="00814BBE" w:rsidP="00814BBE">
      <w:pPr>
        <w:pStyle w:val="NeniNr"/>
      </w:pPr>
      <w:r w:rsidRPr="004E0E5E">
        <w:t>Neni 13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Paragrafi"/>
      </w:pPr>
      <w:r>
        <w:t>13.1</w:t>
      </w:r>
      <w:r w:rsidRPr="004E0E5E">
        <w:t xml:space="preserve"> Shoqërit</w:t>
      </w:r>
      <w:r>
        <w:t>ë përcaktojnë me rregulla të brendshme</w:t>
      </w:r>
      <w:r w:rsidRPr="004E0E5E">
        <w:t>, në formën e një manuali, politikat e shkruara për kredidhënien, të cilat miratohen nga bordi drejtues.</w:t>
      </w:r>
    </w:p>
    <w:p w:rsidR="00814BBE" w:rsidRPr="004E0E5E" w:rsidRDefault="00814BBE" w:rsidP="00814BBE">
      <w:pPr>
        <w:pStyle w:val="Paragrafi"/>
      </w:pPr>
      <w:r>
        <w:t>13.2</w:t>
      </w:r>
      <w:r w:rsidRPr="004E0E5E">
        <w:t xml:space="preserve"> Shoqëritë përcaktojnë me rregulloret e brendshme politikat e pranimit të depozitave, afatet e tyre, mënyrën e shpërblimit, si dhe politikat e garantimit të kredisë nëpërmjet bllokimit të depozitës. </w:t>
      </w:r>
    </w:p>
    <w:p w:rsidR="00814BBE" w:rsidRDefault="00814BBE" w:rsidP="00814BBE">
      <w:pPr>
        <w:pStyle w:val="Paragrafi"/>
      </w:pPr>
      <w:r>
        <w:t>13.3</w:t>
      </w:r>
      <w:r w:rsidRPr="004E0E5E">
        <w:t xml:space="preserve"> Unionet e shoqërive të kursim-krediti</w:t>
      </w:r>
      <w:r>
        <w:t>t vendosin rregulla të brendshme</w:t>
      </w:r>
      <w:r w:rsidRPr="004E0E5E">
        <w:t xml:space="preserve"> të shkruar</w:t>
      </w:r>
      <w:r>
        <w:t>a</w:t>
      </w:r>
      <w:r w:rsidRPr="004E0E5E">
        <w:t xml:space="preserve"> për mbikëqyrjen e shoqërive të kursim-kreditit, anëtare në union, në formën e një manuali të miratuar nga bordi drejtues i unionit.</w:t>
      </w:r>
    </w:p>
    <w:p w:rsidR="00814BBE" w:rsidRDefault="00814BBE" w:rsidP="00814BBE">
      <w:pPr>
        <w:pStyle w:val="Paragrafi"/>
      </w:pPr>
      <w:r>
        <w:t>13.4</w:t>
      </w:r>
      <w:r w:rsidRPr="004E0E5E">
        <w:t xml:space="preserve"> </w:t>
      </w:r>
      <w:r>
        <w:t>Shoqëritë duhet të dorëzojnë te</w:t>
      </w:r>
      <w:r w:rsidRPr="004E0E5E">
        <w:t xml:space="preserve"> </w:t>
      </w:r>
      <w:smartTag w:uri="urn:schemas-microsoft-com:office:smarttags" w:element="place">
        <w:r w:rsidRPr="004E0E5E">
          <w:t>Banka</w:t>
        </w:r>
      </w:smartTag>
      <w:r w:rsidRPr="004E0E5E">
        <w:t xml:space="preserve"> e Shqipërisë ndryshimet e bëra në statutet e tyre brenda një muaji pas vendimit të marrë për këto ndryshime nga Asambleja </w:t>
      </w:r>
      <w:r>
        <w:t xml:space="preserve">e </w:t>
      </w:r>
      <w:r w:rsidRPr="004E0E5E">
        <w:t>Përgjithshme. Shoqëritë njoftojnë Bankën e Shqipëri</w:t>
      </w:r>
      <w:r>
        <w:t>së për ndryshimet e anëtarëve në</w:t>
      </w:r>
      <w:r w:rsidRPr="004E0E5E">
        <w:t xml:space="preserve"> bordin drejtues dhe në Këshillin Mbikëqyrës.</w:t>
      </w:r>
    </w:p>
    <w:p w:rsidR="00814BBE" w:rsidRDefault="00814BBE" w:rsidP="00814BBE">
      <w:pPr>
        <w:pStyle w:val="Paragrafi"/>
      </w:pPr>
    </w:p>
    <w:p w:rsidR="00814BBE" w:rsidRPr="004E0E5E" w:rsidRDefault="00814BBE" w:rsidP="00814BBE">
      <w:pPr>
        <w:pStyle w:val="Paragrafi"/>
      </w:pPr>
      <w:r>
        <w:t>13.5</w:t>
      </w:r>
      <w:r w:rsidRPr="004E0E5E">
        <w:t xml:space="preserve"> Rregullorja “Për mbikëqyrjen e shoqërive të kursim</w:t>
      </w:r>
      <w:r>
        <w:t>-</w:t>
      </w:r>
      <w:r w:rsidRPr="004E0E5E">
        <w:t>kreditit dhe të unioneve të tyre”, mir</w:t>
      </w:r>
      <w:r>
        <w:t>atuar me vendimin nr.67, datë 28.</w:t>
      </w:r>
      <w:r w:rsidRPr="004E0E5E">
        <w:t>8.2002 të Këshillit Mbikëqyrës të Bankës së Shqipërisë, shfuqizohet.</w:t>
      </w:r>
    </w:p>
    <w:p w:rsidR="00814BBE" w:rsidRPr="004E0E5E" w:rsidRDefault="00814BBE" w:rsidP="00814BBE">
      <w:pPr>
        <w:pStyle w:val="Paragrafi"/>
      </w:pPr>
      <w:r>
        <w:t>13.6</w:t>
      </w:r>
      <w:r w:rsidRPr="004E0E5E">
        <w:t xml:space="preserve"> Kjo rregullore hyn në fuqi 15 ditë pas botimit në Fletoren Zyrtare të Republikës së Shqipërisë.</w:t>
      </w:r>
    </w:p>
    <w:p w:rsidR="00814BBE" w:rsidRPr="004E0E5E" w:rsidRDefault="00814BBE" w:rsidP="00814BBE">
      <w:pPr>
        <w:pStyle w:val="Paragrafi"/>
      </w:pPr>
    </w:p>
    <w:p w:rsidR="00814BBE" w:rsidRPr="004E0E5E" w:rsidRDefault="00814BBE" w:rsidP="00814BBE">
      <w:pPr>
        <w:pStyle w:val="Autoriteti"/>
      </w:pPr>
      <w:r w:rsidRPr="004E0E5E">
        <w:t>KRYETARI I KËSHIILIT MBIKËQYRËS</w:t>
      </w:r>
    </w:p>
    <w:p w:rsidR="00814BBE" w:rsidRPr="004E0E5E" w:rsidRDefault="00814BBE" w:rsidP="00814BBE">
      <w:pPr>
        <w:pStyle w:val="AutoritetiEmer"/>
      </w:pPr>
      <w:r w:rsidRPr="004E0E5E">
        <w:t>Ardian Fullani</w:t>
      </w:r>
    </w:p>
    <w:p w:rsidR="00814BBE" w:rsidRPr="004E0E5E" w:rsidRDefault="00814BBE" w:rsidP="00814BBE">
      <w:pPr>
        <w:pStyle w:val="Paragrafi"/>
      </w:pPr>
    </w:p>
    <w:p w:rsidR="00814BBE" w:rsidRDefault="00814BBE" w:rsidP="00814BBE">
      <w:pPr>
        <w:pStyle w:val="Paragrafi"/>
      </w:pPr>
    </w:p>
    <w:p w:rsidR="00814BBE" w:rsidRPr="00100E50" w:rsidRDefault="00814BBE" w:rsidP="00814BBE">
      <w:pPr>
        <w:pStyle w:val="Paragrafi"/>
      </w:pPr>
    </w:p>
    <w:sectPr w:rsidR="00814BBE" w:rsidRPr="00100E5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A73D7"/>
    <w:rsid w:val="007B0B5A"/>
    <w:rsid w:val="0080475E"/>
    <w:rsid w:val="008072B9"/>
    <w:rsid w:val="00814BBE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A8607A-05DB-44E4-9264-72CC6788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TitullChar">
    <w:name w:val="Neni_Titull Char"/>
    <w:basedOn w:val="DefaultParagraphFont"/>
    <w:link w:val="NeniTitull"/>
    <w:rsid w:val="00814BBE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14BB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1617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