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ACB" w:rsidRPr="008866FF" w:rsidRDefault="00D36ACB" w:rsidP="00D36ACB">
      <w:pPr>
        <w:pStyle w:val="Paragrafi"/>
        <w:rPr>
          <w:lang w:val="it-IT"/>
        </w:rPr>
      </w:pPr>
      <w:bookmarkStart w:id="0" w:name="_GoBack"/>
      <w:bookmarkEnd w:id="0"/>
    </w:p>
    <w:p w:rsidR="00D36ACB" w:rsidRPr="00D36ACB" w:rsidRDefault="00D36ACB" w:rsidP="00D36ACB">
      <w:pPr>
        <w:pStyle w:val="Akti"/>
        <w:rPr>
          <w:lang w:val="it-IT"/>
        </w:rPr>
      </w:pPr>
      <w:r w:rsidRPr="00D36ACB">
        <w:rPr>
          <w:lang w:val="it-IT"/>
        </w:rPr>
        <w:t>VENDIM</w:t>
      </w:r>
    </w:p>
    <w:p w:rsidR="00D36ACB" w:rsidRPr="00D36ACB" w:rsidRDefault="00D36ACB" w:rsidP="00D36ACB">
      <w:pPr>
        <w:pStyle w:val="NumriData"/>
        <w:rPr>
          <w:lang w:val="it-IT"/>
        </w:rPr>
      </w:pPr>
      <w:r w:rsidRPr="00D36ACB">
        <w:rPr>
          <w:lang w:val="it-IT"/>
        </w:rPr>
        <w:t>Nr.57, datë 15.10.2007</w:t>
      </w:r>
    </w:p>
    <w:p w:rsidR="00D36ACB" w:rsidRPr="008866FF" w:rsidRDefault="00D36ACB" w:rsidP="00D36ACB">
      <w:pPr>
        <w:pStyle w:val="Paragrafi"/>
        <w:rPr>
          <w:lang w:val="it-IT"/>
        </w:rPr>
      </w:pPr>
    </w:p>
    <w:p w:rsidR="00D36ACB" w:rsidRPr="00D36ACB" w:rsidRDefault="00D36ACB" w:rsidP="00D36ACB">
      <w:pPr>
        <w:pStyle w:val="Titulli"/>
        <w:rPr>
          <w:lang w:val="it-IT"/>
        </w:rPr>
      </w:pPr>
      <w:r w:rsidRPr="00D36ACB">
        <w:rPr>
          <w:lang w:val="it-IT"/>
        </w:rPr>
        <w:t>PËR MIRATIMIN E RREGULLORES “PËR ADMINISTRIMIN E RREZIKUT NË VEPRIMTARINË E DEGËVE TË BANKAVE TË HUAJA”</w:t>
      </w:r>
    </w:p>
    <w:p w:rsidR="00D36ACB" w:rsidRPr="008866FF" w:rsidRDefault="00D36ACB" w:rsidP="00D36ACB">
      <w:pPr>
        <w:pStyle w:val="Paragrafi"/>
        <w:rPr>
          <w:rFonts w:eastAsia="Arial Unicode MS"/>
          <w:lang w:val="it-IT"/>
        </w:rPr>
      </w:pPr>
    </w:p>
    <w:p w:rsidR="00D36ACB" w:rsidRPr="00D36ACB" w:rsidRDefault="00D36ACB" w:rsidP="00D36ACB">
      <w:pPr>
        <w:pStyle w:val="KreuNr"/>
        <w:rPr>
          <w:rFonts w:eastAsia="Arial Unicode MS"/>
          <w:lang w:val="it-IT"/>
        </w:rPr>
      </w:pPr>
      <w:r w:rsidRPr="00D36ACB">
        <w:rPr>
          <w:rFonts w:eastAsia="Arial Unicode MS"/>
          <w:lang w:val="it-IT"/>
        </w:rPr>
        <w:t xml:space="preserve">Kreu I </w:t>
      </w:r>
    </w:p>
    <w:p w:rsidR="00D36ACB" w:rsidRPr="00D36ACB" w:rsidRDefault="00D36ACB" w:rsidP="00D36ACB">
      <w:pPr>
        <w:pStyle w:val="KreuTitull"/>
        <w:rPr>
          <w:rFonts w:eastAsia="Arial Unicode MS"/>
          <w:lang w:val="it-IT"/>
        </w:rPr>
      </w:pPr>
      <w:r w:rsidRPr="00D36ACB">
        <w:rPr>
          <w:rFonts w:eastAsia="Arial Unicode MS"/>
          <w:lang w:val="it-IT"/>
        </w:rPr>
        <w:t xml:space="preserve">Të përgjithshme </w:t>
      </w:r>
    </w:p>
    <w:p w:rsidR="00D36ACB" w:rsidRPr="008866FF" w:rsidRDefault="00D36ACB" w:rsidP="00D36ACB">
      <w:pPr>
        <w:pStyle w:val="Paragrafi"/>
        <w:rPr>
          <w:rFonts w:eastAsia="Arial Unicode MS"/>
          <w:lang w:val="it-IT"/>
        </w:rPr>
      </w:pPr>
    </w:p>
    <w:p w:rsidR="00D36ACB" w:rsidRPr="00D36ACB" w:rsidRDefault="00D36ACB" w:rsidP="00D36ACB">
      <w:pPr>
        <w:pStyle w:val="NeniNr"/>
        <w:rPr>
          <w:rFonts w:eastAsia="Arial Unicode MS"/>
          <w:lang w:val="it-IT"/>
        </w:rPr>
      </w:pPr>
      <w:r w:rsidRPr="00D36ACB">
        <w:rPr>
          <w:rFonts w:eastAsia="Arial Unicode MS"/>
          <w:lang w:val="it-IT"/>
        </w:rPr>
        <w:t>Neni 1</w:t>
      </w:r>
    </w:p>
    <w:p w:rsidR="00D36ACB" w:rsidRPr="00D36ACB" w:rsidRDefault="00D36ACB" w:rsidP="00D36ACB">
      <w:pPr>
        <w:pStyle w:val="NeniTitull"/>
        <w:rPr>
          <w:rFonts w:eastAsia="Arial Unicode MS"/>
          <w:lang w:val="it-IT"/>
        </w:rPr>
      </w:pPr>
      <w:r w:rsidRPr="00D36ACB">
        <w:rPr>
          <w:rFonts w:eastAsia="Arial Unicode MS"/>
          <w:lang w:val="it-IT"/>
        </w:rPr>
        <w:t>Objekti</w:t>
      </w:r>
    </w:p>
    <w:p w:rsidR="00D36ACB" w:rsidRPr="008866FF" w:rsidRDefault="00D36ACB" w:rsidP="00D36ACB">
      <w:pPr>
        <w:pStyle w:val="Paragrafi"/>
        <w:rPr>
          <w:rFonts w:eastAsia="Arial Unicode MS"/>
          <w:lang w:val="it-IT"/>
        </w:rPr>
      </w:pPr>
    </w:p>
    <w:p w:rsidR="00D36ACB" w:rsidRPr="008866FF" w:rsidRDefault="00D36ACB" w:rsidP="00D36ACB">
      <w:pPr>
        <w:pStyle w:val="Paragrafi"/>
        <w:rPr>
          <w:rFonts w:eastAsia="Arial Unicode MS"/>
          <w:lang w:val="it-IT"/>
        </w:rPr>
      </w:pPr>
      <w:r w:rsidRPr="008866FF">
        <w:rPr>
          <w:rFonts w:eastAsia="Arial Unicode MS"/>
          <w:lang w:val="it-IT"/>
        </w:rPr>
        <w:t>Objekti i kësaj rregulloreje është:</w:t>
      </w:r>
    </w:p>
    <w:p w:rsidR="00D36ACB" w:rsidRPr="008866FF" w:rsidRDefault="00D36ACB" w:rsidP="00D36ACB">
      <w:pPr>
        <w:pStyle w:val="Paragrafi"/>
        <w:rPr>
          <w:rFonts w:eastAsia="Arial Unicode MS"/>
          <w:lang w:val="it-IT"/>
        </w:rPr>
      </w:pPr>
      <w:r w:rsidRPr="008866FF">
        <w:rPr>
          <w:rFonts w:eastAsia="Arial Unicode MS"/>
          <w:lang w:val="it-IT"/>
        </w:rPr>
        <w:t>a) përcaktimi i instrumenteve që sigurojnë ushtrimin në mënyrë të sigurt dhe të qëndrueshme të veprimtarisë së degës së bankës së huaj;</w:t>
      </w:r>
    </w:p>
    <w:p w:rsidR="00D36ACB" w:rsidRPr="008866FF" w:rsidRDefault="00D36ACB" w:rsidP="00D36ACB">
      <w:pPr>
        <w:pStyle w:val="Paragrafi"/>
        <w:rPr>
          <w:rFonts w:eastAsia="Arial Unicode MS"/>
          <w:lang w:val="it-IT"/>
        </w:rPr>
      </w:pPr>
      <w:r w:rsidRPr="008866FF">
        <w:rPr>
          <w:rFonts w:eastAsia="Arial Unicode MS"/>
          <w:lang w:val="it-IT"/>
        </w:rPr>
        <w:t>b) vendosja e kufizimeve maksimale të ekspozimit ndaj disa prej rreziqeve në ushtrimin e veprimtarisë së degës së bankës së huaj;</w:t>
      </w:r>
    </w:p>
    <w:p w:rsidR="00D36ACB" w:rsidRPr="008866FF" w:rsidRDefault="00D36ACB" w:rsidP="00D36ACB">
      <w:pPr>
        <w:pStyle w:val="Paragrafi"/>
        <w:rPr>
          <w:rFonts w:eastAsia="Arial Unicode MS"/>
          <w:lang w:val="it-IT"/>
        </w:rPr>
      </w:pPr>
      <w:r w:rsidRPr="008866FF">
        <w:rPr>
          <w:rFonts w:eastAsia="Arial Unicode MS"/>
          <w:lang w:val="it-IT"/>
        </w:rPr>
        <w:t xml:space="preserve">c) përcaktimi i kërkesave dhe i detyrimeve mbi raportimet dhe dokumentacionin verifikues për zbatimin e kësaj rregulloreje. </w:t>
      </w:r>
    </w:p>
    <w:p w:rsidR="00D36ACB" w:rsidRPr="00D36ACB" w:rsidRDefault="00D36ACB" w:rsidP="00D36ACB">
      <w:pPr>
        <w:pStyle w:val="NeniNr"/>
        <w:rPr>
          <w:rFonts w:eastAsia="Arial Unicode MS"/>
          <w:lang w:val="it-IT"/>
        </w:rPr>
      </w:pPr>
    </w:p>
    <w:p w:rsidR="00D36ACB" w:rsidRPr="00D36ACB" w:rsidRDefault="00D36ACB" w:rsidP="00D36ACB">
      <w:pPr>
        <w:pStyle w:val="NeniNr"/>
        <w:rPr>
          <w:rFonts w:eastAsia="Arial Unicode MS"/>
          <w:lang w:val="it-IT"/>
        </w:rPr>
      </w:pPr>
      <w:r w:rsidRPr="00D36ACB">
        <w:rPr>
          <w:rFonts w:eastAsia="Arial Unicode MS"/>
          <w:lang w:val="it-IT"/>
        </w:rPr>
        <w:t>Neni 2</w:t>
      </w:r>
    </w:p>
    <w:p w:rsidR="00D36ACB" w:rsidRPr="00D36ACB" w:rsidRDefault="00D36ACB" w:rsidP="00D36ACB">
      <w:pPr>
        <w:pStyle w:val="NeniTitull"/>
        <w:rPr>
          <w:rFonts w:eastAsia="Arial Unicode MS"/>
          <w:lang w:val="it-IT"/>
        </w:rPr>
      </w:pPr>
      <w:r w:rsidRPr="00D36ACB">
        <w:rPr>
          <w:rFonts w:eastAsia="Arial Unicode MS"/>
          <w:lang w:val="it-IT"/>
        </w:rPr>
        <w:t>Subjektet</w:t>
      </w:r>
    </w:p>
    <w:p w:rsidR="00D36ACB" w:rsidRPr="008866FF" w:rsidRDefault="00D36ACB" w:rsidP="00D36ACB">
      <w:pPr>
        <w:pStyle w:val="Paragrafi"/>
        <w:rPr>
          <w:rFonts w:eastAsia="Arial Unicode MS"/>
          <w:lang w:val="it-IT"/>
        </w:rPr>
      </w:pPr>
    </w:p>
    <w:p w:rsidR="00D36ACB" w:rsidRPr="008866FF" w:rsidRDefault="00D36ACB" w:rsidP="00D36ACB">
      <w:pPr>
        <w:pStyle w:val="Paragrafi"/>
        <w:rPr>
          <w:rFonts w:eastAsia="Arial Unicode MS"/>
          <w:lang w:val="it-IT"/>
        </w:rPr>
      </w:pPr>
      <w:r w:rsidRPr="008866FF">
        <w:rPr>
          <w:rFonts w:eastAsia="Arial Unicode MS"/>
          <w:lang w:val="it-IT"/>
        </w:rPr>
        <w:t>Subjekte të kësaj rregulloreje janë degët e bankave të huaja të licencuara nga Banka e Shqipërisë për të ushtruar veprimtari bankare dhe financiare në Republikën e Shqipërisë, që në vijim për thjeshtësi, në këtë rregullore, do të quhen “degë”.</w:t>
      </w:r>
    </w:p>
    <w:p w:rsidR="00D36ACB" w:rsidRPr="008866FF" w:rsidRDefault="00D36ACB" w:rsidP="00D36ACB">
      <w:pPr>
        <w:pStyle w:val="Paragrafi"/>
        <w:rPr>
          <w:rFonts w:eastAsia="Arial Unicode MS"/>
          <w:lang w:val="it-IT"/>
        </w:rPr>
      </w:pPr>
    </w:p>
    <w:p w:rsidR="00D36ACB" w:rsidRPr="00D36ACB" w:rsidRDefault="00D36ACB" w:rsidP="00D36ACB">
      <w:pPr>
        <w:pStyle w:val="NeniNr"/>
        <w:rPr>
          <w:rFonts w:eastAsia="Arial Unicode MS"/>
          <w:lang w:val="it-IT"/>
        </w:rPr>
      </w:pPr>
      <w:r w:rsidRPr="00D36ACB">
        <w:rPr>
          <w:rFonts w:eastAsia="Arial Unicode MS"/>
          <w:lang w:val="it-IT"/>
        </w:rPr>
        <w:t>Neni 3</w:t>
      </w:r>
    </w:p>
    <w:p w:rsidR="00D36ACB" w:rsidRPr="00D36ACB" w:rsidRDefault="00D36ACB" w:rsidP="00D36ACB">
      <w:pPr>
        <w:pStyle w:val="NeniTitull"/>
        <w:rPr>
          <w:rFonts w:eastAsia="Arial Unicode MS"/>
          <w:lang w:val="it-IT"/>
        </w:rPr>
      </w:pPr>
      <w:r w:rsidRPr="00D36ACB">
        <w:rPr>
          <w:rFonts w:eastAsia="Arial Unicode MS"/>
          <w:lang w:val="it-IT"/>
        </w:rPr>
        <w:t>Baza ligjore</w:t>
      </w:r>
    </w:p>
    <w:p w:rsidR="00D36ACB" w:rsidRPr="008866FF" w:rsidRDefault="00D36ACB" w:rsidP="00D36ACB">
      <w:pPr>
        <w:pStyle w:val="Paragrafi"/>
        <w:rPr>
          <w:rFonts w:eastAsia="Arial Unicode MS"/>
          <w:lang w:val="it-IT"/>
        </w:rPr>
      </w:pPr>
    </w:p>
    <w:p w:rsidR="00D36ACB" w:rsidRPr="008866FF" w:rsidRDefault="00D36ACB" w:rsidP="00D36ACB">
      <w:pPr>
        <w:pStyle w:val="Paragrafi"/>
        <w:rPr>
          <w:rFonts w:eastAsia="Arial Unicode MS"/>
          <w:lang w:val="it-IT"/>
        </w:rPr>
      </w:pPr>
      <w:r w:rsidRPr="008866FF">
        <w:rPr>
          <w:rFonts w:eastAsia="Arial Unicode MS"/>
          <w:lang w:val="it-IT"/>
        </w:rPr>
        <w:t>Kjo rregullore nxirret në bazë dhe për zbatim të nenit 12, shkronja “a” të ligjit nr.8269, datë 23.12.1997 “Për Bankën e Shqipërisë”, i ndryshuar (më poshtë ligji “Për Bankën”) dhe të</w:t>
      </w:r>
      <w:r w:rsidRPr="008866FF">
        <w:rPr>
          <w:lang w:val="it-IT"/>
        </w:rPr>
        <w:t xml:space="preserve"> nenit 57, pika 2, nenit 58, pika 1, shkronjat “b” dhe “c”, nenit 59, pika 8 dhe nenit 108, pika 2 të</w:t>
      </w:r>
      <w:r w:rsidRPr="008866FF">
        <w:rPr>
          <w:rFonts w:eastAsia="Arial Unicode MS"/>
          <w:lang w:val="it-IT"/>
        </w:rPr>
        <w:t xml:space="preserve"> ligjit nr.9662, datë 18.12.2006 “Për bankat në Republikën e Shqipërisë” (më poshtë ligji “Për bankat”).</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Neni 4</w:t>
      </w:r>
    </w:p>
    <w:p w:rsidR="00D36ACB" w:rsidRPr="008866FF" w:rsidRDefault="00D36ACB" w:rsidP="00D36ACB">
      <w:pPr>
        <w:pStyle w:val="Paragrafi"/>
        <w:rPr>
          <w:lang w:val="it-IT"/>
        </w:rPr>
      </w:pPr>
      <w:r w:rsidRPr="008866FF">
        <w:rPr>
          <w:lang w:val="it-IT"/>
        </w:rPr>
        <w:t>Përkufizime</w:t>
      </w:r>
    </w:p>
    <w:p w:rsidR="00D36ACB" w:rsidRPr="008866FF" w:rsidRDefault="00D36ACB" w:rsidP="00D36ACB">
      <w:pPr>
        <w:pStyle w:val="Paragrafi"/>
        <w:rPr>
          <w:lang w:val="it-IT"/>
        </w:rPr>
      </w:pPr>
    </w:p>
    <w:p w:rsidR="00D36ACB" w:rsidRPr="008866FF" w:rsidRDefault="00D36ACB" w:rsidP="00D36ACB">
      <w:pPr>
        <w:pStyle w:val="Paragrafi"/>
        <w:rPr>
          <w:rFonts w:eastAsia="Arial Unicode MS"/>
          <w:lang w:val="it-IT"/>
        </w:rPr>
      </w:pPr>
      <w:r w:rsidRPr="008866FF">
        <w:rPr>
          <w:rFonts w:eastAsia="Arial Unicode MS"/>
          <w:lang w:val="it-IT"/>
        </w:rPr>
        <w:t>Për qëllime të zbatimit të kësaj rregulloreje, termat e përdorur kanë të njëjtin kuptim si në nenin 4 të ligjit “Për bankat”, ndërsa termat e mëposhtëm do të kenë këto kuptime:</w:t>
      </w:r>
    </w:p>
    <w:p w:rsidR="00D36ACB" w:rsidRPr="008866FF" w:rsidRDefault="00D36ACB" w:rsidP="00D36ACB">
      <w:pPr>
        <w:pStyle w:val="Paragrafi"/>
        <w:rPr>
          <w:lang w:val="it-IT"/>
        </w:rPr>
      </w:pPr>
      <w:r w:rsidRPr="008866FF">
        <w:rPr>
          <w:lang w:val="it-IT"/>
        </w:rPr>
        <w:t>“Depozitë ekuivalente e kapitalit” (DEK-a) - është pjesa e kapitalit fillestar minimal të dhuruar dhe të paguar në para nga banka-mëmë, për ushtrimin e veprimtarisë nga dega e saj në Republikën e Shqipërisë, të cilën dega është e detyruar ta investojë në aktivet e përcaktuara në pikën 7 të nenit 59 të ligjit “Për bankat”, sipas kushteve dhe kritereve të përcaktuara në këtë rregullore.</w:t>
      </w:r>
    </w:p>
    <w:p w:rsidR="00D36ACB" w:rsidRPr="008866FF" w:rsidRDefault="00D36ACB" w:rsidP="00D36ACB">
      <w:pPr>
        <w:pStyle w:val="Paragrafi"/>
        <w:rPr>
          <w:lang w:val="it-IT"/>
        </w:rPr>
      </w:pPr>
      <w:r w:rsidRPr="008866FF">
        <w:rPr>
          <w:lang w:val="it-IT"/>
        </w:rPr>
        <w:t>“Bankë-mëmë” - është banka e huaj, e licencuar për të ushtruar veprimtari bankare nga autoriteti përgjegjës i vendit të huaj, të cilës i është dhënë e drejta nga Banka e Shqipërisë për të hapur një degë të saj në Republikën e Shqipërisë.</w:t>
      </w:r>
    </w:p>
    <w:p w:rsidR="00D36ACB" w:rsidRPr="008866FF" w:rsidRDefault="00D36ACB" w:rsidP="00D36ACB">
      <w:pPr>
        <w:pStyle w:val="Paragrafi"/>
        <w:rPr>
          <w:lang w:val="it-IT"/>
        </w:rPr>
      </w:pPr>
    </w:p>
    <w:p w:rsidR="00D36ACB" w:rsidRPr="00D36ACB" w:rsidRDefault="00D36ACB" w:rsidP="00D36ACB">
      <w:pPr>
        <w:pStyle w:val="KreuNr"/>
        <w:rPr>
          <w:lang w:val="it-IT"/>
        </w:rPr>
      </w:pPr>
      <w:r w:rsidRPr="00D36ACB">
        <w:rPr>
          <w:lang w:val="it-IT"/>
        </w:rPr>
        <w:t>Kreu II</w:t>
      </w:r>
    </w:p>
    <w:p w:rsidR="00D36ACB" w:rsidRPr="00D36ACB" w:rsidRDefault="00D36ACB" w:rsidP="00D36ACB">
      <w:pPr>
        <w:pStyle w:val="KreuTitull"/>
        <w:rPr>
          <w:lang w:val="it-IT"/>
        </w:rPr>
      </w:pPr>
      <w:r w:rsidRPr="00D36ACB">
        <w:rPr>
          <w:lang w:val="it-IT"/>
        </w:rPr>
        <w:t>Instrumentet e administrimit të rrezikut</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Neni 5</w:t>
      </w:r>
    </w:p>
    <w:p w:rsidR="00D36ACB" w:rsidRPr="00D36ACB" w:rsidRDefault="00D36ACB" w:rsidP="00D36ACB">
      <w:pPr>
        <w:pStyle w:val="NeniTitull"/>
        <w:rPr>
          <w:lang w:val="it-IT"/>
        </w:rPr>
      </w:pPr>
      <w:r w:rsidRPr="00D36ACB">
        <w:rPr>
          <w:lang w:val="it-IT"/>
        </w:rPr>
        <w:t xml:space="preserve">Llojet e instrumenteve </w:t>
      </w:r>
    </w:p>
    <w:p w:rsidR="00D36ACB" w:rsidRPr="008866FF" w:rsidRDefault="00D36ACB" w:rsidP="00D36ACB">
      <w:pPr>
        <w:pStyle w:val="Paragrafi"/>
        <w:rPr>
          <w:lang w:val="it-IT"/>
        </w:rPr>
      </w:pPr>
      <w:r w:rsidRPr="008866FF">
        <w:rPr>
          <w:lang w:val="it-IT"/>
        </w:rPr>
        <w:t xml:space="preserve"> </w:t>
      </w:r>
    </w:p>
    <w:p w:rsidR="00D36ACB" w:rsidRPr="008866FF" w:rsidRDefault="00D36ACB" w:rsidP="00D36ACB">
      <w:pPr>
        <w:pStyle w:val="Paragrafi"/>
        <w:rPr>
          <w:lang w:val="it-IT"/>
        </w:rPr>
      </w:pPr>
      <w:r w:rsidRPr="008866FF">
        <w:rPr>
          <w:lang w:val="it-IT"/>
        </w:rPr>
        <w:lastRenderedPageBreak/>
        <w:t>Sigurimi i ushtrimit të veprimtarisë bankare dhe/ose financiare të degës në mënyrë të sigurt dhe të qëndrueshme, si dhe përmbushja e detyrimeve të saj ndaj kreditorëve, bëhet nëpërmjet përdorimit të instrumenteve të mëposhtme:</w:t>
      </w:r>
    </w:p>
    <w:p w:rsidR="00D36ACB" w:rsidRPr="008866FF" w:rsidRDefault="00D36ACB" w:rsidP="00D36ACB">
      <w:pPr>
        <w:pStyle w:val="Paragrafi"/>
        <w:rPr>
          <w:lang w:val="it-IT"/>
        </w:rPr>
      </w:pPr>
      <w:r w:rsidRPr="008866FF">
        <w:rPr>
          <w:lang w:val="it-IT"/>
        </w:rPr>
        <w:t>a) Garancive që ofron banka-mëmë për administrimin e rreziqeve të degës, sipas përcaktimeve të nenit 6 të kësaj rregulloreje.</w:t>
      </w:r>
    </w:p>
    <w:p w:rsidR="00D36ACB" w:rsidRPr="008866FF" w:rsidRDefault="00D36ACB" w:rsidP="00D36ACB">
      <w:pPr>
        <w:pStyle w:val="Paragrafi"/>
        <w:rPr>
          <w:lang w:val="it-IT"/>
        </w:rPr>
      </w:pPr>
      <w:r w:rsidRPr="008866FF">
        <w:rPr>
          <w:lang w:val="it-IT"/>
        </w:rPr>
        <w:t>b) Investimit të DEK-ës, sipas përcaktimeve të pikës 7, neni 59 të ligjit “Për bankat” dhe të dispozitave të kësaj rregulloreje.</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 xml:space="preserve">Neni 6 </w:t>
      </w:r>
    </w:p>
    <w:p w:rsidR="00D36ACB" w:rsidRPr="00D36ACB" w:rsidRDefault="00D36ACB" w:rsidP="00D36ACB">
      <w:pPr>
        <w:pStyle w:val="NeniTitull"/>
        <w:rPr>
          <w:lang w:val="it-IT"/>
        </w:rPr>
      </w:pPr>
      <w:r w:rsidRPr="00D36ACB">
        <w:rPr>
          <w:rFonts w:eastAsia="Arial Unicode MS"/>
          <w:lang w:val="it-IT"/>
        </w:rPr>
        <w:t xml:space="preserve">Garancitë e bankës-mëmë </w:t>
      </w:r>
    </w:p>
    <w:p w:rsidR="00D36ACB" w:rsidRPr="008866FF" w:rsidRDefault="00D36ACB" w:rsidP="00D36ACB">
      <w:pPr>
        <w:pStyle w:val="Paragrafi"/>
        <w:rPr>
          <w:rFonts w:eastAsia="Arial Unicode MS"/>
          <w:lang w:val="it-IT"/>
        </w:rPr>
      </w:pPr>
    </w:p>
    <w:p w:rsidR="00D36ACB" w:rsidRPr="008866FF" w:rsidRDefault="00D36ACB" w:rsidP="00D36ACB">
      <w:pPr>
        <w:pStyle w:val="Paragrafi"/>
        <w:rPr>
          <w:rFonts w:eastAsia="Arial Unicode MS"/>
          <w:lang w:val="it-IT"/>
        </w:rPr>
      </w:pPr>
      <w:r w:rsidRPr="008866FF">
        <w:rPr>
          <w:rFonts w:eastAsia="Arial Unicode MS"/>
          <w:lang w:val="it-IT"/>
        </w:rPr>
        <w:t>Për administrimin e rreziqeve të degës, banka-mëmë mbështet veprimtarinë e degës nëpërmjet:</w:t>
      </w:r>
    </w:p>
    <w:p w:rsidR="00D36ACB" w:rsidRPr="008866FF" w:rsidRDefault="00D36ACB" w:rsidP="00D36ACB">
      <w:pPr>
        <w:pStyle w:val="Paragrafi"/>
        <w:rPr>
          <w:rFonts w:eastAsia="Arial Unicode MS"/>
          <w:lang w:val="it-IT"/>
        </w:rPr>
      </w:pPr>
      <w:r w:rsidRPr="008866FF">
        <w:rPr>
          <w:rFonts w:eastAsia="Arial Unicode MS"/>
          <w:lang w:val="it-IT"/>
        </w:rPr>
        <w:t>a) dhurimit të kapitalit fillestar, si edhe ruajtjes së niveleve të përshtatshme të DEK-ës, sipas kërkesave të kësaj rregulloreje;</w:t>
      </w:r>
    </w:p>
    <w:p w:rsidR="00D36ACB" w:rsidRPr="008866FF" w:rsidRDefault="00D36ACB" w:rsidP="00D36ACB">
      <w:pPr>
        <w:pStyle w:val="Paragrafi"/>
        <w:rPr>
          <w:rFonts w:eastAsia="Arial Unicode MS"/>
          <w:lang w:val="it-IT"/>
        </w:rPr>
      </w:pPr>
      <w:r w:rsidRPr="008866FF">
        <w:rPr>
          <w:rFonts w:eastAsia="Arial Unicode MS"/>
          <w:lang w:val="it-IT"/>
        </w:rPr>
        <w:t>b) angazhimit zyrtar (me shkrim) përpara Bankës së Shqipërisë se garanton me aktivet e saj të gjitha detyrimet që rrjedhin nga veprimtaritë e degës në Republikën e Shqipërisë;</w:t>
      </w:r>
    </w:p>
    <w:p w:rsidR="00D36ACB" w:rsidRPr="008866FF" w:rsidRDefault="00D36ACB" w:rsidP="00D36ACB">
      <w:pPr>
        <w:pStyle w:val="Paragrafi"/>
        <w:rPr>
          <w:rFonts w:eastAsia="Arial Unicode MS"/>
          <w:lang w:val="it-IT"/>
        </w:rPr>
      </w:pPr>
    </w:p>
    <w:p w:rsidR="00D36ACB" w:rsidRPr="008866FF" w:rsidRDefault="00D36ACB" w:rsidP="00D36ACB">
      <w:pPr>
        <w:pStyle w:val="Paragrafi"/>
        <w:rPr>
          <w:rFonts w:eastAsia="Arial Unicode MS"/>
          <w:lang w:val="it-IT"/>
        </w:rPr>
      </w:pPr>
      <w:r w:rsidRPr="008866FF">
        <w:rPr>
          <w:rFonts w:eastAsia="Arial Unicode MS"/>
          <w:lang w:val="it-IT"/>
        </w:rPr>
        <w:t>c) mbulimit të humbjeve financiare të degës gjatë një viti financiar, brenda gjashtëmujorit të parë të vitit pasardhës;</w:t>
      </w:r>
    </w:p>
    <w:p w:rsidR="00D36ACB" w:rsidRPr="008866FF" w:rsidRDefault="00D36ACB" w:rsidP="00D36ACB">
      <w:pPr>
        <w:pStyle w:val="Paragrafi"/>
        <w:rPr>
          <w:rFonts w:eastAsia="Arial Unicode MS"/>
          <w:lang w:val="it-IT"/>
        </w:rPr>
      </w:pPr>
      <w:r w:rsidRPr="008866FF">
        <w:rPr>
          <w:rFonts w:eastAsia="Arial Unicode MS"/>
          <w:lang w:val="it-IT"/>
        </w:rPr>
        <w:t>d) zbatimit të standardeve më të mira të përgjegjshmërisë në drejtim, nëpërmjet miratimit dhe zbatimit të procedurave të brendshme për ndarjen e qartë të përgjegjësive, të përcaktimit të mënyrave të raportimit, të adoptimit të politikave të qarta kontabël, si dhe nëpërmjet miratimit dhe vënies në zbatim të sistemeve dhe programeve të përshtatshme të kontrollit të brendshëm të veprimtarisë së degës;</w:t>
      </w:r>
    </w:p>
    <w:p w:rsidR="00D36ACB" w:rsidRPr="008866FF" w:rsidRDefault="00D36ACB" w:rsidP="00D36ACB">
      <w:pPr>
        <w:pStyle w:val="Paragrafi"/>
        <w:rPr>
          <w:rFonts w:eastAsia="Arial Unicode MS"/>
          <w:lang w:val="it-IT"/>
        </w:rPr>
      </w:pPr>
      <w:r w:rsidRPr="008866FF">
        <w:rPr>
          <w:rFonts w:eastAsia="Arial Unicode MS"/>
          <w:lang w:val="it-IT"/>
        </w:rPr>
        <w:t>e) zbatimit të plotë të kuadrit rregullativ mbikëqyrës të Bankës së Shqipërisë;</w:t>
      </w:r>
    </w:p>
    <w:p w:rsidR="00D36ACB" w:rsidRPr="008866FF" w:rsidRDefault="00D36ACB" w:rsidP="00D36ACB">
      <w:pPr>
        <w:pStyle w:val="Paragrafi"/>
        <w:rPr>
          <w:rFonts w:eastAsia="Arial Unicode MS"/>
          <w:lang w:val="it-IT"/>
        </w:rPr>
      </w:pPr>
      <w:r w:rsidRPr="008866FF">
        <w:rPr>
          <w:rFonts w:eastAsia="Arial Unicode MS"/>
          <w:lang w:val="it-IT"/>
        </w:rPr>
        <w:t>f) dhënies së informacionit që i përket bankës-mëmë dhe që i nevojitet Bankës së Shqipërisë si autoritet mbikëqyrës i degës që vepron në Republikën e Shqipërisë.</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Neni 7</w:t>
      </w:r>
      <w:r w:rsidRPr="00D36ACB">
        <w:rPr>
          <w:lang w:val="it-IT"/>
        </w:rPr>
        <w:tab/>
      </w:r>
    </w:p>
    <w:p w:rsidR="00D36ACB" w:rsidRPr="00D36ACB" w:rsidRDefault="00D36ACB" w:rsidP="00D36ACB">
      <w:pPr>
        <w:pStyle w:val="NeniTitull"/>
        <w:rPr>
          <w:lang w:val="it-IT"/>
        </w:rPr>
      </w:pPr>
      <w:r w:rsidRPr="00D36ACB">
        <w:rPr>
          <w:lang w:val="it-IT"/>
        </w:rPr>
        <w:t>Funksionet e investimit të DEK-ës</w:t>
      </w:r>
    </w:p>
    <w:p w:rsidR="00D36ACB" w:rsidRPr="008866FF" w:rsidRDefault="00D36ACB" w:rsidP="00D36ACB">
      <w:pPr>
        <w:pStyle w:val="Paragrafi"/>
        <w:rPr>
          <w:lang w:val="it-IT"/>
        </w:rPr>
      </w:pPr>
    </w:p>
    <w:p w:rsidR="00D36ACB" w:rsidRPr="008866FF" w:rsidRDefault="00D36ACB" w:rsidP="00D36ACB">
      <w:pPr>
        <w:pStyle w:val="Paragrafi"/>
        <w:rPr>
          <w:lang w:val="it-IT"/>
        </w:rPr>
      </w:pPr>
      <w:r w:rsidRPr="008866FF">
        <w:rPr>
          <w:lang w:val="it-IT"/>
        </w:rPr>
        <w:t>Investimi i DEK-ës ka për qëllim të sigurojë:</w:t>
      </w:r>
    </w:p>
    <w:p w:rsidR="00D36ACB" w:rsidRPr="008866FF" w:rsidRDefault="00D36ACB" w:rsidP="00D36ACB">
      <w:pPr>
        <w:pStyle w:val="Paragrafi"/>
        <w:rPr>
          <w:lang w:val="it-IT"/>
        </w:rPr>
      </w:pPr>
      <w:r w:rsidRPr="008866FF">
        <w:rPr>
          <w:lang w:val="it-IT"/>
        </w:rPr>
        <w:t xml:space="preserve">a) qëndrueshmërinë e gjendjes financiare të degës si rrjedhim i investimit të saj në aktive me cilësi të lartë dhe me rrezik të ulët; </w:t>
      </w:r>
    </w:p>
    <w:p w:rsidR="00D36ACB" w:rsidRPr="008866FF" w:rsidRDefault="00D36ACB" w:rsidP="00D36ACB">
      <w:pPr>
        <w:pStyle w:val="Paragrafi"/>
        <w:rPr>
          <w:lang w:val="it-IT"/>
        </w:rPr>
      </w:pPr>
      <w:r w:rsidRPr="008866FF">
        <w:rPr>
          <w:lang w:val="it-IT"/>
        </w:rPr>
        <w:t>b) kthyeshmëri të shpejtë në cash ose në ekuivalentet e cash-it, duke ruajtur vlerën e saj në rast të kalimit të degës në procedurë likuidimi;</w:t>
      </w:r>
    </w:p>
    <w:p w:rsidR="00D36ACB" w:rsidRPr="008866FF" w:rsidRDefault="00D36ACB" w:rsidP="00D36ACB">
      <w:pPr>
        <w:pStyle w:val="Paragrafi"/>
        <w:rPr>
          <w:lang w:val="it-IT"/>
        </w:rPr>
      </w:pPr>
      <w:r w:rsidRPr="008866FF">
        <w:rPr>
          <w:lang w:val="it-IT"/>
        </w:rPr>
        <w:t>c) mbrojtjen e depozituesve të degës dhe  përmbushjen e detyrimeve ndaj kreditorëve të tjerë, në rast se dega i nënshtrohet procedurave të likuidimit.</w:t>
      </w:r>
    </w:p>
    <w:p w:rsidR="00D36ACB" w:rsidRPr="008866FF" w:rsidRDefault="00D36ACB" w:rsidP="00D36ACB">
      <w:pPr>
        <w:pStyle w:val="Paragrafi"/>
        <w:rPr>
          <w:lang w:val="it-IT"/>
        </w:rPr>
      </w:pPr>
      <w:r w:rsidRPr="008866FF">
        <w:rPr>
          <w:lang w:val="it-IT"/>
        </w:rPr>
        <w:t xml:space="preserve">                                                                                                                                                                                                                                                                                                                                                                                                                                                                                                                                                                                                                                                                                                                                                                                             </w:t>
      </w:r>
    </w:p>
    <w:p w:rsidR="00D36ACB" w:rsidRPr="00D36ACB" w:rsidRDefault="00D36ACB" w:rsidP="00D36ACB">
      <w:pPr>
        <w:pStyle w:val="NeniNr"/>
        <w:rPr>
          <w:lang w:val="it-IT"/>
        </w:rPr>
      </w:pPr>
      <w:r w:rsidRPr="00D36ACB">
        <w:rPr>
          <w:lang w:val="it-IT"/>
        </w:rPr>
        <w:t>Neni 8</w:t>
      </w:r>
    </w:p>
    <w:p w:rsidR="00D36ACB" w:rsidRPr="00D36ACB" w:rsidRDefault="00D36ACB" w:rsidP="00D36ACB">
      <w:pPr>
        <w:pStyle w:val="NeniTitull"/>
        <w:rPr>
          <w:lang w:val="it-IT"/>
        </w:rPr>
      </w:pPr>
      <w:r w:rsidRPr="00D36ACB">
        <w:rPr>
          <w:lang w:val="it-IT"/>
        </w:rPr>
        <w:t>Madhësia e DEK-ës</w:t>
      </w:r>
    </w:p>
    <w:p w:rsidR="00D36ACB" w:rsidRPr="008866FF" w:rsidRDefault="00D36ACB" w:rsidP="00D36ACB">
      <w:pPr>
        <w:pStyle w:val="Paragrafi"/>
        <w:rPr>
          <w:lang w:val="it-IT"/>
        </w:rPr>
      </w:pPr>
    </w:p>
    <w:p w:rsidR="00D36ACB" w:rsidRPr="008866FF" w:rsidRDefault="00D36ACB" w:rsidP="00D36ACB">
      <w:pPr>
        <w:pStyle w:val="Paragrafi"/>
        <w:rPr>
          <w:lang w:val="it-IT"/>
        </w:rPr>
      </w:pPr>
      <w:r w:rsidRPr="008866FF">
        <w:rPr>
          <w:lang w:val="it-IT"/>
        </w:rPr>
        <w:t>1. Madhësia minimale e DEK-ës (kundërvlefta në lekë) duhet të jetë:</w:t>
      </w:r>
    </w:p>
    <w:p w:rsidR="00D36ACB" w:rsidRPr="008866FF" w:rsidRDefault="00D36ACB" w:rsidP="00D36ACB">
      <w:pPr>
        <w:pStyle w:val="Paragrafi"/>
        <w:rPr>
          <w:lang w:val="it-IT"/>
        </w:rPr>
      </w:pPr>
      <w:r w:rsidRPr="008866FF">
        <w:rPr>
          <w:lang w:val="it-IT"/>
        </w:rPr>
        <w:t xml:space="preserve">a) për dy vitet e para të veprimtarisë së degës, të paktën 50 për qind e kapitalit fillestar minimal të dhuruar dhe të paguar në para nga banka e huaj; dhe </w:t>
      </w:r>
    </w:p>
    <w:p w:rsidR="00D36ACB" w:rsidRPr="008866FF" w:rsidRDefault="00D36ACB" w:rsidP="00D36ACB">
      <w:pPr>
        <w:pStyle w:val="Paragrafi"/>
        <w:rPr>
          <w:lang w:val="it-IT"/>
        </w:rPr>
      </w:pPr>
      <w:r w:rsidRPr="008866FF">
        <w:rPr>
          <w:lang w:val="it-IT"/>
        </w:rPr>
        <w:t>b) në vazhdim, të paktën 90 për qind e kapitalit fillestar minimal të dhuruar dhe të paguar në para nga banka e huaj.</w:t>
      </w:r>
    </w:p>
    <w:p w:rsidR="00D36ACB" w:rsidRPr="008866FF" w:rsidRDefault="00D36ACB" w:rsidP="00D36ACB">
      <w:pPr>
        <w:pStyle w:val="Paragrafi"/>
        <w:rPr>
          <w:lang w:val="it-IT"/>
        </w:rPr>
      </w:pPr>
      <w:r w:rsidRPr="008866FF">
        <w:rPr>
          <w:lang w:val="it-IT"/>
        </w:rPr>
        <w:t xml:space="preserve">2. Në llogaritjen e madhësisë së DEK-ës nuk përfshihet shuma e rezervës së detyruar që dega mban pranë Bankës së Shqipërisë, në zbatim të nenit 19 të ligjit “Për bankën”. </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Neni 9</w:t>
      </w:r>
    </w:p>
    <w:p w:rsidR="00D36ACB" w:rsidRPr="00D36ACB" w:rsidRDefault="00D36ACB" w:rsidP="00D36ACB">
      <w:pPr>
        <w:pStyle w:val="NeniTitull"/>
        <w:rPr>
          <w:lang w:val="it-IT"/>
        </w:rPr>
      </w:pPr>
      <w:r w:rsidRPr="00D36ACB">
        <w:rPr>
          <w:lang w:val="it-IT"/>
        </w:rPr>
        <w:t>Investimi i DEK-ës</w:t>
      </w:r>
    </w:p>
    <w:p w:rsidR="00D36ACB" w:rsidRPr="008866FF" w:rsidRDefault="00D36ACB" w:rsidP="00D36ACB">
      <w:pPr>
        <w:pStyle w:val="Paragrafi"/>
        <w:rPr>
          <w:rFonts w:eastAsia="Arial Unicode MS"/>
          <w:lang w:val="it-IT"/>
        </w:rPr>
      </w:pPr>
    </w:p>
    <w:p w:rsidR="00D36ACB" w:rsidRPr="008866FF" w:rsidRDefault="00D36ACB" w:rsidP="00D36ACB">
      <w:pPr>
        <w:pStyle w:val="Paragrafi"/>
        <w:rPr>
          <w:rFonts w:eastAsia="Arial Unicode MS"/>
          <w:lang w:val="it-IT"/>
        </w:rPr>
      </w:pPr>
      <w:r w:rsidRPr="008866FF">
        <w:rPr>
          <w:rFonts w:eastAsia="Arial Unicode MS"/>
          <w:lang w:val="it-IT"/>
        </w:rPr>
        <w:t xml:space="preserve">1. Dega, pas marrjes së licencës, investon DEK-ën në të paktën një prej aktiveve të </w:t>
      </w:r>
      <w:r w:rsidRPr="008866FF">
        <w:rPr>
          <w:rFonts w:eastAsia="Arial Unicode MS"/>
          <w:lang w:val="it-IT"/>
        </w:rPr>
        <w:lastRenderedPageBreak/>
        <w:t xml:space="preserve">mëposhtme: </w:t>
      </w:r>
    </w:p>
    <w:p w:rsidR="00D36ACB" w:rsidRPr="008866FF" w:rsidRDefault="00D36ACB" w:rsidP="00D36ACB">
      <w:pPr>
        <w:pStyle w:val="Paragrafi"/>
        <w:rPr>
          <w:rFonts w:eastAsia="Arial Unicode MS"/>
          <w:lang w:val="it-IT"/>
        </w:rPr>
      </w:pPr>
      <w:r w:rsidRPr="008866FF">
        <w:rPr>
          <w:rFonts w:eastAsia="Arial Unicode MS"/>
          <w:lang w:val="it-IT"/>
        </w:rPr>
        <w:t xml:space="preserve">a) depozitë në Bankën e Shqipërisë me normë interesi të përcaktuar me marrëveshje midis tyre dhe në përputhje me kriteret e përcaktuara në rregulloren për kushtet e përgjithshme dhe të veçanta të punës së Bankës së Shqipërisë; </w:t>
      </w:r>
    </w:p>
    <w:p w:rsidR="00D36ACB" w:rsidRPr="008866FF" w:rsidRDefault="00D36ACB" w:rsidP="00D36ACB">
      <w:pPr>
        <w:pStyle w:val="Paragrafi"/>
        <w:rPr>
          <w:rFonts w:eastAsia="Arial Unicode MS"/>
          <w:lang w:val="it-IT"/>
        </w:rPr>
      </w:pPr>
      <w:r w:rsidRPr="008866FF">
        <w:rPr>
          <w:rFonts w:eastAsia="Arial Unicode MS"/>
          <w:lang w:val="it-IT"/>
        </w:rPr>
        <w:t>b) bono thesari dhe obligacione të emetuara nga Këshilli i Ministrave i Republikës së Shqipërisë;</w:t>
      </w:r>
    </w:p>
    <w:p w:rsidR="00D36ACB" w:rsidRPr="008866FF" w:rsidRDefault="00D36ACB" w:rsidP="00D36ACB">
      <w:pPr>
        <w:pStyle w:val="Paragrafi"/>
        <w:rPr>
          <w:rFonts w:eastAsia="Arial Unicode MS"/>
          <w:lang w:val="it-IT"/>
        </w:rPr>
      </w:pPr>
      <w:r w:rsidRPr="008866FF">
        <w:rPr>
          <w:rFonts w:eastAsia="Arial Unicode MS"/>
          <w:lang w:val="it-IT"/>
        </w:rPr>
        <w:t>c) letra me vlerë të emetuara nga Banka e Shqipërisë.</w:t>
      </w:r>
    </w:p>
    <w:p w:rsidR="00D36ACB" w:rsidRPr="008866FF" w:rsidRDefault="00D36ACB" w:rsidP="00D36ACB">
      <w:pPr>
        <w:pStyle w:val="Paragrafi"/>
        <w:rPr>
          <w:rFonts w:eastAsia="Arial Unicode MS"/>
          <w:lang w:val="it-IT"/>
        </w:rPr>
      </w:pPr>
      <w:r w:rsidRPr="008866FF">
        <w:rPr>
          <w:rFonts w:eastAsia="Arial Unicode MS"/>
          <w:lang w:val="it-IT"/>
        </w:rPr>
        <w:t>2. Dega nuk lejohet  në asnjë rast  të investojë DEK-ën pranë bankës mëmë.</w:t>
      </w:r>
    </w:p>
    <w:p w:rsidR="00D36ACB" w:rsidRPr="008866FF" w:rsidRDefault="00D36ACB" w:rsidP="00D36ACB">
      <w:pPr>
        <w:pStyle w:val="Paragrafi"/>
        <w:rPr>
          <w:rFonts w:eastAsia="Arial Unicode MS"/>
          <w:lang w:val="it-IT"/>
        </w:rPr>
      </w:pPr>
      <w:r w:rsidRPr="008866FF">
        <w:rPr>
          <w:rFonts w:eastAsia="Arial Unicode MS"/>
          <w:lang w:val="it-IT"/>
        </w:rPr>
        <w:t xml:space="preserve">3. Dega investon aktivet e përcaktuara në pikën 1 të këtij neni, pranë Bankës së Shqipërisë, në rast se ajo i nënshtrohet procedurave të likuidimit. </w:t>
      </w:r>
    </w:p>
    <w:p w:rsidR="00D36ACB" w:rsidRPr="008866FF" w:rsidRDefault="00D36ACB" w:rsidP="00D36ACB">
      <w:pPr>
        <w:pStyle w:val="Paragrafi"/>
        <w:rPr>
          <w:lang w:val="it-IT"/>
        </w:rPr>
      </w:pPr>
    </w:p>
    <w:p w:rsidR="00D36ACB" w:rsidRPr="00D36ACB" w:rsidRDefault="00D36ACB" w:rsidP="00D36ACB">
      <w:pPr>
        <w:pStyle w:val="KreuNr"/>
        <w:rPr>
          <w:lang w:val="it-IT"/>
        </w:rPr>
      </w:pPr>
      <w:r w:rsidRPr="00D36ACB">
        <w:rPr>
          <w:lang w:val="it-IT"/>
        </w:rPr>
        <w:t>Kreu III</w:t>
      </w:r>
    </w:p>
    <w:p w:rsidR="00D36ACB" w:rsidRPr="00D36ACB" w:rsidRDefault="00D36ACB" w:rsidP="00D36ACB">
      <w:pPr>
        <w:pStyle w:val="KreuTitull"/>
        <w:rPr>
          <w:lang w:val="it-IT"/>
        </w:rPr>
      </w:pPr>
      <w:r w:rsidRPr="00D36ACB">
        <w:rPr>
          <w:lang w:val="it-IT"/>
        </w:rPr>
        <w:t>Ekspozimi ndaj rreziqeve</w:t>
      </w:r>
    </w:p>
    <w:p w:rsidR="00D36ACB" w:rsidRPr="008866FF" w:rsidRDefault="00D36ACB" w:rsidP="00D36ACB">
      <w:pPr>
        <w:pStyle w:val="Paragrafi"/>
        <w:rPr>
          <w:lang w:val="it-IT"/>
        </w:rPr>
      </w:pPr>
      <w:r w:rsidRPr="008866FF">
        <w:rPr>
          <w:lang w:val="it-IT"/>
        </w:rPr>
        <w:t xml:space="preserve">                                                    </w:t>
      </w:r>
    </w:p>
    <w:p w:rsidR="00D36ACB" w:rsidRPr="00D36ACB" w:rsidRDefault="00D36ACB" w:rsidP="00D36ACB">
      <w:pPr>
        <w:pStyle w:val="NeniNr"/>
        <w:rPr>
          <w:lang w:val="it-IT"/>
        </w:rPr>
      </w:pPr>
      <w:r w:rsidRPr="00D36ACB">
        <w:rPr>
          <w:lang w:val="it-IT"/>
        </w:rPr>
        <w:t>Neni 10</w:t>
      </w:r>
    </w:p>
    <w:p w:rsidR="00D36ACB" w:rsidRPr="00D36ACB" w:rsidRDefault="00D36ACB" w:rsidP="00D36ACB">
      <w:pPr>
        <w:pStyle w:val="NeniTitull"/>
        <w:rPr>
          <w:lang w:val="it-IT"/>
        </w:rPr>
      </w:pPr>
      <w:r w:rsidRPr="00D36ACB">
        <w:rPr>
          <w:lang w:val="it-IT"/>
        </w:rPr>
        <w:t xml:space="preserve">Kufijtë maksimalë të rrezikut </w:t>
      </w:r>
    </w:p>
    <w:p w:rsidR="00D36ACB" w:rsidRPr="008866FF" w:rsidRDefault="00D36ACB" w:rsidP="00D36ACB">
      <w:pPr>
        <w:pStyle w:val="Paragrafi"/>
        <w:rPr>
          <w:lang w:val="it-IT"/>
        </w:rPr>
      </w:pPr>
    </w:p>
    <w:p w:rsidR="00D36ACB" w:rsidRPr="008866FF" w:rsidRDefault="00D36ACB" w:rsidP="00D36ACB">
      <w:pPr>
        <w:pStyle w:val="Paragrafi"/>
        <w:rPr>
          <w:lang w:val="it-IT"/>
        </w:rPr>
      </w:pPr>
      <w:r w:rsidRPr="008866FF">
        <w:rPr>
          <w:lang w:val="it-IT"/>
        </w:rPr>
        <w:t xml:space="preserve">1. Për rrezikun ndaj të cilit ekspozohet për veprimtari të veçanta apo për të gjithë veprimtarinë e saj, dega, zbaton kufizimet e mëposhtme: </w:t>
      </w:r>
    </w:p>
    <w:p w:rsidR="00D36ACB" w:rsidRPr="008866FF" w:rsidRDefault="00D36ACB" w:rsidP="00D36ACB">
      <w:pPr>
        <w:pStyle w:val="Paragrafi"/>
        <w:rPr>
          <w:lang w:val="it-IT"/>
        </w:rPr>
      </w:pPr>
      <w:r w:rsidRPr="008866FF">
        <w:rPr>
          <w:lang w:val="it-IT"/>
        </w:rPr>
        <w:t>a) teprica e kredisë nuk tejkalon 70 për qind të totalit të aktiveve të saj në fund të tremujorit paraardhës.</w:t>
      </w:r>
    </w:p>
    <w:p w:rsidR="00D36ACB" w:rsidRPr="008866FF" w:rsidRDefault="00D36ACB" w:rsidP="00D36ACB">
      <w:pPr>
        <w:pStyle w:val="Paragrafi"/>
        <w:rPr>
          <w:lang w:val="it-IT"/>
        </w:rPr>
      </w:pPr>
      <w:r w:rsidRPr="008866FF">
        <w:rPr>
          <w:lang w:val="it-IT"/>
        </w:rPr>
        <w:t>b) ekspozimi ndaj një personi dhe/ose personave të lidhur me të nuk tejkalon 5 për qind të totalit të aktiveve të saj në fund të tremujorit  paraardhës.</w:t>
      </w:r>
    </w:p>
    <w:p w:rsidR="00D36ACB" w:rsidRPr="008866FF" w:rsidRDefault="00D36ACB" w:rsidP="00D36ACB">
      <w:pPr>
        <w:pStyle w:val="Paragrafi"/>
        <w:rPr>
          <w:lang w:val="it-IT"/>
        </w:rPr>
      </w:pPr>
      <w:r w:rsidRPr="008866FF">
        <w:rPr>
          <w:lang w:val="it-IT"/>
        </w:rPr>
        <w:t>2. Dega është e detyruar të monitorojë dhe të sigurohet për respektimin e kufizimeve të ekspozimit ndaj rrezikut, të përcaktuara në pikën 1 të këtij neni, gjatë gjithë kohës së ushtrimit të veprimtarisë së saj.</w:t>
      </w:r>
    </w:p>
    <w:p w:rsidR="00D36ACB" w:rsidRPr="008866FF" w:rsidRDefault="00D36ACB" w:rsidP="00D36ACB">
      <w:pPr>
        <w:pStyle w:val="Paragrafi"/>
        <w:rPr>
          <w:lang w:val="it-IT"/>
        </w:rPr>
      </w:pPr>
      <w:r w:rsidRPr="008866FF">
        <w:rPr>
          <w:lang w:val="it-IT"/>
        </w:rPr>
        <w:t>3. Në rastet kur  ekspozimet tejkalojnë kufizimet sipas pikës 1 të këtij neni,  dega raporton menjëherë në Bankën e Shqipërisë. Njoftimi shoqërohet me propozimet për një plan masash dhe kohën e nevojshme për të rivendosur ekspozimet brenda kufizimeve të kësaj rregulloreje.</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Neni 11</w:t>
      </w:r>
    </w:p>
    <w:p w:rsidR="00D36ACB" w:rsidRPr="00D36ACB" w:rsidRDefault="00D36ACB" w:rsidP="00D36ACB">
      <w:pPr>
        <w:pStyle w:val="NeniTitull"/>
        <w:rPr>
          <w:lang w:val="it-IT"/>
        </w:rPr>
      </w:pPr>
      <w:r w:rsidRPr="00D36ACB">
        <w:rPr>
          <w:lang w:val="it-IT"/>
        </w:rPr>
        <w:t>Administrimi i rrezikut të sistemit</w:t>
      </w:r>
    </w:p>
    <w:p w:rsidR="00D36ACB" w:rsidRPr="008866FF" w:rsidRDefault="00D36ACB" w:rsidP="00D36ACB">
      <w:pPr>
        <w:pStyle w:val="Paragrafi"/>
        <w:rPr>
          <w:lang w:val="it-IT"/>
        </w:rPr>
      </w:pPr>
    </w:p>
    <w:p w:rsidR="00D36ACB" w:rsidRPr="008866FF" w:rsidRDefault="00D36ACB" w:rsidP="00D36ACB">
      <w:pPr>
        <w:pStyle w:val="Paragrafi"/>
        <w:rPr>
          <w:lang w:val="it-IT"/>
        </w:rPr>
      </w:pPr>
      <w:r w:rsidRPr="008866FF">
        <w:rPr>
          <w:lang w:val="it-IT"/>
        </w:rPr>
        <w:t xml:space="preserve">1. Në funksion të parandalimit dhe administrimit të rrezikut të sistemit që buron nga veprimtaria e degës në territorin e Republikës së Shqipërisë, kjo e fundit duhet të zbatojë njëkohësisht kufizimet e mëposhtme:  </w:t>
      </w:r>
    </w:p>
    <w:p w:rsidR="00D36ACB" w:rsidRPr="008866FF" w:rsidRDefault="00D36ACB" w:rsidP="00D36ACB">
      <w:pPr>
        <w:pStyle w:val="Paragrafi"/>
        <w:rPr>
          <w:lang w:val="it-IT"/>
        </w:rPr>
      </w:pPr>
      <w:r w:rsidRPr="008866FF">
        <w:rPr>
          <w:lang w:val="it-IT"/>
        </w:rPr>
        <w:t xml:space="preserve">a) vlera mesatare e aktiveve të saj, për 4 (katër) tremujorë radhazi, nuk duhet të tejkalojë 10 për qind të totalit të aktiveve të sistemit bankar; </w:t>
      </w:r>
    </w:p>
    <w:p w:rsidR="00D36ACB" w:rsidRPr="008866FF" w:rsidRDefault="00D36ACB" w:rsidP="00D36ACB">
      <w:pPr>
        <w:pStyle w:val="Paragrafi"/>
        <w:rPr>
          <w:lang w:val="it-IT"/>
        </w:rPr>
      </w:pPr>
      <w:r w:rsidRPr="008866FF">
        <w:rPr>
          <w:lang w:val="it-IT"/>
        </w:rPr>
        <w:t xml:space="preserve">b) vlera mesatare e depozitave të saj, për katër tremujorë radhazi nuk duhet të tejkalojë 10 për qind të depozitave të sistemit bankar. </w:t>
      </w:r>
    </w:p>
    <w:p w:rsidR="00D36ACB" w:rsidRPr="008866FF" w:rsidRDefault="00D36ACB" w:rsidP="00D36ACB">
      <w:pPr>
        <w:pStyle w:val="Paragrafi"/>
        <w:rPr>
          <w:lang w:val="it-IT"/>
        </w:rPr>
      </w:pPr>
      <w:r w:rsidRPr="008866FF">
        <w:rPr>
          <w:lang w:val="it-IT"/>
        </w:rPr>
        <w:t xml:space="preserve">2. Në rast se dega tejkalon kufizimet e përcaktuara në pikën 1 të këtij neni, Banka e Shqipërisë njofton degën se në këtë rast ajo do t’i nënshtrohet kuadrit rregullator dhe mbikëqyrës të zbatueshëm për bankat.  </w:t>
      </w:r>
    </w:p>
    <w:p w:rsidR="00D36ACB" w:rsidRPr="008866FF" w:rsidRDefault="00D36ACB" w:rsidP="00D36ACB">
      <w:pPr>
        <w:pStyle w:val="Paragrafi"/>
        <w:rPr>
          <w:lang w:val="it-IT"/>
        </w:rPr>
      </w:pPr>
    </w:p>
    <w:p w:rsidR="00D36ACB" w:rsidRPr="00D36ACB" w:rsidRDefault="00D36ACB" w:rsidP="00D36ACB">
      <w:pPr>
        <w:pStyle w:val="KreuNr"/>
        <w:rPr>
          <w:lang w:val="it-IT"/>
        </w:rPr>
      </w:pPr>
      <w:r w:rsidRPr="00D36ACB">
        <w:rPr>
          <w:lang w:val="it-IT"/>
        </w:rPr>
        <w:t>Kreu IV</w:t>
      </w:r>
    </w:p>
    <w:p w:rsidR="00D36ACB" w:rsidRPr="00D36ACB" w:rsidRDefault="00D36ACB" w:rsidP="00D36ACB">
      <w:pPr>
        <w:pStyle w:val="KreuTitull"/>
        <w:rPr>
          <w:lang w:val="it-IT"/>
        </w:rPr>
      </w:pPr>
      <w:r w:rsidRPr="00D36ACB">
        <w:rPr>
          <w:lang w:val="it-IT"/>
        </w:rPr>
        <w:t>Mbikëqyrja dhe raportimi</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Neni 12</w:t>
      </w:r>
    </w:p>
    <w:p w:rsidR="00D36ACB" w:rsidRPr="00D36ACB" w:rsidRDefault="00D36ACB" w:rsidP="00D36ACB">
      <w:pPr>
        <w:pStyle w:val="NeniTitull"/>
        <w:rPr>
          <w:lang w:val="it-IT"/>
        </w:rPr>
      </w:pPr>
      <w:r w:rsidRPr="00D36ACB">
        <w:rPr>
          <w:lang w:val="it-IT"/>
        </w:rPr>
        <w:t>Masat mbikëqyrëse</w:t>
      </w:r>
    </w:p>
    <w:p w:rsidR="00D36ACB" w:rsidRPr="00D36ACB" w:rsidRDefault="00D36ACB" w:rsidP="00D36ACB">
      <w:pPr>
        <w:pStyle w:val="NeniTitull"/>
        <w:rPr>
          <w:lang w:val="it-IT"/>
        </w:rPr>
      </w:pPr>
    </w:p>
    <w:p w:rsidR="00D36ACB" w:rsidRPr="008866FF" w:rsidRDefault="00D36ACB" w:rsidP="00D36ACB">
      <w:pPr>
        <w:pStyle w:val="Paragrafi"/>
        <w:rPr>
          <w:lang w:val="it-IT"/>
        </w:rPr>
      </w:pPr>
      <w:r w:rsidRPr="008866FF">
        <w:rPr>
          <w:lang w:val="it-IT"/>
        </w:rPr>
        <w:t>1. Për zbatimin e kërkesave dhe të detyrimeve të kësaj rregulloreje, Banka e Shqipërisë vlerëson në mënyrë të vazhdueshme:</w:t>
      </w:r>
    </w:p>
    <w:p w:rsidR="00D36ACB" w:rsidRPr="008866FF" w:rsidRDefault="00D36ACB" w:rsidP="00D36ACB">
      <w:pPr>
        <w:pStyle w:val="Paragrafi"/>
        <w:rPr>
          <w:lang w:val="it-IT"/>
        </w:rPr>
      </w:pPr>
      <w:r w:rsidRPr="008866FF">
        <w:rPr>
          <w:lang w:val="it-IT"/>
        </w:rPr>
        <w:t xml:space="preserve">a) madhësinë e DEK-ës sipas pikës 1 të nenit 8 të kësaj rregulloreje; </w:t>
      </w:r>
    </w:p>
    <w:p w:rsidR="00D36ACB" w:rsidRPr="008866FF" w:rsidRDefault="00D36ACB" w:rsidP="00D36ACB">
      <w:pPr>
        <w:pStyle w:val="Paragrafi"/>
        <w:rPr>
          <w:lang w:val="it-IT"/>
        </w:rPr>
      </w:pPr>
      <w:r w:rsidRPr="008866FF">
        <w:rPr>
          <w:lang w:val="it-IT"/>
        </w:rPr>
        <w:t>b) cilësinë e aktiveve në të cilën është investuar DEK-a, sipas pikës 1 të nenit 9 të kësaj rregulloreje.</w:t>
      </w:r>
    </w:p>
    <w:p w:rsidR="00D36ACB" w:rsidRPr="008866FF" w:rsidRDefault="00D36ACB" w:rsidP="00D36ACB">
      <w:pPr>
        <w:pStyle w:val="Paragrafi"/>
        <w:rPr>
          <w:lang w:val="it-IT"/>
        </w:rPr>
      </w:pPr>
      <w:r w:rsidRPr="008866FF">
        <w:rPr>
          <w:lang w:val="it-IT"/>
        </w:rPr>
        <w:lastRenderedPageBreak/>
        <w:t>2. Në rast mosplotësimi të detyrimeve të pikës 1 të këtij neni, Banka e Shqipërisë zbaton dispozitat e parashikuara në nenet 74 deri 91, të ligjit “Për bankat” dhe në aktet e tjera nënligjore në zbatim të tij.</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Neni 13</w:t>
      </w:r>
    </w:p>
    <w:p w:rsidR="00D36ACB" w:rsidRPr="00D36ACB" w:rsidRDefault="00D36ACB" w:rsidP="00D36ACB">
      <w:pPr>
        <w:pStyle w:val="NeniTitull"/>
        <w:rPr>
          <w:lang w:val="it-IT"/>
        </w:rPr>
      </w:pPr>
      <w:r w:rsidRPr="00D36ACB">
        <w:rPr>
          <w:lang w:val="it-IT"/>
        </w:rPr>
        <w:t>Detyrimi për raportim</w:t>
      </w:r>
    </w:p>
    <w:p w:rsidR="00D36ACB" w:rsidRPr="008866FF" w:rsidRDefault="00D36ACB" w:rsidP="00D36ACB">
      <w:pPr>
        <w:pStyle w:val="Paragrafi"/>
        <w:rPr>
          <w:lang w:val="it-IT"/>
        </w:rPr>
      </w:pPr>
    </w:p>
    <w:p w:rsidR="00D36ACB" w:rsidRPr="008866FF" w:rsidRDefault="00D36ACB" w:rsidP="00D36ACB">
      <w:pPr>
        <w:pStyle w:val="Paragrafi"/>
        <w:rPr>
          <w:lang w:val="it-IT"/>
        </w:rPr>
      </w:pPr>
      <w:r w:rsidRPr="008866FF">
        <w:rPr>
          <w:lang w:val="it-IT"/>
        </w:rPr>
        <w:t xml:space="preserve">1. Në zbatim të kërkesave dhe detyrimeve të kësaj rregulloreje, dega është e detyruar të raportojë çdo muaj në Bankën e Shqipërisë sipas formularëve nr.1 dhe nr.2, bashkëlidhur kësaj rregulloreje. </w:t>
      </w:r>
    </w:p>
    <w:p w:rsidR="00D36ACB" w:rsidRPr="008866FF" w:rsidRDefault="00D36ACB" w:rsidP="00D36ACB">
      <w:pPr>
        <w:pStyle w:val="Paragrafi"/>
        <w:rPr>
          <w:lang w:val="it-IT"/>
        </w:rPr>
      </w:pPr>
      <w:r w:rsidRPr="008866FF">
        <w:rPr>
          <w:lang w:val="it-IT"/>
        </w:rPr>
        <w:t xml:space="preserve">2. Dega raporton në Bankën e Shqipërisë në përputhje me Sistemin Raportues të Unifikuar, të miratuar nga Banka e Shqipërisë për degën. </w:t>
      </w:r>
    </w:p>
    <w:p w:rsidR="00D36ACB" w:rsidRPr="008866FF" w:rsidRDefault="00D36ACB" w:rsidP="00D36ACB">
      <w:pPr>
        <w:pStyle w:val="Paragrafi"/>
        <w:rPr>
          <w:lang w:val="it-IT"/>
        </w:rPr>
      </w:pPr>
      <w:r w:rsidRPr="008866FF">
        <w:rPr>
          <w:lang w:val="it-IT"/>
        </w:rPr>
        <w:t>3. Dega paraqet në Bankën e Shqipërisë, brenda muajit pasardhës, raportet financiare tremujore të bankës-mëmë:</w:t>
      </w:r>
    </w:p>
    <w:p w:rsidR="00D36ACB" w:rsidRPr="008866FF" w:rsidRDefault="00D36ACB" w:rsidP="00D36ACB">
      <w:pPr>
        <w:pStyle w:val="Paragrafi"/>
        <w:rPr>
          <w:lang w:val="it-IT"/>
        </w:rPr>
      </w:pPr>
      <w:r w:rsidRPr="008866FF">
        <w:rPr>
          <w:lang w:val="it-IT"/>
        </w:rPr>
        <w:t>a) raportin e mjaftueshmërisë së kapitalit;</w:t>
      </w:r>
    </w:p>
    <w:p w:rsidR="00D36ACB" w:rsidRPr="008866FF" w:rsidRDefault="00D36ACB" w:rsidP="00D36ACB">
      <w:pPr>
        <w:pStyle w:val="Paragrafi"/>
        <w:rPr>
          <w:lang w:val="it-IT"/>
        </w:rPr>
      </w:pPr>
      <w:r w:rsidRPr="008866FF">
        <w:rPr>
          <w:lang w:val="it-IT"/>
        </w:rPr>
        <w:t xml:space="preserve">b) kapitalin rregullator (fondet e veta); </w:t>
      </w:r>
    </w:p>
    <w:p w:rsidR="00D36ACB" w:rsidRPr="008866FF" w:rsidRDefault="00D36ACB" w:rsidP="00D36ACB">
      <w:pPr>
        <w:pStyle w:val="Paragrafi"/>
        <w:rPr>
          <w:lang w:val="it-IT"/>
        </w:rPr>
      </w:pPr>
      <w:r w:rsidRPr="008866FF">
        <w:rPr>
          <w:lang w:val="it-IT"/>
        </w:rPr>
        <w:t>c) treguesin e kredisë me probleme ndaj totalit të kredisë;</w:t>
      </w:r>
    </w:p>
    <w:p w:rsidR="00D36ACB" w:rsidRPr="008866FF" w:rsidRDefault="00D36ACB" w:rsidP="00D36ACB">
      <w:pPr>
        <w:pStyle w:val="Paragrafi"/>
        <w:rPr>
          <w:lang w:val="it-IT"/>
        </w:rPr>
      </w:pPr>
      <w:r w:rsidRPr="008866FF">
        <w:rPr>
          <w:lang w:val="it-IT"/>
        </w:rPr>
        <w:t>d) treguesin e kredisë me probleme neto ndaj kapitalit rregullator (fondet e veta);</w:t>
      </w:r>
    </w:p>
    <w:p w:rsidR="00D36ACB" w:rsidRPr="008866FF" w:rsidRDefault="00D36ACB" w:rsidP="00D36ACB">
      <w:pPr>
        <w:pStyle w:val="Paragrafi"/>
        <w:rPr>
          <w:lang w:val="it-IT"/>
        </w:rPr>
      </w:pPr>
      <w:r w:rsidRPr="008866FF">
        <w:rPr>
          <w:lang w:val="it-IT"/>
        </w:rPr>
        <w:t>e) treguesin e shumës së fondeve rezervë për humbjet nga kreditë ndaj kredive me probleme;</w:t>
      </w:r>
    </w:p>
    <w:p w:rsidR="00D36ACB" w:rsidRPr="008866FF" w:rsidRDefault="00D36ACB" w:rsidP="00D36ACB">
      <w:pPr>
        <w:pStyle w:val="Paragrafi"/>
        <w:rPr>
          <w:lang w:val="it-IT"/>
        </w:rPr>
      </w:pPr>
      <w:r w:rsidRPr="008866FF">
        <w:rPr>
          <w:lang w:val="it-IT"/>
        </w:rPr>
        <w:t>f) treguesin e aktiveve likuide ndaj totalit të aktiveve.</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Neni 14</w:t>
      </w:r>
    </w:p>
    <w:p w:rsidR="00D36ACB" w:rsidRPr="00D36ACB" w:rsidRDefault="00D36ACB" w:rsidP="00D36ACB">
      <w:pPr>
        <w:pStyle w:val="NeniTitull"/>
        <w:rPr>
          <w:lang w:val="it-IT"/>
        </w:rPr>
      </w:pPr>
      <w:r w:rsidRPr="00D36ACB">
        <w:rPr>
          <w:lang w:val="it-IT"/>
        </w:rPr>
        <w:t xml:space="preserve">Dokumentacioni i degës </w:t>
      </w:r>
    </w:p>
    <w:p w:rsidR="00D36ACB" w:rsidRPr="008866FF" w:rsidRDefault="00D36ACB" w:rsidP="00D36ACB">
      <w:pPr>
        <w:pStyle w:val="Paragrafi"/>
        <w:rPr>
          <w:lang w:val="it-IT"/>
        </w:rPr>
      </w:pPr>
    </w:p>
    <w:p w:rsidR="00D36ACB" w:rsidRPr="008866FF" w:rsidRDefault="00D36ACB" w:rsidP="00D36ACB">
      <w:pPr>
        <w:pStyle w:val="Paragrafi"/>
        <w:rPr>
          <w:lang w:val="it-IT"/>
        </w:rPr>
      </w:pPr>
      <w:r w:rsidRPr="008866FF">
        <w:rPr>
          <w:lang w:val="it-IT"/>
        </w:rPr>
        <w:t xml:space="preserve">Për qëllime të zbatimit të kësaj rregulloreje, dega është e detyruar të mbajë në selinë e saj dhe të vërë në çdo kohë në dispozicion të Bankës së Shqipërisë, dokumentacionin e përcaktuar në pikën 2 të nenit 55 të ligjit “Për bankat”, si dhe: </w:t>
      </w:r>
    </w:p>
    <w:p w:rsidR="00D36ACB" w:rsidRPr="008866FF" w:rsidRDefault="00D36ACB" w:rsidP="00D36ACB">
      <w:pPr>
        <w:pStyle w:val="Paragrafi"/>
        <w:rPr>
          <w:lang w:val="it-IT"/>
        </w:rPr>
      </w:pPr>
      <w:r w:rsidRPr="008866FF">
        <w:rPr>
          <w:lang w:val="it-IT"/>
        </w:rPr>
        <w:t>a) një kopje të marrëveshjes së bashkëpunimit të lidhur ndërmjet bankës-mëmë dhe Bankës së Shqipërisë;</w:t>
      </w:r>
    </w:p>
    <w:p w:rsidR="00D36ACB" w:rsidRPr="008866FF" w:rsidRDefault="00D36ACB" w:rsidP="00D36ACB">
      <w:pPr>
        <w:pStyle w:val="Paragrafi"/>
        <w:rPr>
          <w:lang w:val="it-IT"/>
        </w:rPr>
      </w:pPr>
      <w:r w:rsidRPr="008866FF">
        <w:rPr>
          <w:lang w:val="it-IT"/>
        </w:rPr>
        <w:t>b) deklaratën e bankës-mëmë sipas pikës b të nenit 6 të kësaj rregulloreje;</w:t>
      </w:r>
    </w:p>
    <w:p w:rsidR="00D36ACB" w:rsidRPr="008866FF" w:rsidRDefault="00D36ACB" w:rsidP="00D36ACB">
      <w:pPr>
        <w:pStyle w:val="Paragrafi"/>
        <w:rPr>
          <w:lang w:val="it-IT"/>
        </w:rPr>
      </w:pPr>
      <w:r w:rsidRPr="008866FF">
        <w:rPr>
          <w:lang w:val="it-IT"/>
        </w:rPr>
        <w:t>c) raportet financiare tremujore më të fundit të bankës-mëmë;</w:t>
      </w:r>
    </w:p>
    <w:p w:rsidR="00D36ACB" w:rsidRPr="008866FF" w:rsidRDefault="00D36ACB" w:rsidP="00D36ACB">
      <w:pPr>
        <w:pStyle w:val="Paragrafi"/>
        <w:rPr>
          <w:lang w:val="it-IT"/>
        </w:rPr>
      </w:pPr>
      <w:r w:rsidRPr="008866FF">
        <w:rPr>
          <w:lang w:val="it-IT"/>
        </w:rPr>
        <w:t>d) raportin më të fundit të ekspertit kontabël të autorizuar për bankën-mëmë; dhe</w:t>
      </w:r>
    </w:p>
    <w:p w:rsidR="00D36ACB" w:rsidRPr="008866FF" w:rsidRDefault="00D36ACB" w:rsidP="00D36ACB">
      <w:pPr>
        <w:pStyle w:val="Paragrafi"/>
        <w:rPr>
          <w:lang w:val="it-IT"/>
        </w:rPr>
      </w:pPr>
      <w:r w:rsidRPr="008866FF">
        <w:rPr>
          <w:lang w:val="it-IT"/>
        </w:rPr>
        <w:t xml:space="preserve">e) vlerësimin e performancës së bankës-mëmë nga agjencitë ndërkombëtare të vlerësimit (shoqëritë e rating-ut).                                                                                                                                                                                                                                                                                                                                                                                                                                                                                                                                                                                                                                                                                                                                                                                               </w:t>
      </w:r>
    </w:p>
    <w:p w:rsidR="00D36ACB" w:rsidRPr="008866FF" w:rsidRDefault="00D36ACB" w:rsidP="00D36ACB">
      <w:pPr>
        <w:pStyle w:val="Paragrafi"/>
        <w:rPr>
          <w:lang w:val="it-IT"/>
        </w:rPr>
      </w:pPr>
      <w:r w:rsidRPr="008866FF">
        <w:rPr>
          <w:lang w:val="it-IT"/>
        </w:rPr>
        <w:t xml:space="preserve"> </w:t>
      </w:r>
    </w:p>
    <w:p w:rsidR="00D36ACB" w:rsidRPr="00D36ACB" w:rsidRDefault="00D36ACB" w:rsidP="00D36ACB">
      <w:pPr>
        <w:pStyle w:val="KreuNr"/>
        <w:rPr>
          <w:lang w:val="it-IT"/>
        </w:rPr>
      </w:pPr>
      <w:r w:rsidRPr="00D36ACB">
        <w:rPr>
          <w:lang w:val="it-IT"/>
        </w:rPr>
        <w:t>Kreu V</w:t>
      </w:r>
    </w:p>
    <w:p w:rsidR="00D36ACB" w:rsidRPr="00D36ACB" w:rsidRDefault="00D36ACB" w:rsidP="00D36ACB">
      <w:pPr>
        <w:pStyle w:val="NeniTitull"/>
        <w:rPr>
          <w:lang w:val="it-IT"/>
        </w:rPr>
      </w:pPr>
      <w:r w:rsidRPr="00D36ACB">
        <w:rPr>
          <w:lang w:val="it-IT"/>
        </w:rPr>
        <w:t>Dispozita përfundimtare</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Neni 15</w:t>
      </w:r>
    </w:p>
    <w:p w:rsidR="00D36ACB" w:rsidRPr="008866FF" w:rsidRDefault="00D36ACB" w:rsidP="00D36ACB">
      <w:pPr>
        <w:pStyle w:val="Paragrafi"/>
        <w:rPr>
          <w:lang w:val="it-IT"/>
        </w:rPr>
      </w:pPr>
    </w:p>
    <w:p w:rsidR="00D36ACB" w:rsidRPr="008866FF" w:rsidRDefault="00D36ACB" w:rsidP="00D36ACB">
      <w:pPr>
        <w:pStyle w:val="Paragrafi"/>
        <w:rPr>
          <w:lang w:val="it-IT"/>
        </w:rPr>
      </w:pPr>
      <w:r w:rsidRPr="008866FF">
        <w:rPr>
          <w:lang w:val="it-IT"/>
        </w:rPr>
        <w:t xml:space="preserve">Banka e Shqipërisë, në rast mosplotësimi të detyrimeve të kësaj rregullore, zbaton dispozitat e parashikuara në ligjin “Për bankat” dhe në aktet e tjera nënligjore në zbatim të tij. </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t>Neni 16</w:t>
      </w:r>
    </w:p>
    <w:p w:rsidR="00D36ACB" w:rsidRPr="00D36ACB" w:rsidRDefault="00D36ACB" w:rsidP="00D36ACB">
      <w:pPr>
        <w:pStyle w:val="NeniTitull"/>
        <w:rPr>
          <w:lang w:val="it-IT"/>
        </w:rPr>
      </w:pPr>
      <w:r w:rsidRPr="00D36ACB">
        <w:rPr>
          <w:lang w:val="it-IT"/>
        </w:rPr>
        <w:t>Dispozitë transitore</w:t>
      </w:r>
    </w:p>
    <w:p w:rsidR="00D36ACB" w:rsidRPr="008866FF" w:rsidRDefault="00D36ACB" w:rsidP="00D36ACB">
      <w:pPr>
        <w:pStyle w:val="Paragrafi"/>
        <w:rPr>
          <w:lang w:val="it-IT"/>
        </w:rPr>
      </w:pPr>
    </w:p>
    <w:p w:rsidR="00D36ACB" w:rsidRPr="008866FF" w:rsidRDefault="00D36ACB" w:rsidP="00D36ACB">
      <w:pPr>
        <w:pStyle w:val="Paragrafi"/>
        <w:rPr>
          <w:lang w:val="it-IT"/>
        </w:rPr>
      </w:pPr>
      <w:r w:rsidRPr="008866FF">
        <w:rPr>
          <w:lang w:val="it-IT"/>
        </w:rPr>
        <w:t>1. Të gjitha dispozitat e akteve nënligjore të tjera lidhur me mbikëqyrjen e degës, të miratuara nga Këshilli Mbikëqyrës i Bankës së Shqipërisë përpara datës së hyrjes në fuqi të kësaj rregulloreje, do të vazhdojnë të zbatohen pas hyrjes në fuqi të kësaj rregulloreje për aq sa ato nuk bien në kundërshtim me dispozitat e kësaj rregulloreje.</w:t>
      </w:r>
    </w:p>
    <w:p w:rsidR="00D36ACB" w:rsidRPr="008866FF" w:rsidRDefault="00D36ACB" w:rsidP="00D36ACB">
      <w:pPr>
        <w:pStyle w:val="Paragrafi"/>
        <w:rPr>
          <w:lang w:val="it-IT"/>
        </w:rPr>
      </w:pPr>
      <w:r w:rsidRPr="008866FF">
        <w:rPr>
          <w:lang w:val="it-IT"/>
        </w:rPr>
        <w:t xml:space="preserve">2. Degët ekzistuese të bankave të huaja, të licencuara nga Banka e Shqipërisë përpara hyrjes në fuqi të kësaj rregullore, janë të detyruara të plotësojnë të gjitha kërkesat e përcaktuara në këtë rregullore, jo më vonë se 3 muaj pas hyrjes në fuqi të saj. </w:t>
      </w:r>
    </w:p>
    <w:p w:rsidR="00D36ACB" w:rsidRPr="008866FF" w:rsidRDefault="00D36ACB" w:rsidP="00D36ACB">
      <w:pPr>
        <w:pStyle w:val="Paragrafi"/>
        <w:rPr>
          <w:lang w:val="it-IT"/>
        </w:rPr>
      </w:pPr>
    </w:p>
    <w:p w:rsidR="00D36ACB" w:rsidRPr="00D36ACB" w:rsidRDefault="00D36ACB" w:rsidP="00D36ACB">
      <w:pPr>
        <w:pStyle w:val="NeniNr"/>
        <w:rPr>
          <w:lang w:val="it-IT"/>
        </w:rPr>
      </w:pPr>
      <w:r w:rsidRPr="00D36ACB">
        <w:rPr>
          <w:lang w:val="it-IT"/>
        </w:rPr>
        <w:lastRenderedPageBreak/>
        <w:t>Neni 17</w:t>
      </w:r>
    </w:p>
    <w:p w:rsidR="00D36ACB" w:rsidRPr="00D36ACB" w:rsidRDefault="00D36ACB" w:rsidP="00D36ACB">
      <w:pPr>
        <w:pStyle w:val="NeniTitull"/>
        <w:rPr>
          <w:lang w:val="it-IT"/>
        </w:rPr>
      </w:pPr>
      <w:r w:rsidRPr="00D36ACB">
        <w:rPr>
          <w:lang w:val="it-IT"/>
        </w:rPr>
        <w:t>Hyrja në fuqi</w:t>
      </w:r>
    </w:p>
    <w:p w:rsidR="00D36ACB" w:rsidRPr="008866FF" w:rsidRDefault="00D36ACB" w:rsidP="00D36ACB">
      <w:pPr>
        <w:pStyle w:val="Paragrafi"/>
        <w:rPr>
          <w:lang w:val="it-IT"/>
        </w:rPr>
      </w:pPr>
    </w:p>
    <w:p w:rsidR="00D36ACB" w:rsidRPr="008866FF" w:rsidRDefault="00D36ACB" w:rsidP="00D36ACB">
      <w:pPr>
        <w:pStyle w:val="Paragrafi"/>
        <w:rPr>
          <w:lang w:val="it-IT"/>
        </w:rPr>
      </w:pPr>
      <w:r w:rsidRPr="008866FF">
        <w:rPr>
          <w:lang w:val="it-IT"/>
        </w:rPr>
        <w:t>Kjo rregullore hyn në fuqi 15 ditë pas publikimit të saj në Fletoren Zyrtare.</w:t>
      </w:r>
    </w:p>
    <w:p w:rsidR="00D36ACB" w:rsidRPr="008866FF" w:rsidRDefault="00D36ACB" w:rsidP="00D36ACB">
      <w:pPr>
        <w:pStyle w:val="Paragrafi"/>
        <w:rPr>
          <w:lang w:val="it-IT"/>
        </w:rPr>
      </w:pPr>
      <w:r w:rsidRPr="008866FF">
        <w:rPr>
          <w:lang w:val="it-IT"/>
        </w:rPr>
        <w:tab/>
      </w:r>
      <w:r w:rsidRPr="008866FF">
        <w:rPr>
          <w:lang w:val="it-IT"/>
        </w:rPr>
        <w:tab/>
      </w:r>
      <w:r w:rsidRPr="008866FF">
        <w:rPr>
          <w:lang w:val="it-IT"/>
        </w:rPr>
        <w:tab/>
      </w:r>
      <w:r w:rsidRPr="008866FF">
        <w:rPr>
          <w:lang w:val="it-IT"/>
        </w:rPr>
        <w:tab/>
      </w:r>
      <w:r w:rsidRPr="008866FF">
        <w:rPr>
          <w:lang w:val="it-IT"/>
        </w:rPr>
        <w:tab/>
      </w:r>
      <w:r w:rsidRPr="008866FF">
        <w:rPr>
          <w:lang w:val="it-IT"/>
        </w:rPr>
        <w:tab/>
      </w:r>
    </w:p>
    <w:p w:rsidR="00D36ACB" w:rsidRPr="008866FF" w:rsidRDefault="00D36ACB" w:rsidP="00D36ACB">
      <w:pPr>
        <w:pStyle w:val="Autoriteti"/>
      </w:pPr>
      <w:r w:rsidRPr="008866FF">
        <w:t xml:space="preserve">KRYETARI </w:t>
      </w:r>
    </w:p>
    <w:p w:rsidR="00D36ACB" w:rsidRPr="008866FF" w:rsidRDefault="00D36ACB" w:rsidP="00D36ACB">
      <w:pPr>
        <w:pStyle w:val="AutoritetiEmer"/>
      </w:pPr>
      <w:r w:rsidRPr="008866FF">
        <w:t>Ardian Fullani</w:t>
      </w:r>
    </w:p>
    <w:p w:rsidR="00D36ACB" w:rsidRPr="008866FF" w:rsidRDefault="00D36ACB" w:rsidP="00D36ACB">
      <w:pPr>
        <w:pStyle w:val="Paragrafi"/>
        <w:rPr>
          <w:lang w:val="it-IT"/>
        </w:rPr>
      </w:pPr>
    </w:p>
    <w:p w:rsidR="00D36ACB" w:rsidRPr="008866FF" w:rsidRDefault="00D36ACB" w:rsidP="00D36ACB">
      <w:pPr>
        <w:pStyle w:val="Paragrafi"/>
        <w:jc w:val="right"/>
        <w:rPr>
          <w:lang w:val="it-IT"/>
        </w:rPr>
      </w:pPr>
      <w:r w:rsidRPr="008866FF">
        <w:rPr>
          <w:lang w:val="it-IT"/>
        </w:rPr>
        <w:t>Formulari nr.1</w:t>
      </w:r>
    </w:p>
    <w:p w:rsidR="00D36ACB" w:rsidRPr="008866FF" w:rsidRDefault="00D36ACB" w:rsidP="00D36ACB">
      <w:pPr>
        <w:pStyle w:val="Paragrafi"/>
        <w:rPr>
          <w:lang w:val="it-IT"/>
        </w:rPr>
      </w:pPr>
      <w:r w:rsidRPr="008866FF">
        <w:rPr>
          <w:lang w:val="it-IT"/>
        </w:rPr>
        <w:t xml:space="preserve">                                                                                                                                                                                                                                                                                                                                                                         </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6708"/>
        <w:gridCol w:w="1372"/>
      </w:tblGrid>
      <w:tr w:rsidR="00D36ACB" w:rsidRPr="00D36ACB">
        <w:tblPrEx>
          <w:tblCellMar>
            <w:top w:w="0" w:type="dxa"/>
            <w:bottom w:w="0" w:type="dxa"/>
          </w:tblCellMar>
        </w:tblPrEx>
        <w:trPr>
          <w:trHeight w:val="416"/>
        </w:trPr>
        <w:tc>
          <w:tcPr>
            <w:tcW w:w="8640" w:type="dxa"/>
            <w:gridSpan w:val="3"/>
          </w:tcPr>
          <w:p w:rsidR="00D36ACB" w:rsidRPr="008866FF" w:rsidRDefault="00D36ACB" w:rsidP="00D36ACB">
            <w:pPr>
              <w:pStyle w:val="Tabele"/>
            </w:pPr>
          </w:p>
          <w:p w:rsidR="00D36ACB" w:rsidRPr="00D36ACB" w:rsidRDefault="00D36ACB" w:rsidP="00D36ACB">
            <w:pPr>
              <w:pStyle w:val="Tabele"/>
              <w:rPr>
                <w:lang w:val="it-IT"/>
              </w:rPr>
            </w:pPr>
            <w:r w:rsidRPr="00D36ACB">
              <w:rPr>
                <w:lang w:val="it-IT"/>
              </w:rPr>
              <w:t>FORMULARI I DEPOZITËS EKUIVALENTE TË KAPITALIT</w:t>
            </w:r>
          </w:p>
          <w:p w:rsidR="00D36ACB" w:rsidRPr="00D36ACB" w:rsidRDefault="00D36ACB" w:rsidP="00D36ACB">
            <w:pPr>
              <w:pStyle w:val="Tabele"/>
              <w:rPr>
                <w:lang w:val="it-IT"/>
              </w:rPr>
            </w:pPr>
          </w:p>
        </w:tc>
      </w:tr>
      <w:tr w:rsidR="00D36ACB" w:rsidRPr="000B586E">
        <w:tblPrEx>
          <w:tblCellMar>
            <w:top w:w="0" w:type="dxa"/>
            <w:bottom w:w="0" w:type="dxa"/>
          </w:tblCellMar>
        </w:tblPrEx>
        <w:tc>
          <w:tcPr>
            <w:tcW w:w="560" w:type="dxa"/>
          </w:tcPr>
          <w:p w:rsidR="00D36ACB" w:rsidRPr="000B586E" w:rsidRDefault="00D36ACB" w:rsidP="00D36ACB">
            <w:pPr>
              <w:pStyle w:val="Tabele"/>
            </w:pPr>
            <w:r w:rsidRPr="000B586E">
              <w:t>Nr.</w:t>
            </w:r>
          </w:p>
        </w:tc>
        <w:tc>
          <w:tcPr>
            <w:tcW w:w="6708" w:type="dxa"/>
          </w:tcPr>
          <w:p w:rsidR="00D36ACB" w:rsidRPr="00D36ACB" w:rsidRDefault="00D36ACB" w:rsidP="00D36ACB">
            <w:pPr>
              <w:pStyle w:val="Tabele"/>
              <w:rPr>
                <w:lang w:val="it-IT"/>
              </w:rPr>
            </w:pPr>
            <w:r w:rsidRPr="00D36ACB">
              <w:rPr>
                <w:lang w:val="it-IT"/>
              </w:rPr>
              <w:t>Depozita ekuivalente e kapitalit (DEK-a):</w:t>
            </w:r>
          </w:p>
        </w:tc>
        <w:tc>
          <w:tcPr>
            <w:tcW w:w="1372" w:type="dxa"/>
          </w:tcPr>
          <w:p w:rsidR="00D36ACB" w:rsidRPr="000B586E" w:rsidRDefault="00D36ACB" w:rsidP="00D36ACB">
            <w:pPr>
              <w:pStyle w:val="Tabele"/>
            </w:pPr>
            <w:r w:rsidRPr="000B586E">
              <w:t>Shuma</w:t>
            </w:r>
          </w:p>
        </w:tc>
      </w:tr>
      <w:tr w:rsidR="00D36ACB" w:rsidRPr="000B586E">
        <w:tblPrEx>
          <w:tblCellMar>
            <w:top w:w="0" w:type="dxa"/>
            <w:bottom w:w="0" w:type="dxa"/>
          </w:tblCellMar>
        </w:tblPrEx>
        <w:tc>
          <w:tcPr>
            <w:tcW w:w="560" w:type="dxa"/>
          </w:tcPr>
          <w:p w:rsidR="00D36ACB" w:rsidRPr="000B586E" w:rsidRDefault="00D36ACB" w:rsidP="00D36ACB">
            <w:pPr>
              <w:pStyle w:val="Tabele"/>
            </w:pPr>
            <w:r w:rsidRPr="000B586E">
              <w:t>1.</w:t>
            </w:r>
          </w:p>
        </w:tc>
        <w:tc>
          <w:tcPr>
            <w:tcW w:w="6708" w:type="dxa"/>
          </w:tcPr>
          <w:p w:rsidR="00D36ACB" w:rsidRPr="000B586E" w:rsidRDefault="00D36ACB" w:rsidP="00D36ACB">
            <w:pPr>
              <w:pStyle w:val="Tabele"/>
            </w:pPr>
            <w:r w:rsidRPr="000B586E">
              <w:rPr>
                <w:rFonts w:eastAsia="Arial Unicode MS"/>
              </w:rPr>
              <w:t>Depozitë në Bankën e Shqipërisë me normë interesi të përcaktuar me marrëveshje midis tyre.</w:t>
            </w:r>
          </w:p>
        </w:tc>
        <w:tc>
          <w:tcPr>
            <w:tcW w:w="1372" w:type="dxa"/>
          </w:tcPr>
          <w:p w:rsidR="00D36ACB" w:rsidRPr="000B586E" w:rsidRDefault="00D36ACB" w:rsidP="00D36ACB">
            <w:pPr>
              <w:pStyle w:val="Tabele"/>
            </w:pPr>
          </w:p>
        </w:tc>
      </w:tr>
      <w:tr w:rsidR="00D36ACB" w:rsidRPr="000B586E">
        <w:tblPrEx>
          <w:tblCellMar>
            <w:top w:w="0" w:type="dxa"/>
            <w:bottom w:w="0" w:type="dxa"/>
          </w:tblCellMar>
        </w:tblPrEx>
        <w:tc>
          <w:tcPr>
            <w:tcW w:w="560" w:type="dxa"/>
          </w:tcPr>
          <w:p w:rsidR="00D36ACB" w:rsidRPr="000B586E" w:rsidRDefault="00D36ACB" w:rsidP="00D36ACB">
            <w:pPr>
              <w:pStyle w:val="Tabele"/>
            </w:pPr>
            <w:r w:rsidRPr="000B586E">
              <w:t>2.</w:t>
            </w:r>
          </w:p>
        </w:tc>
        <w:tc>
          <w:tcPr>
            <w:tcW w:w="6708" w:type="dxa"/>
          </w:tcPr>
          <w:p w:rsidR="00D36ACB" w:rsidRPr="000B586E" w:rsidRDefault="00D36ACB" w:rsidP="00D36ACB">
            <w:pPr>
              <w:pStyle w:val="Tabele"/>
            </w:pPr>
            <w:r w:rsidRPr="000B586E">
              <w:rPr>
                <w:rFonts w:eastAsia="Arial Unicode MS"/>
              </w:rPr>
              <w:t>Bono thesari dhe obligacione të emetuara nga Këshilli i Ministrave i Republikës së Shqipërisë.</w:t>
            </w:r>
          </w:p>
        </w:tc>
        <w:tc>
          <w:tcPr>
            <w:tcW w:w="1372" w:type="dxa"/>
          </w:tcPr>
          <w:p w:rsidR="00D36ACB" w:rsidRPr="000B586E" w:rsidRDefault="00D36ACB" w:rsidP="00D36ACB">
            <w:pPr>
              <w:pStyle w:val="Tabele"/>
            </w:pPr>
          </w:p>
        </w:tc>
      </w:tr>
      <w:tr w:rsidR="00D36ACB" w:rsidRPr="00D36ACB">
        <w:tblPrEx>
          <w:tblCellMar>
            <w:top w:w="0" w:type="dxa"/>
            <w:bottom w:w="0" w:type="dxa"/>
          </w:tblCellMar>
        </w:tblPrEx>
        <w:tc>
          <w:tcPr>
            <w:tcW w:w="560" w:type="dxa"/>
          </w:tcPr>
          <w:p w:rsidR="00D36ACB" w:rsidRPr="000B586E" w:rsidRDefault="00D36ACB" w:rsidP="00D36ACB">
            <w:pPr>
              <w:pStyle w:val="Tabele"/>
            </w:pPr>
            <w:r w:rsidRPr="000B586E">
              <w:t>3.</w:t>
            </w:r>
          </w:p>
        </w:tc>
        <w:tc>
          <w:tcPr>
            <w:tcW w:w="6708" w:type="dxa"/>
          </w:tcPr>
          <w:p w:rsidR="00D36ACB" w:rsidRPr="00D36ACB" w:rsidRDefault="00D36ACB" w:rsidP="00D36ACB">
            <w:pPr>
              <w:pStyle w:val="Tabele"/>
              <w:rPr>
                <w:lang w:val="it-IT"/>
              </w:rPr>
            </w:pPr>
            <w:r w:rsidRPr="00D36ACB">
              <w:rPr>
                <w:rFonts w:eastAsia="Arial Unicode MS"/>
                <w:lang w:val="it-IT"/>
              </w:rPr>
              <w:t>Letra me vlerë të emetuara nga Banka e Shqipërisë.</w:t>
            </w:r>
          </w:p>
        </w:tc>
        <w:tc>
          <w:tcPr>
            <w:tcW w:w="1372" w:type="dxa"/>
          </w:tcPr>
          <w:p w:rsidR="00D36ACB" w:rsidRPr="00D36ACB" w:rsidRDefault="00D36ACB" w:rsidP="00D36ACB">
            <w:pPr>
              <w:pStyle w:val="Tabele"/>
              <w:rPr>
                <w:lang w:val="it-IT"/>
              </w:rPr>
            </w:pPr>
          </w:p>
        </w:tc>
      </w:tr>
      <w:tr w:rsidR="00D36ACB" w:rsidRPr="000B586E">
        <w:tblPrEx>
          <w:tblCellMar>
            <w:top w:w="0" w:type="dxa"/>
            <w:bottom w:w="0" w:type="dxa"/>
          </w:tblCellMar>
        </w:tblPrEx>
        <w:tc>
          <w:tcPr>
            <w:tcW w:w="560" w:type="dxa"/>
          </w:tcPr>
          <w:p w:rsidR="00D36ACB" w:rsidRPr="00D36ACB" w:rsidRDefault="00D36ACB" w:rsidP="00D36ACB">
            <w:pPr>
              <w:pStyle w:val="Tabele"/>
              <w:rPr>
                <w:lang w:val="it-IT"/>
              </w:rPr>
            </w:pPr>
          </w:p>
        </w:tc>
        <w:tc>
          <w:tcPr>
            <w:tcW w:w="6708" w:type="dxa"/>
          </w:tcPr>
          <w:p w:rsidR="00D36ACB" w:rsidRPr="000B586E" w:rsidRDefault="00D36ACB" w:rsidP="00D36ACB">
            <w:pPr>
              <w:pStyle w:val="Tabele"/>
            </w:pPr>
            <w:r w:rsidRPr="000B586E">
              <w:t>SHUMA</w:t>
            </w:r>
          </w:p>
        </w:tc>
        <w:tc>
          <w:tcPr>
            <w:tcW w:w="1372" w:type="dxa"/>
          </w:tcPr>
          <w:p w:rsidR="00D36ACB" w:rsidRPr="000B586E" w:rsidRDefault="00D36ACB" w:rsidP="00D36ACB">
            <w:pPr>
              <w:pStyle w:val="Tabele"/>
            </w:pPr>
          </w:p>
        </w:tc>
      </w:tr>
    </w:tbl>
    <w:p w:rsidR="00D36ACB" w:rsidRPr="000B586E" w:rsidRDefault="00D36ACB" w:rsidP="00D36ACB">
      <w:pPr>
        <w:pStyle w:val="Paragrafi"/>
      </w:pPr>
    </w:p>
    <w:p w:rsidR="00D36ACB" w:rsidRPr="000B586E" w:rsidRDefault="00D36ACB" w:rsidP="00D36ACB">
      <w:pPr>
        <w:pStyle w:val="Paragrafi"/>
      </w:pPr>
    </w:p>
    <w:p w:rsidR="00D36ACB" w:rsidRPr="000B586E" w:rsidRDefault="00D36ACB" w:rsidP="00D36ACB">
      <w:pPr>
        <w:pStyle w:val="Paragrafi"/>
        <w:jc w:val="right"/>
      </w:pPr>
      <w:r w:rsidRPr="000B586E">
        <w:t>Formulari nr.2</w:t>
      </w:r>
    </w:p>
    <w:p w:rsidR="00D36ACB" w:rsidRPr="000B586E" w:rsidRDefault="00D36ACB" w:rsidP="00D36ACB">
      <w:pPr>
        <w:pStyle w:val="Paragrafi"/>
      </w:pPr>
    </w:p>
    <w:tbl>
      <w:tblPr>
        <w:tblW w:w="8640" w:type="dxa"/>
        <w:tblInd w:w="108" w:type="dxa"/>
        <w:tblLook w:val="0000" w:firstRow="0" w:lastRow="0" w:firstColumn="0" w:lastColumn="0" w:noHBand="0" w:noVBand="0"/>
      </w:tblPr>
      <w:tblGrid>
        <w:gridCol w:w="1001"/>
        <w:gridCol w:w="6680"/>
        <w:gridCol w:w="959"/>
      </w:tblGrid>
      <w:tr w:rsidR="00D36ACB" w:rsidRPr="000B586E">
        <w:trPr>
          <w:trHeight w:val="270"/>
        </w:trPr>
        <w:tc>
          <w:tcPr>
            <w:tcW w:w="1001" w:type="dxa"/>
            <w:tcBorders>
              <w:top w:val="single" w:sz="4" w:space="0" w:color="auto"/>
              <w:left w:val="single" w:sz="4" w:space="0" w:color="auto"/>
              <w:bottom w:val="nil"/>
              <w:right w:val="nil"/>
            </w:tcBorders>
            <w:shd w:val="clear" w:color="auto" w:fill="C0C0C0"/>
            <w:noWrap/>
            <w:vAlign w:val="bottom"/>
          </w:tcPr>
          <w:p w:rsidR="00D36ACB" w:rsidRPr="000B586E" w:rsidRDefault="00D36ACB" w:rsidP="00D36ACB">
            <w:pPr>
              <w:pStyle w:val="Tabele"/>
            </w:pPr>
            <w:r w:rsidRPr="000B586E">
              <w:t> </w:t>
            </w:r>
          </w:p>
        </w:tc>
        <w:tc>
          <w:tcPr>
            <w:tcW w:w="6680" w:type="dxa"/>
            <w:tcBorders>
              <w:top w:val="single" w:sz="4" w:space="0" w:color="auto"/>
              <w:left w:val="single" w:sz="4" w:space="0" w:color="auto"/>
              <w:bottom w:val="nil"/>
              <w:right w:val="single" w:sz="4" w:space="0" w:color="auto"/>
            </w:tcBorders>
            <w:shd w:val="clear" w:color="auto" w:fill="C0C0C0"/>
            <w:noWrap/>
            <w:vAlign w:val="bottom"/>
          </w:tcPr>
          <w:p w:rsidR="00D36ACB" w:rsidRPr="000B586E" w:rsidRDefault="00D36ACB" w:rsidP="00D36ACB">
            <w:pPr>
              <w:pStyle w:val="Tabele"/>
            </w:pPr>
            <w:r w:rsidRPr="000B586E">
              <w:t>MATJA DHE KONTROLLI I KUFIJVE TË RREZIKUT</w:t>
            </w:r>
          </w:p>
        </w:tc>
        <w:tc>
          <w:tcPr>
            <w:tcW w:w="959" w:type="dxa"/>
            <w:tcBorders>
              <w:top w:val="single" w:sz="4" w:space="0" w:color="auto"/>
              <w:left w:val="nil"/>
              <w:bottom w:val="nil"/>
              <w:right w:val="single" w:sz="4" w:space="0" w:color="auto"/>
            </w:tcBorders>
            <w:shd w:val="clear" w:color="auto" w:fill="C0C0C0"/>
            <w:noWrap/>
            <w:vAlign w:val="bottom"/>
          </w:tcPr>
          <w:p w:rsidR="00D36ACB" w:rsidRPr="000B586E" w:rsidRDefault="00D36ACB" w:rsidP="00D36ACB">
            <w:pPr>
              <w:pStyle w:val="Tabele"/>
            </w:pPr>
            <w:r w:rsidRPr="000B586E">
              <w:t> </w:t>
            </w:r>
          </w:p>
        </w:tc>
      </w:tr>
      <w:tr w:rsidR="00D36ACB" w:rsidRPr="000B586E">
        <w:trPr>
          <w:trHeight w:val="270"/>
        </w:trPr>
        <w:tc>
          <w:tcPr>
            <w:tcW w:w="1001" w:type="dxa"/>
            <w:tcBorders>
              <w:top w:val="nil"/>
              <w:left w:val="single" w:sz="4" w:space="0" w:color="auto"/>
              <w:bottom w:val="single" w:sz="4" w:space="0" w:color="auto"/>
              <w:right w:val="nil"/>
            </w:tcBorders>
            <w:shd w:val="clear" w:color="auto" w:fill="C0C0C0"/>
            <w:noWrap/>
            <w:vAlign w:val="bottom"/>
          </w:tcPr>
          <w:p w:rsidR="00D36ACB" w:rsidRPr="000B586E" w:rsidRDefault="00D36ACB" w:rsidP="00D36ACB">
            <w:pPr>
              <w:pStyle w:val="Tabele"/>
            </w:pPr>
            <w:r w:rsidRPr="000B586E">
              <w:t>Kodi</w:t>
            </w:r>
          </w:p>
        </w:tc>
        <w:tc>
          <w:tcPr>
            <w:tcW w:w="6680" w:type="dxa"/>
            <w:tcBorders>
              <w:top w:val="nil"/>
              <w:left w:val="single" w:sz="4" w:space="0" w:color="auto"/>
              <w:bottom w:val="single" w:sz="4" w:space="0" w:color="auto"/>
              <w:right w:val="single" w:sz="4" w:space="0" w:color="auto"/>
            </w:tcBorders>
            <w:shd w:val="clear" w:color="auto" w:fill="C0C0C0"/>
            <w:noWrap/>
            <w:vAlign w:val="bottom"/>
          </w:tcPr>
          <w:p w:rsidR="00D36ACB" w:rsidRPr="000B586E" w:rsidRDefault="00D36ACB" w:rsidP="00D36ACB">
            <w:pPr>
              <w:pStyle w:val="Tabele"/>
            </w:pPr>
            <w:r w:rsidRPr="000B586E">
              <w:t>(në mijë lekë)</w:t>
            </w:r>
          </w:p>
        </w:tc>
        <w:tc>
          <w:tcPr>
            <w:tcW w:w="959" w:type="dxa"/>
            <w:tcBorders>
              <w:top w:val="nil"/>
              <w:left w:val="nil"/>
              <w:bottom w:val="single" w:sz="4" w:space="0" w:color="auto"/>
              <w:right w:val="single" w:sz="4" w:space="0" w:color="auto"/>
            </w:tcBorders>
            <w:shd w:val="clear" w:color="auto" w:fill="C0C0C0"/>
            <w:noWrap/>
            <w:vAlign w:val="bottom"/>
          </w:tcPr>
          <w:p w:rsidR="00D36ACB" w:rsidRPr="000B586E" w:rsidRDefault="00D36ACB" w:rsidP="00D36ACB">
            <w:pPr>
              <w:pStyle w:val="Tabele"/>
            </w:pPr>
            <w:r w:rsidRPr="000B586E">
              <w:t>Shumat</w:t>
            </w:r>
          </w:p>
        </w:tc>
      </w:tr>
      <w:tr w:rsidR="00D36ACB" w:rsidRPr="000B586E">
        <w:trPr>
          <w:trHeight w:val="270"/>
        </w:trPr>
        <w:tc>
          <w:tcPr>
            <w:tcW w:w="1001" w:type="dxa"/>
            <w:tcBorders>
              <w:top w:val="nil"/>
              <w:left w:val="single" w:sz="4" w:space="0" w:color="auto"/>
              <w:bottom w:val="nil"/>
              <w:right w:val="single" w:sz="4" w:space="0" w:color="auto"/>
            </w:tcBorders>
            <w:shd w:val="clear" w:color="auto" w:fill="auto"/>
            <w:noWrap/>
            <w:vAlign w:val="bottom"/>
          </w:tcPr>
          <w:p w:rsidR="00D36ACB" w:rsidRPr="000B586E" w:rsidRDefault="00D36ACB" w:rsidP="00D36ACB">
            <w:pPr>
              <w:pStyle w:val="Tabele"/>
            </w:pPr>
            <w:r w:rsidRPr="000B586E">
              <w:t>1.</w:t>
            </w:r>
          </w:p>
        </w:tc>
        <w:tc>
          <w:tcPr>
            <w:tcW w:w="6680" w:type="dxa"/>
            <w:tcBorders>
              <w:top w:val="nil"/>
              <w:left w:val="nil"/>
              <w:bottom w:val="nil"/>
              <w:right w:val="nil"/>
            </w:tcBorders>
            <w:shd w:val="clear" w:color="auto" w:fill="auto"/>
            <w:noWrap/>
            <w:vAlign w:val="bottom"/>
          </w:tcPr>
          <w:p w:rsidR="00D36ACB" w:rsidRPr="000B586E" w:rsidRDefault="00D36ACB" w:rsidP="00D36ACB">
            <w:pPr>
              <w:pStyle w:val="Tabele"/>
            </w:pPr>
            <w:r w:rsidRPr="000B586E">
              <w:t>Totali i aktiveve në fund të tremujorit paraardhës</w:t>
            </w:r>
          </w:p>
        </w:tc>
        <w:tc>
          <w:tcPr>
            <w:tcW w:w="959" w:type="dxa"/>
            <w:tcBorders>
              <w:top w:val="nil"/>
              <w:left w:val="single" w:sz="4" w:space="0" w:color="auto"/>
              <w:bottom w:val="nil"/>
              <w:right w:val="single" w:sz="4" w:space="0" w:color="auto"/>
            </w:tcBorders>
            <w:shd w:val="clear" w:color="auto" w:fill="auto"/>
            <w:noWrap/>
            <w:vAlign w:val="bottom"/>
          </w:tcPr>
          <w:p w:rsidR="00D36ACB" w:rsidRPr="000B586E" w:rsidRDefault="00D36ACB" w:rsidP="00D36ACB">
            <w:pPr>
              <w:pStyle w:val="Tabele"/>
            </w:pPr>
            <w:r w:rsidRPr="000B586E">
              <w:t> </w:t>
            </w:r>
          </w:p>
        </w:tc>
      </w:tr>
      <w:tr w:rsidR="00D36ACB" w:rsidRPr="008866FF">
        <w:trPr>
          <w:trHeight w:val="270"/>
        </w:trPr>
        <w:tc>
          <w:tcPr>
            <w:tcW w:w="1001" w:type="dxa"/>
            <w:tcBorders>
              <w:top w:val="nil"/>
              <w:left w:val="single" w:sz="4" w:space="0" w:color="auto"/>
              <w:bottom w:val="nil"/>
              <w:right w:val="single" w:sz="4" w:space="0" w:color="auto"/>
            </w:tcBorders>
            <w:shd w:val="clear" w:color="auto" w:fill="auto"/>
            <w:noWrap/>
            <w:vAlign w:val="bottom"/>
          </w:tcPr>
          <w:p w:rsidR="00D36ACB" w:rsidRPr="000B586E" w:rsidRDefault="00D36ACB" w:rsidP="00D36ACB">
            <w:pPr>
              <w:pStyle w:val="Tabele"/>
            </w:pPr>
            <w:r w:rsidRPr="000B586E">
              <w:t>2.</w:t>
            </w:r>
          </w:p>
        </w:tc>
        <w:tc>
          <w:tcPr>
            <w:tcW w:w="6680" w:type="dxa"/>
            <w:tcBorders>
              <w:top w:val="nil"/>
              <w:left w:val="nil"/>
              <w:bottom w:val="nil"/>
              <w:right w:val="nil"/>
            </w:tcBorders>
            <w:shd w:val="clear" w:color="auto" w:fill="auto"/>
            <w:noWrap/>
            <w:vAlign w:val="bottom"/>
          </w:tcPr>
          <w:p w:rsidR="00D36ACB" w:rsidRPr="008866FF" w:rsidRDefault="00D36ACB" w:rsidP="00D36ACB">
            <w:pPr>
              <w:pStyle w:val="Tabele"/>
              <w:rPr>
                <w:lang w:val="it-IT"/>
              </w:rPr>
            </w:pPr>
            <w:r w:rsidRPr="008866FF">
              <w:rPr>
                <w:lang w:val="it-IT"/>
              </w:rPr>
              <w:t>Teprica e kredisë e tremujorit raportues</w:t>
            </w:r>
          </w:p>
        </w:tc>
        <w:tc>
          <w:tcPr>
            <w:tcW w:w="959" w:type="dxa"/>
            <w:tcBorders>
              <w:top w:val="nil"/>
              <w:left w:val="single" w:sz="4" w:space="0" w:color="auto"/>
              <w:bottom w:val="nil"/>
              <w:right w:val="single" w:sz="4" w:space="0" w:color="auto"/>
            </w:tcBorders>
            <w:shd w:val="clear" w:color="auto" w:fill="auto"/>
            <w:noWrap/>
            <w:vAlign w:val="bottom"/>
          </w:tcPr>
          <w:p w:rsidR="00D36ACB" w:rsidRPr="008866FF" w:rsidRDefault="00D36ACB" w:rsidP="00D36ACB">
            <w:pPr>
              <w:pStyle w:val="Tabele"/>
              <w:rPr>
                <w:lang w:val="it-IT"/>
              </w:rPr>
            </w:pPr>
            <w:r w:rsidRPr="008866FF">
              <w:rPr>
                <w:lang w:val="it-IT"/>
              </w:rPr>
              <w:t> </w:t>
            </w:r>
          </w:p>
        </w:tc>
      </w:tr>
      <w:tr w:rsidR="00D36ACB" w:rsidRPr="008866FF">
        <w:trPr>
          <w:trHeight w:val="270"/>
        </w:trPr>
        <w:tc>
          <w:tcPr>
            <w:tcW w:w="1001" w:type="dxa"/>
            <w:tcBorders>
              <w:top w:val="nil"/>
              <w:left w:val="single" w:sz="4" w:space="0" w:color="auto"/>
              <w:bottom w:val="nil"/>
              <w:right w:val="single" w:sz="4" w:space="0" w:color="auto"/>
            </w:tcBorders>
            <w:shd w:val="clear" w:color="auto" w:fill="auto"/>
            <w:noWrap/>
            <w:vAlign w:val="bottom"/>
          </w:tcPr>
          <w:p w:rsidR="00D36ACB" w:rsidRPr="000B586E" w:rsidRDefault="00D36ACB" w:rsidP="00D36ACB">
            <w:pPr>
              <w:pStyle w:val="Tabele"/>
            </w:pPr>
            <w:r w:rsidRPr="000B586E">
              <w:t>3.</w:t>
            </w:r>
          </w:p>
        </w:tc>
        <w:tc>
          <w:tcPr>
            <w:tcW w:w="6680" w:type="dxa"/>
            <w:tcBorders>
              <w:top w:val="nil"/>
              <w:left w:val="nil"/>
              <w:bottom w:val="nil"/>
              <w:right w:val="nil"/>
            </w:tcBorders>
            <w:shd w:val="clear" w:color="auto" w:fill="auto"/>
            <w:noWrap/>
            <w:vAlign w:val="bottom"/>
          </w:tcPr>
          <w:p w:rsidR="00D36ACB" w:rsidRPr="008866FF" w:rsidRDefault="00D36ACB" w:rsidP="00D36ACB">
            <w:pPr>
              <w:pStyle w:val="Tabele"/>
              <w:rPr>
                <w:lang w:val="it-IT"/>
              </w:rPr>
            </w:pPr>
            <w:r w:rsidRPr="008866FF">
              <w:rPr>
                <w:lang w:val="it-IT"/>
              </w:rPr>
              <w:t>Raporti tepricë kredie/totalit të aktiveve</w:t>
            </w:r>
          </w:p>
        </w:tc>
        <w:tc>
          <w:tcPr>
            <w:tcW w:w="959" w:type="dxa"/>
            <w:tcBorders>
              <w:top w:val="nil"/>
              <w:left w:val="single" w:sz="4" w:space="0" w:color="auto"/>
              <w:bottom w:val="nil"/>
              <w:right w:val="single" w:sz="4" w:space="0" w:color="auto"/>
            </w:tcBorders>
            <w:shd w:val="clear" w:color="auto" w:fill="auto"/>
            <w:noWrap/>
            <w:vAlign w:val="bottom"/>
          </w:tcPr>
          <w:p w:rsidR="00D36ACB" w:rsidRPr="008866FF" w:rsidRDefault="00D36ACB" w:rsidP="00D36ACB">
            <w:pPr>
              <w:pStyle w:val="Tabele"/>
              <w:rPr>
                <w:lang w:val="it-IT"/>
              </w:rPr>
            </w:pPr>
          </w:p>
        </w:tc>
      </w:tr>
      <w:tr w:rsidR="00D36ACB" w:rsidRPr="000B586E">
        <w:trPr>
          <w:trHeight w:val="270"/>
        </w:trPr>
        <w:tc>
          <w:tcPr>
            <w:tcW w:w="1001" w:type="dxa"/>
            <w:tcBorders>
              <w:top w:val="nil"/>
              <w:left w:val="single" w:sz="4" w:space="0" w:color="auto"/>
              <w:bottom w:val="nil"/>
              <w:right w:val="single" w:sz="4" w:space="0" w:color="auto"/>
            </w:tcBorders>
            <w:shd w:val="clear" w:color="auto" w:fill="auto"/>
            <w:noWrap/>
            <w:vAlign w:val="bottom"/>
          </w:tcPr>
          <w:p w:rsidR="00D36ACB" w:rsidRPr="000B586E" w:rsidRDefault="00D36ACB" w:rsidP="00D36ACB">
            <w:pPr>
              <w:pStyle w:val="Tabele"/>
            </w:pPr>
            <w:r w:rsidRPr="000B586E">
              <w:t>4.</w:t>
            </w:r>
          </w:p>
        </w:tc>
        <w:tc>
          <w:tcPr>
            <w:tcW w:w="6680" w:type="dxa"/>
            <w:tcBorders>
              <w:top w:val="nil"/>
              <w:left w:val="nil"/>
              <w:bottom w:val="nil"/>
              <w:right w:val="nil"/>
            </w:tcBorders>
            <w:shd w:val="clear" w:color="auto" w:fill="auto"/>
            <w:noWrap/>
            <w:vAlign w:val="bottom"/>
          </w:tcPr>
          <w:p w:rsidR="00D36ACB" w:rsidRPr="000B586E" w:rsidRDefault="00D36ACB" w:rsidP="00D36ACB">
            <w:pPr>
              <w:pStyle w:val="Tabele"/>
            </w:pPr>
            <w:r w:rsidRPr="000B586E">
              <w:t>Kufiri maksimal i rrezikut</w:t>
            </w:r>
          </w:p>
        </w:tc>
        <w:tc>
          <w:tcPr>
            <w:tcW w:w="959" w:type="dxa"/>
            <w:tcBorders>
              <w:top w:val="nil"/>
              <w:left w:val="single" w:sz="4" w:space="0" w:color="auto"/>
              <w:bottom w:val="nil"/>
              <w:right w:val="single" w:sz="4" w:space="0" w:color="auto"/>
            </w:tcBorders>
            <w:shd w:val="clear" w:color="auto" w:fill="auto"/>
            <w:noWrap/>
            <w:vAlign w:val="bottom"/>
          </w:tcPr>
          <w:p w:rsidR="00D36ACB" w:rsidRPr="000B586E" w:rsidRDefault="00D36ACB" w:rsidP="00D36ACB">
            <w:pPr>
              <w:pStyle w:val="Tabele"/>
            </w:pPr>
            <w:r w:rsidRPr="000B586E">
              <w:t>70%</w:t>
            </w:r>
          </w:p>
        </w:tc>
      </w:tr>
      <w:tr w:rsidR="00D36ACB" w:rsidRPr="000B586E">
        <w:trPr>
          <w:trHeight w:val="270"/>
        </w:trPr>
        <w:tc>
          <w:tcPr>
            <w:tcW w:w="1001" w:type="dxa"/>
            <w:tcBorders>
              <w:top w:val="nil"/>
              <w:left w:val="single" w:sz="4" w:space="0" w:color="auto"/>
              <w:bottom w:val="nil"/>
              <w:right w:val="single" w:sz="4" w:space="0" w:color="auto"/>
            </w:tcBorders>
            <w:shd w:val="clear" w:color="auto" w:fill="auto"/>
            <w:noWrap/>
            <w:vAlign w:val="bottom"/>
          </w:tcPr>
          <w:p w:rsidR="00D36ACB" w:rsidRPr="000B586E" w:rsidRDefault="00D36ACB" w:rsidP="00D36ACB">
            <w:pPr>
              <w:pStyle w:val="Tabele"/>
            </w:pPr>
            <w:r w:rsidRPr="000B586E">
              <w:t>5.</w:t>
            </w:r>
          </w:p>
        </w:tc>
        <w:tc>
          <w:tcPr>
            <w:tcW w:w="6680" w:type="dxa"/>
            <w:tcBorders>
              <w:top w:val="nil"/>
              <w:left w:val="nil"/>
              <w:bottom w:val="nil"/>
              <w:right w:val="nil"/>
            </w:tcBorders>
            <w:shd w:val="clear" w:color="auto" w:fill="auto"/>
            <w:noWrap/>
            <w:vAlign w:val="bottom"/>
          </w:tcPr>
          <w:p w:rsidR="00D36ACB" w:rsidRPr="000B586E" w:rsidRDefault="00D36ACB" w:rsidP="00D36ACB">
            <w:pPr>
              <w:pStyle w:val="Tabele"/>
            </w:pPr>
            <w:r w:rsidRPr="000B586E">
              <w:t xml:space="preserve">5 % i totalit të aktiveve në fund të tremujorit paraardhës </w:t>
            </w:r>
          </w:p>
        </w:tc>
        <w:tc>
          <w:tcPr>
            <w:tcW w:w="959" w:type="dxa"/>
            <w:tcBorders>
              <w:top w:val="nil"/>
              <w:left w:val="single" w:sz="4" w:space="0" w:color="auto"/>
              <w:bottom w:val="nil"/>
              <w:right w:val="single" w:sz="4" w:space="0" w:color="auto"/>
            </w:tcBorders>
            <w:shd w:val="clear" w:color="auto" w:fill="auto"/>
            <w:noWrap/>
            <w:vAlign w:val="bottom"/>
          </w:tcPr>
          <w:p w:rsidR="00D36ACB" w:rsidRPr="000B586E" w:rsidRDefault="00D36ACB" w:rsidP="00D36ACB">
            <w:pPr>
              <w:pStyle w:val="Tabele"/>
            </w:pPr>
          </w:p>
        </w:tc>
      </w:tr>
      <w:tr w:rsidR="00D36ACB" w:rsidRPr="000B586E">
        <w:trPr>
          <w:trHeight w:val="270"/>
        </w:trPr>
        <w:tc>
          <w:tcPr>
            <w:tcW w:w="1001" w:type="dxa"/>
            <w:tcBorders>
              <w:top w:val="nil"/>
              <w:left w:val="single" w:sz="4" w:space="0" w:color="auto"/>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c>
          <w:tcPr>
            <w:tcW w:w="6680" w:type="dxa"/>
            <w:tcBorders>
              <w:top w:val="nil"/>
              <w:left w:val="nil"/>
              <w:bottom w:val="nil"/>
              <w:right w:val="nil"/>
            </w:tcBorders>
            <w:shd w:val="clear" w:color="auto" w:fill="auto"/>
            <w:noWrap/>
            <w:vAlign w:val="bottom"/>
          </w:tcPr>
          <w:p w:rsidR="00D36ACB" w:rsidRPr="000B586E" w:rsidRDefault="00D36ACB" w:rsidP="00D36ACB">
            <w:pPr>
              <w:pStyle w:val="Tabele"/>
            </w:pPr>
            <w:r w:rsidRPr="000B586E">
              <w:t>Renditja e ekspozimeve</w:t>
            </w:r>
          </w:p>
        </w:tc>
        <w:tc>
          <w:tcPr>
            <w:tcW w:w="959" w:type="dxa"/>
            <w:tcBorders>
              <w:top w:val="nil"/>
              <w:left w:val="single" w:sz="4" w:space="0" w:color="auto"/>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r>
      <w:tr w:rsidR="00D36ACB" w:rsidRPr="000B586E">
        <w:trPr>
          <w:trHeight w:val="270"/>
        </w:trPr>
        <w:tc>
          <w:tcPr>
            <w:tcW w:w="1001" w:type="dxa"/>
            <w:tcBorders>
              <w:top w:val="nil"/>
              <w:left w:val="single" w:sz="4" w:space="0" w:color="auto"/>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c>
          <w:tcPr>
            <w:tcW w:w="6680" w:type="dxa"/>
            <w:tcBorders>
              <w:top w:val="single" w:sz="4" w:space="0" w:color="auto"/>
              <w:left w:val="nil"/>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Emri i përfituesit *</w:t>
            </w:r>
          </w:p>
        </w:tc>
        <w:tc>
          <w:tcPr>
            <w:tcW w:w="959" w:type="dxa"/>
            <w:tcBorders>
              <w:top w:val="nil"/>
              <w:left w:val="nil"/>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Shuma</w:t>
            </w:r>
          </w:p>
        </w:tc>
      </w:tr>
      <w:tr w:rsidR="00D36ACB" w:rsidRPr="000B586E">
        <w:trPr>
          <w:trHeight w:val="270"/>
        </w:trPr>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1.</w:t>
            </w:r>
          </w:p>
        </w:tc>
        <w:tc>
          <w:tcPr>
            <w:tcW w:w="6680" w:type="dxa"/>
            <w:tcBorders>
              <w:top w:val="single" w:sz="4" w:space="0" w:color="auto"/>
              <w:left w:val="nil"/>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r>
      <w:tr w:rsidR="00D36ACB" w:rsidRPr="000B586E">
        <w:trPr>
          <w:trHeight w:val="270"/>
        </w:trPr>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2.</w:t>
            </w:r>
          </w:p>
        </w:tc>
        <w:tc>
          <w:tcPr>
            <w:tcW w:w="6680" w:type="dxa"/>
            <w:tcBorders>
              <w:top w:val="single" w:sz="4" w:space="0" w:color="auto"/>
              <w:left w:val="nil"/>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r>
      <w:tr w:rsidR="00D36ACB" w:rsidRPr="000B586E">
        <w:trPr>
          <w:trHeight w:val="270"/>
        </w:trPr>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3.</w:t>
            </w:r>
          </w:p>
        </w:tc>
        <w:tc>
          <w:tcPr>
            <w:tcW w:w="6680" w:type="dxa"/>
            <w:tcBorders>
              <w:top w:val="single" w:sz="4" w:space="0" w:color="auto"/>
              <w:left w:val="nil"/>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r>
      <w:tr w:rsidR="00D36ACB" w:rsidRPr="000B586E">
        <w:trPr>
          <w:trHeight w:val="270"/>
        </w:trPr>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etj.</w:t>
            </w:r>
          </w:p>
        </w:tc>
        <w:tc>
          <w:tcPr>
            <w:tcW w:w="6680" w:type="dxa"/>
            <w:tcBorders>
              <w:top w:val="single" w:sz="4" w:space="0" w:color="auto"/>
              <w:left w:val="nil"/>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D36ACB" w:rsidRPr="000B586E" w:rsidRDefault="00D36ACB" w:rsidP="00D36ACB">
            <w:pPr>
              <w:pStyle w:val="Tabele"/>
            </w:pPr>
            <w:r w:rsidRPr="000B586E">
              <w:t> </w:t>
            </w:r>
          </w:p>
        </w:tc>
      </w:tr>
    </w:tbl>
    <w:p w:rsidR="00D36ACB" w:rsidRPr="000B586E" w:rsidRDefault="00D36ACB" w:rsidP="00D36ACB">
      <w:pPr>
        <w:pStyle w:val="Paragrafi"/>
      </w:pPr>
    </w:p>
    <w:p w:rsidR="00D36ACB" w:rsidRPr="008866FF" w:rsidRDefault="00D36ACB" w:rsidP="00D36ACB">
      <w:pPr>
        <w:pStyle w:val="Paragrafi"/>
        <w:rPr>
          <w:lang w:val="it-IT"/>
        </w:rPr>
      </w:pPr>
      <w:r w:rsidRPr="008866FF">
        <w:rPr>
          <w:lang w:val="it-IT"/>
        </w:rPr>
        <w:t>* raportohen personat dhe/ose personat e lidhur që tejkalojnë nivelit 5 %.</w:t>
      </w:r>
    </w:p>
    <w:p w:rsidR="00D36ACB" w:rsidRPr="008866FF" w:rsidRDefault="00D36ACB" w:rsidP="00D36ACB">
      <w:pPr>
        <w:pStyle w:val="Paragrafi"/>
        <w:rPr>
          <w:lang w:val="it-IT"/>
        </w:rPr>
      </w:pPr>
    </w:p>
    <w:p w:rsidR="000178C2" w:rsidRPr="00D36ACB" w:rsidRDefault="000178C2" w:rsidP="00D36ACB">
      <w:pPr>
        <w:pStyle w:val="Paragrafi"/>
      </w:pPr>
    </w:p>
    <w:sectPr w:rsidR="000178C2" w:rsidRPr="00D36ACB"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36ACB"/>
    <w:rsid w:val="000178C2"/>
    <w:rsid w:val="00C84B66"/>
    <w:rsid w:val="00CD1075"/>
    <w:rsid w:val="00D36ACB"/>
    <w:rsid w:val="00D70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197934-A223-4AAE-A982-D5B3BB503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ACB"/>
    <w:pPr>
      <w:widowControl w:val="0"/>
    </w:pPr>
    <w:rPr>
      <w:rFonts w:ascii="CG Times" w:eastAsia="MS Mincho" w:hAnsi="CG Times"/>
      <w:sz w:val="22"/>
      <w:szCs w:val="22"/>
      <w:lang w:val="sq-AL"/>
    </w:rPr>
  </w:style>
  <w:style w:type="paragraph" w:styleId="Heading1">
    <w:name w:val="heading 1"/>
    <w:basedOn w:val="Normal"/>
    <w:next w:val="Normal"/>
    <w:qFormat/>
    <w:rsid w:val="00D709F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D709F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D709FE"/>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D709FE"/>
    <w:rPr>
      <w:rFonts w:ascii="CG Times" w:hAnsi="CG Times"/>
      <w:sz w:val="22"/>
      <w:lang w:val="en-GB"/>
    </w:rPr>
  </w:style>
  <w:style w:type="paragraph" w:customStyle="1" w:styleId="AneksiNr">
    <w:name w:val="Aneksi_Nr"/>
    <w:next w:val="Normal"/>
    <w:rsid w:val="00D709FE"/>
    <w:pPr>
      <w:keepNext/>
      <w:widowControl w:val="0"/>
      <w:jc w:val="center"/>
    </w:pPr>
    <w:rPr>
      <w:rFonts w:ascii="CG Times" w:hAnsi="CG Times"/>
      <w:caps/>
      <w:sz w:val="22"/>
      <w:szCs w:val="22"/>
      <w:lang w:val="en-GB"/>
    </w:rPr>
  </w:style>
  <w:style w:type="paragraph" w:customStyle="1" w:styleId="AneksiTitull">
    <w:name w:val="Aneksi_Titull"/>
    <w:next w:val="Normal"/>
    <w:rsid w:val="00D709FE"/>
    <w:pPr>
      <w:jc w:val="center"/>
    </w:pPr>
    <w:rPr>
      <w:rFonts w:ascii="CG Times" w:hAnsi="CG Times"/>
      <w:sz w:val="24"/>
      <w:szCs w:val="24"/>
      <w:lang w:val="en-GB"/>
    </w:rPr>
  </w:style>
  <w:style w:type="paragraph" w:customStyle="1" w:styleId="Autoriteti">
    <w:name w:val="Autoriteti"/>
    <w:next w:val="Normal"/>
    <w:rsid w:val="00D709FE"/>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D709FE"/>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D709FE"/>
    <w:rPr>
      <w:rFonts w:ascii="CG Times" w:eastAsia="MS Mincho" w:hAnsi="CG Times"/>
      <w:b/>
      <w:sz w:val="22"/>
      <w:szCs w:val="22"/>
      <w:lang w:val="en-GB" w:eastAsia="en-US" w:bidi="ar-SA"/>
    </w:rPr>
  </w:style>
  <w:style w:type="paragraph" w:customStyle="1" w:styleId="BazLigjPropozues">
    <w:name w:val="Baz_Ligj_Propozues"/>
    <w:rsid w:val="00D709FE"/>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D709F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709F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709FE"/>
    <w:pPr>
      <w:spacing w:after="720"/>
      <w:ind w:left="1134"/>
      <w:jc w:val="both"/>
    </w:pPr>
    <w:rPr>
      <w:rFonts w:ascii="Arial" w:hAnsi="Arial"/>
      <w:sz w:val="20"/>
      <w:szCs w:val="20"/>
      <w:lang w:val="en-GB"/>
    </w:rPr>
  </w:style>
  <w:style w:type="paragraph" w:customStyle="1" w:styleId="bcverylastparaa">
    <w:name w:val="bc very last para (a)"/>
    <w:basedOn w:val="Normal"/>
    <w:rsid w:val="00D709FE"/>
    <w:pPr>
      <w:spacing w:after="720"/>
      <w:ind w:left="1843" w:hanging="709"/>
      <w:jc w:val="both"/>
    </w:pPr>
    <w:rPr>
      <w:rFonts w:ascii="Arial" w:hAnsi="Arial"/>
      <w:noProof/>
      <w:sz w:val="20"/>
      <w:szCs w:val="20"/>
      <w:lang w:val="en-GB"/>
    </w:rPr>
  </w:style>
  <w:style w:type="paragraph" w:customStyle="1" w:styleId="Bllok">
    <w:name w:val="Bllok"/>
    <w:next w:val="Normal"/>
    <w:rsid w:val="00D709FE"/>
    <w:pPr>
      <w:jc w:val="center"/>
    </w:pPr>
    <w:rPr>
      <w:rFonts w:ascii="CG Times" w:hAnsi="CG Times"/>
      <w:caps/>
      <w:sz w:val="22"/>
      <w:szCs w:val="22"/>
      <w:lang w:val="en-GB"/>
    </w:rPr>
  </w:style>
  <w:style w:type="paragraph" w:customStyle="1" w:styleId="BULLETUDHEZIM">
    <w:name w:val="BULLET UDHEZIM"/>
    <w:basedOn w:val="Normal"/>
    <w:rsid w:val="00D709FE"/>
    <w:pPr>
      <w:tabs>
        <w:tab w:val="num" w:pos="360"/>
      </w:tabs>
      <w:spacing w:before="120" w:after="120"/>
      <w:jc w:val="both"/>
    </w:pPr>
    <w:rPr>
      <w:rFonts w:ascii="Book Antiqua" w:hAnsi="Book Antiqua"/>
    </w:rPr>
  </w:style>
  <w:style w:type="paragraph" w:customStyle="1" w:styleId="extraclauses">
    <w:name w:val="extra_clauses"/>
    <w:basedOn w:val="Normal"/>
    <w:rsid w:val="00D709F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709FE"/>
    <w:pPr>
      <w:widowControl w:val="0"/>
      <w:outlineLvl w:val="2"/>
    </w:pPr>
    <w:rPr>
      <w:rFonts w:ascii="CG Times" w:hAnsi="CG Times"/>
      <w:sz w:val="22"/>
    </w:rPr>
  </w:style>
  <w:style w:type="paragraph" w:customStyle="1" w:styleId="footnote">
    <w:name w:val="footnote"/>
    <w:basedOn w:val="Normal"/>
    <w:rsid w:val="00D709F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D709FE"/>
    <w:pPr>
      <w:keepNext/>
      <w:widowControl w:val="0"/>
      <w:jc w:val="center"/>
    </w:pPr>
    <w:rPr>
      <w:rFonts w:ascii="CG Times" w:hAnsi="CG Times"/>
      <w:caps/>
      <w:sz w:val="22"/>
      <w:szCs w:val="22"/>
      <w:lang w:val="en-GB"/>
    </w:rPr>
  </w:style>
  <w:style w:type="paragraph" w:customStyle="1" w:styleId="Kapakufund">
    <w:name w:val="Kapaku_fund"/>
    <w:next w:val="Normal"/>
    <w:rsid w:val="00D709FE"/>
    <w:pPr>
      <w:pageBreakBefore/>
    </w:pPr>
    <w:rPr>
      <w:rFonts w:ascii="CG Times" w:hAnsi="CG Times"/>
      <w:b/>
      <w:sz w:val="22"/>
      <w:szCs w:val="22"/>
    </w:rPr>
  </w:style>
  <w:style w:type="paragraph" w:customStyle="1" w:styleId="KapitulliNr">
    <w:name w:val="Kapitulli_Nr"/>
    <w:rsid w:val="00D709FE"/>
    <w:pPr>
      <w:keepNext/>
      <w:widowControl w:val="0"/>
      <w:jc w:val="center"/>
    </w:pPr>
    <w:rPr>
      <w:rFonts w:ascii="CG Times" w:hAnsi="CG Times"/>
      <w:caps/>
      <w:sz w:val="22"/>
      <w:szCs w:val="22"/>
      <w:lang w:val="en-GB"/>
    </w:rPr>
  </w:style>
  <w:style w:type="paragraph" w:customStyle="1" w:styleId="KapitulliTitull">
    <w:name w:val="Kapitulli_Titull"/>
    <w:rsid w:val="00D709FE"/>
    <w:pPr>
      <w:keepNext/>
      <w:widowControl w:val="0"/>
      <w:jc w:val="center"/>
    </w:pPr>
    <w:rPr>
      <w:rFonts w:ascii="CG Times" w:hAnsi="CG Times"/>
      <w:caps/>
      <w:sz w:val="22"/>
      <w:szCs w:val="22"/>
      <w:lang w:val="en-GB"/>
    </w:rPr>
  </w:style>
  <w:style w:type="paragraph" w:customStyle="1" w:styleId="KreuNr">
    <w:name w:val="Kreu_Nr"/>
    <w:link w:val="KreuNrChar"/>
    <w:rsid w:val="00D709FE"/>
    <w:pPr>
      <w:keepNext/>
      <w:widowControl w:val="0"/>
      <w:jc w:val="center"/>
    </w:pPr>
    <w:rPr>
      <w:rFonts w:ascii="CG Times" w:hAnsi="CG Times"/>
      <w:caps/>
      <w:sz w:val="22"/>
      <w:szCs w:val="22"/>
    </w:rPr>
  </w:style>
  <w:style w:type="paragraph" w:customStyle="1" w:styleId="KreuTitull">
    <w:name w:val="Kreu_Titull"/>
    <w:next w:val="KapitulliTitull"/>
    <w:rsid w:val="00D709FE"/>
    <w:pPr>
      <w:keepNext/>
      <w:widowControl w:val="0"/>
      <w:jc w:val="center"/>
    </w:pPr>
    <w:rPr>
      <w:rFonts w:ascii="CG Times" w:hAnsi="CG Times"/>
      <w:caps/>
      <w:sz w:val="22"/>
      <w:szCs w:val="22"/>
    </w:rPr>
  </w:style>
  <w:style w:type="paragraph" w:customStyle="1" w:styleId="Ndryshimet">
    <w:name w:val="Ndryshimet"/>
    <w:next w:val="Normal"/>
    <w:rsid w:val="00D709FE"/>
    <w:pPr>
      <w:keepNext/>
      <w:widowControl w:val="0"/>
      <w:jc w:val="center"/>
    </w:pPr>
    <w:rPr>
      <w:rFonts w:ascii="CG Times" w:hAnsi="CG Times"/>
      <w:i/>
      <w:sz w:val="22"/>
    </w:rPr>
  </w:style>
  <w:style w:type="paragraph" w:customStyle="1" w:styleId="NeniNr">
    <w:name w:val="Neni_Nr"/>
    <w:next w:val="Normal"/>
    <w:link w:val="NeniNrChar"/>
    <w:rsid w:val="00D709FE"/>
    <w:pPr>
      <w:keepNext/>
      <w:widowControl w:val="0"/>
      <w:jc w:val="center"/>
    </w:pPr>
    <w:rPr>
      <w:rFonts w:ascii="CG Times" w:hAnsi="CG Times"/>
      <w:sz w:val="22"/>
      <w:lang w:val="en-GB"/>
    </w:rPr>
  </w:style>
  <w:style w:type="paragraph" w:customStyle="1" w:styleId="NeniTitull">
    <w:name w:val="Neni_Titull"/>
    <w:next w:val="Normal"/>
    <w:rsid w:val="00D709FE"/>
    <w:pPr>
      <w:keepNext/>
      <w:widowControl w:val="0"/>
      <w:jc w:val="center"/>
      <w:outlineLvl w:val="2"/>
    </w:pPr>
    <w:rPr>
      <w:rFonts w:ascii="CG Times" w:hAnsi="CG Times"/>
      <w:b/>
      <w:sz w:val="22"/>
      <w:lang w:val="en-GB"/>
    </w:rPr>
  </w:style>
  <w:style w:type="paragraph" w:customStyle="1" w:styleId="NenkreuNr">
    <w:name w:val="Nenkreu_Nr"/>
    <w:rsid w:val="00D709FE"/>
    <w:pPr>
      <w:keepNext/>
      <w:widowControl w:val="0"/>
      <w:jc w:val="center"/>
    </w:pPr>
    <w:rPr>
      <w:rFonts w:ascii="CG Times" w:hAnsi="CG Times"/>
      <w:caps/>
      <w:sz w:val="22"/>
      <w:szCs w:val="22"/>
      <w:lang w:val="en-GB"/>
    </w:rPr>
  </w:style>
  <w:style w:type="paragraph" w:customStyle="1" w:styleId="NenkreuTitull">
    <w:name w:val="Nenkreu_Titull"/>
    <w:rsid w:val="00D709FE"/>
    <w:pPr>
      <w:jc w:val="center"/>
    </w:pPr>
    <w:rPr>
      <w:rFonts w:ascii="CG Times" w:hAnsi="CG Times"/>
      <w:caps/>
      <w:sz w:val="22"/>
      <w:szCs w:val="22"/>
      <w:lang w:val="en-GB"/>
    </w:rPr>
  </w:style>
  <w:style w:type="paragraph" w:customStyle="1" w:styleId="Nenpika">
    <w:name w:val="Nenpika"/>
    <w:next w:val="Normal"/>
    <w:autoRedefine/>
    <w:rsid w:val="00D709FE"/>
    <w:pPr>
      <w:ind w:firstLine="720"/>
    </w:pPr>
    <w:rPr>
      <w:rFonts w:ascii="CG Times" w:hAnsi="CG Times"/>
      <w:sz w:val="22"/>
    </w:rPr>
  </w:style>
  <w:style w:type="paragraph" w:customStyle="1" w:styleId="NormaleBookmanOldStyle">
    <w:name w:val="Normale + Bookman Old Style"/>
    <w:aliases w:val="Giustificato,Dopo:  6 pt"/>
    <w:basedOn w:val="Normal"/>
    <w:rsid w:val="00D709FE"/>
    <w:pPr>
      <w:spacing w:after="120"/>
      <w:jc w:val="both"/>
    </w:pPr>
    <w:rPr>
      <w:rFonts w:ascii="Bookman Old Style" w:hAnsi="Bookman Old Style"/>
      <w:szCs w:val="20"/>
    </w:rPr>
  </w:style>
  <w:style w:type="paragraph" w:customStyle="1" w:styleId="numberedindent">
    <w:name w:val="numberedindent"/>
    <w:rsid w:val="00D709FE"/>
    <w:pPr>
      <w:tabs>
        <w:tab w:val="num" w:pos="1800"/>
      </w:tabs>
      <w:spacing w:after="120"/>
      <w:jc w:val="both"/>
    </w:pPr>
    <w:rPr>
      <w:rFonts w:ascii="Arial" w:hAnsi="Arial"/>
      <w:lang w:val="en-GB"/>
    </w:rPr>
  </w:style>
  <w:style w:type="paragraph" w:customStyle="1" w:styleId="NumriData">
    <w:name w:val="Numri_Data"/>
    <w:next w:val="Normal"/>
    <w:rsid w:val="00D709FE"/>
    <w:pPr>
      <w:keepNext/>
      <w:widowControl w:val="0"/>
      <w:jc w:val="center"/>
      <w:outlineLvl w:val="0"/>
    </w:pPr>
    <w:rPr>
      <w:rFonts w:ascii="CG Times" w:hAnsi="CG Times"/>
      <w:b/>
      <w:sz w:val="22"/>
      <w:lang w:val="en-GB"/>
    </w:rPr>
  </w:style>
  <w:style w:type="paragraph" w:customStyle="1" w:styleId="Paragrafi">
    <w:name w:val="Paragrafi"/>
    <w:rsid w:val="00D709FE"/>
    <w:pPr>
      <w:widowControl w:val="0"/>
      <w:ind w:firstLine="720"/>
      <w:jc w:val="both"/>
    </w:pPr>
    <w:rPr>
      <w:rFonts w:ascii="CG Times" w:hAnsi="CG Times"/>
      <w:sz w:val="22"/>
    </w:rPr>
  </w:style>
  <w:style w:type="paragraph" w:customStyle="1" w:styleId="Pika">
    <w:name w:val="Pika"/>
    <w:next w:val="Normal"/>
    <w:autoRedefine/>
    <w:rsid w:val="00D709FE"/>
    <w:pPr>
      <w:ind w:firstLine="720"/>
    </w:pPr>
    <w:rPr>
      <w:rFonts w:ascii="CG Times" w:hAnsi="CG Times"/>
      <w:sz w:val="22"/>
    </w:rPr>
  </w:style>
  <w:style w:type="paragraph" w:customStyle="1" w:styleId="PikeKreu">
    <w:name w:val="Pike_Kreu"/>
    <w:basedOn w:val="Heading1"/>
    <w:rsid w:val="00D709F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D709FE"/>
    <w:pPr>
      <w:keepNext/>
      <w:widowControl w:val="0"/>
      <w:jc w:val="center"/>
    </w:pPr>
    <w:rPr>
      <w:rFonts w:ascii="CG Times" w:hAnsi="CG Times"/>
      <w:caps/>
      <w:sz w:val="22"/>
      <w:szCs w:val="22"/>
      <w:lang w:val="en-GB"/>
    </w:rPr>
  </w:style>
  <w:style w:type="paragraph" w:customStyle="1" w:styleId="PjesaTitull">
    <w:name w:val="Pjesa_Titull"/>
    <w:rsid w:val="00D709FE"/>
    <w:pPr>
      <w:keepNext/>
      <w:widowControl w:val="0"/>
      <w:jc w:val="center"/>
    </w:pPr>
    <w:rPr>
      <w:rFonts w:ascii="CG Times" w:hAnsi="CG Times"/>
      <w:caps/>
      <w:sz w:val="22"/>
      <w:szCs w:val="22"/>
      <w:lang w:val="en-GB"/>
    </w:rPr>
  </w:style>
  <w:style w:type="paragraph" w:customStyle="1" w:styleId="Shpallja">
    <w:name w:val="Shpallja"/>
    <w:rsid w:val="00D709FE"/>
    <w:pPr>
      <w:widowControl w:val="0"/>
      <w:jc w:val="both"/>
    </w:pPr>
    <w:rPr>
      <w:rFonts w:ascii="CG Times" w:hAnsi="CG Times"/>
      <w:b/>
      <w:color w:val="000000"/>
      <w:sz w:val="22"/>
      <w:szCs w:val="22"/>
      <w:lang w:val="sq-AL"/>
    </w:rPr>
  </w:style>
  <w:style w:type="paragraph" w:customStyle="1" w:styleId="Tabele">
    <w:name w:val="Tabele"/>
    <w:rsid w:val="00D709FE"/>
    <w:rPr>
      <w:rFonts w:ascii="CG Times" w:hAnsi="CG Times"/>
      <w:sz w:val="22"/>
      <w:lang w:val="en-GB"/>
    </w:rPr>
  </w:style>
  <w:style w:type="paragraph" w:customStyle="1" w:styleId="text">
    <w:name w:val="text"/>
    <w:basedOn w:val="Normal"/>
    <w:rsid w:val="00D709FE"/>
    <w:pPr>
      <w:ind w:left="709"/>
      <w:jc w:val="both"/>
    </w:pPr>
    <w:rPr>
      <w:rFonts w:ascii="Arial" w:hAnsi="Arial"/>
      <w:sz w:val="20"/>
      <w:szCs w:val="20"/>
      <w:lang w:val="fr-FR"/>
    </w:rPr>
  </w:style>
  <w:style w:type="paragraph" w:customStyle="1" w:styleId="Titulli">
    <w:name w:val="Titulli"/>
    <w:next w:val="Normal"/>
    <w:link w:val="TitulliChar"/>
    <w:rsid w:val="00D709FE"/>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D709FE"/>
    <w:rPr>
      <w:rFonts w:ascii="CG Times" w:eastAsia="MS Mincho" w:hAnsi="CG Times"/>
      <w:b/>
      <w:caps/>
      <w:sz w:val="22"/>
      <w:szCs w:val="22"/>
      <w:lang w:val="en-GB" w:eastAsia="en-US" w:bidi="ar-SA"/>
    </w:rPr>
  </w:style>
  <w:style w:type="paragraph" w:customStyle="1" w:styleId="TitulliNr">
    <w:name w:val="Titulli_Nr"/>
    <w:rsid w:val="00D709FE"/>
    <w:pPr>
      <w:keepNext/>
      <w:widowControl w:val="0"/>
      <w:jc w:val="center"/>
    </w:pPr>
    <w:rPr>
      <w:rFonts w:ascii="CG Times" w:hAnsi="CG Times"/>
      <w:caps/>
      <w:sz w:val="22"/>
      <w:szCs w:val="22"/>
      <w:lang w:val="en-GB"/>
    </w:rPr>
  </w:style>
  <w:style w:type="paragraph" w:customStyle="1" w:styleId="TitulliTitull">
    <w:name w:val="Titulli_Titull"/>
    <w:rsid w:val="00D709FE"/>
    <w:pPr>
      <w:keepNext/>
      <w:widowControl w:val="0"/>
      <w:jc w:val="center"/>
      <w:outlineLvl w:val="0"/>
    </w:pPr>
    <w:rPr>
      <w:rFonts w:ascii="CG Times" w:hAnsi="CG Times"/>
      <w:caps/>
      <w:sz w:val="22"/>
      <w:szCs w:val="22"/>
      <w:lang w:val="en-GB"/>
    </w:rPr>
  </w:style>
  <w:style w:type="paragraph" w:customStyle="1" w:styleId="VENDOSI">
    <w:name w:val="VENDOSI"/>
    <w:next w:val="Normal"/>
    <w:rsid w:val="00D709FE"/>
    <w:pPr>
      <w:keepNext/>
      <w:widowControl w:val="0"/>
      <w:jc w:val="center"/>
    </w:pPr>
    <w:rPr>
      <w:rFonts w:ascii="CG Times" w:hAnsi="CG Times"/>
      <w:caps/>
      <w:sz w:val="22"/>
      <w:szCs w:val="22"/>
      <w:lang w:val="en-GB"/>
    </w:rPr>
  </w:style>
  <w:style w:type="character" w:customStyle="1" w:styleId="AutoritetiEmerChar">
    <w:name w:val="Autoriteti_Emer Char"/>
    <w:basedOn w:val="DefaultParagraphFont"/>
    <w:link w:val="AutoritetiEmer"/>
    <w:rsid w:val="00D36ACB"/>
    <w:rPr>
      <w:rFonts w:ascii="CG Times" w:hAnsi="CG Times"/>
      <w:b/>
      <w:sz w:val="22"/>
      <w:szCs w:val="22"/>
      <w:lang w:val="en-GB" w:eastAsia="en-US" w:bidi="ar-SA"/>
    </w:rPr>
  </w:style>
  <w:style w:type="character" w:customStyle="1" w:styleId="TitulliChar">
    <w:name w:val="Titulli Char"/>
    <w:basedOn w:val="DefaultParagraphFont"/>
    <w:link w:val="Titulli"/>
    <w:rsid w:val="00D36ACB"/>
    <w:rPr>
      <w:rFonts w:ascii="CG Times" w:hAnsi="CG Times"/>
      <w:b/>
      <w:caps/>
      <w:sz w:val="22"/>
      <w:szCs w:val="22"/>
      <w:lang w:val="en-GB" w:eastAsia="en-US" w:bidi="ar-SA"/>
    </w:rPr>
  </w:style>
  <w:style w:type="character" w:customStyle="1" w:styleId="NeniNrChar">
    <w:name w:val="Neni_Nr Char"/>
    <w:basedOn w:val="DefaultParagraphFont"/>
    <w:link w:val="NeniNr"/>
    <w:rsid w:val="00D36ACB"/>
    <w:rPr>
      <w:rFonts w:ascii="CG Times" w:hAnsi="CG Times"/>
      <w:sz w:val="22"/>
      <w:lang w:val="en-GB" w:eastAsia="en-US" w:bidi="ar-SA"/>
    </w:rPr>
  </w:style>
  <w:style w:type="character" w:customStyle="1" w:styleId="KreuNrChar">
    <w:name w:val="Kreu_Nr Char"/>
    <w:basedOn w:val="DefaultParagraphFont"/>
    <w:link w:val="KreuNr"/>
    <w:rsid w:val="00D36ACB"/>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1993</Words>
  <Characters>11363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2019-04-03T13:25:00Z</dcterms:created>
  <dcterms:modified xsi:type="dcterms:W3CDTF">2019-04-03T13:25:00Z</dcterms:modified>
</cp:coreProperties>
</file>