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603" w:rsidRPr="00147603" w:rsidRDefault="00147603" w:rsidP="00147603">
      <w:pPr>
        <w:pStyle w:val="Akti"/>
        <w:keepNext w:val="0"/>
        <w:rPr>
          <w:lang w:val="it-IT"/>
        </w:rPr>
      </w:pPr>
      <w:bookmarkStart w:id="0" w:name="_GoBack"/>
      <w:bookmarkEnd w:id="0"/>
      <w:r w:rsidRPr="00147603">
        <w:rPr>
          <w:lang w:val="it-IT"/>
        </w:rPr>
        <w:t>VENDIM</w:t>
      </w:r>
    </w:p>
    <w:p w:rsidR="00147603" w:rsidRPr="00147603" w:rsidRDefault="00147603" w:rsidP="00147603">
      <w:pPr>
        <w:pStyle w:val="NumriData"/>
        <w:keepNext w:val="0"/>
        <w:rPr>
          <w:lang w:val="it-IT"/>
        </w:rPr>
      </w:pPr>
      <w:r w:rsidRPr="00147603">
        <w:rPr>
          <w:lang w:val="it-IT"/>
        </w:rPr>
        <w:t>Nr.48, datë 14.7.2010</w:t>
      </w:r>
    </w:p>
    <w:p w:rsidR="00147603" w:rsidRPr="00B52687" w:rsidRDefault="00147603" w:rsidP="00147603">
      <w:pPr>
        <w:pStyle w:val="Paragrafi0"/>
        <w:rPr>
          <w:lang w:val="it-IT"/>
        </w:rPr>
      </w:pPr>
    </w:p>
    <w:p w:rsidR="00147603" w:rsidRPr="00147603" w:rsidRDefault="00147603" w:rsidP="00147603">
      <w:pPr>
        <w:pStyle w:val="Titulli0"/>
        <w:keepNext w:val="0"/>
        <w:rPr>
          <w:lang w:val="it-IT"/>
        </w:rPr>
      </w:pPr>
      <w:r w:rsidRPr="00147603">
        <w:rPr>
          <w:lang w:val="it-IT"/>
        </w:rPr>
        <w:t>PËR MIRATIMIN E RREGULLORES</w:t>
      </w:r>
    </w:p>
    <w:p w:rsidR="00147603" w:rsidRPr="00147603" w:rsidRDefault="00147603" w:rsidP="00147603">
      <w:pPr>
        <w:pStyle w:val="Titulli0"/>
        <w:keepNext w:val="0"/>
        <w:rPr>
          <w:lang w:val="it-IT"/>
        </w:rPr>
      </w:pPr>
      <w:r w:rsidRPr="00147603">
        <w:rPr>
          <w:lang w:val="it-IT"/>
        </w:rPr>
        <w:t>“Për administrimin e rrezikut nga pozicionet e hapura valutore”</w:t>
      </w:r>
    </w:p>
    <w:p w:rsidR="00147603" w:rsidRDefault="00147603" w:rsidP="00147603">
      <w:pPr>
        <w:pStyle w:val="Paragrafi0"/>
        <w:rPr>
          <w:lang w:val="it-IT"/>
        </w:rPr>
      </w:pPr>
    </w:p>
    <w:p w:rsidR="00147603" w:rsidRPr="00B52687" w:rsidRDefault="00147603" w:rsidP="00147603">
      <w:pPr>
        <w:pStyle w:val="Paragrafi0"/>
        <w:rPr>
          <w:lang w:val="it-IT"/>
        </w:rPr>
      </w:pPr>
      <w:r w:rsidRPr="00B52687">
        <w:rPr>
          <w:lang w:val="it-IT"/>
        </w:rPr>
        <w:t>Në bazë dhe pë</w:t>
      </w:r>
      <w:r>
        <w:rPr>
          <w:lang w:val="it-IT"/>
        </w:rPr>
        <w:t>r zbatim të nenit 12 shkronja “a”</w:t>
      </w:r>
      <w:r w:rsidRPr="00B52687">
        <w:rPr>
          <w:lang w:val="it-IT"/>
        </w:rPr>
        <w:t xml:space="preserve"> dhe të nenit 43 shkronja “c” të li</w:t>
      </w:r>
      <w:r>
        <w:rPr>
          <w:lang w:val="it-IT"/>
        </w:rPr>
        <w:t>gjit nr.8269, datë 23.12.1997 “</w:t>
      </w:r>
      <w:r w:rsidRPr="00B52687">
        <w:rPr>
          <w:lang w:val="it-IT"/>
        </w:rPr>
        <w:t>Për Bankën e Shq</w:t>
      </w:r>
      <w:r>
        <w:rPr>
          <w:lang w:val="it-IT"/>
        </w:rPr>
        <w:t xml:space="preserve">ipërisë”, të </w:t>
      </w:r>
      <w:r w:rsidRPr="00B52687">
        <w:rPr>
          <w:lang w:val="it-IT"/>
        </w:rPr>
        <w:t>ndryshuar, si dhe nenit 57 pikat 2, 3, 4 dhe 5 dhe të nenit 58 pik</w:t>
      </w:r>
      <w:r>
        <w:rPr>
          <w:lang w:val="it-IT"/>
        </w:rPr>
        <w:t>a 1, shkronja “d” të ligjit nr.9662, datë 18.12.2006 “</w:t>
      </w:r>
      <w:r w:rsidRPr="00B52687">
        <w:rPr>
          <w:lang w:val="it-IT"/>
        </w:rPr>
        <w:t>Për ban</w:t>
      </w:r>
      <w:r>
        <w:rPr>
          <w:lang w:val="it-IT"/>
        </w:rPr>
        <w:t>kat në Republikën e Shqipërisë”</w:t>
      </w:r>
      <w:r w:rsidRPr="00B52687">
        <w:rPr>
          <w:lang w:val="it-IT"/>
        </w:rPr>
        <w:t>, me propozimin e Departamentit të Mbikëqyrjes, Këshilli Mbikëqyrës i Bankës së Sh</w:t>
      </w:r>
      <w:r>
        <w:rPr>
          <w:lang w:val="it-IT"/>
        </w:rPr>
        <w:t>qipërisë</w:t>
      </w:r>
    </w:p>
    <w:p w:rsidR="00147603" w:rsidRPr="00B52687" w:rsidRDefault="00147603" w:rsidP="00147603">
      <w:pPr>
        <w:pStyle w:val="Paragrafi0"/>
        <w:rPr>
          <w:lang w:val="it-IT"/>
        </w:rPr>
      </w:pPr>
      <w:r w:rsidRPr="00B52687">
        <w:rPr>
          <w:lang w:val="it-IT"/>
        </w:rPr>
        <w:t xml:space="preserve"> </w:t>
      </w:r>
    </w:p>
    <w:p w:rsidR="00147603" w:rsidRPr="00B52687" w:rsidRDefault="00147603" w:rsidP="00147603">
      <w:pPr>
        <w:pStyle w:val="VENDOSI0"/>
        <w:keepNext w:val="0"/>
        <w:rPr>
          <w:lang w:val="it-IT"/>
        </w:rPr>
      </w:pPr>
      <w:r w:rsidRPr="00B52687">
        <w:rPr>
          <w:lang w:val="it-IT"/>
        </w:rPr>
        <w:t>Vendosi:</w:t>
      </w:r>
    </w:p>
    <w:p w:rsidR="00147603" w:rsidRPr="00B52687" w:rsidRDefault="00147603" w:rsidP="00147603">
      <w:pPr>
        <w:pStyle w:val="Paragrafi0"/>
        <w:rPr>
          <w:lang w:val="it-IT"/>
        </w:rPr>
      </w:pPr>
    </w:p>
    <w:p w:rsidR="00147603" w:rsidRPr="00B52687" w:rsidRDefault="00147603" w:rsidP="00147603">
      <w:pPr>
        <w:pStyle w:val="Paragrafi0"/>
        <w:rPr>
          <w:lang w:val="it-IT"/>
        </w:rPr>
      </w:pPr>
      <w:r>
        <w:rPr>
          <w:lang w:val="it-IT"/>
        </w:rPr>
        <w:t xml:space="preserve">1. </w:t>
      </w:r>
      <w:r w:rsidRPr="00B52687">
        <w:rPr>
          <w:lang w:val="it-IT"/>
        </w:rPr>
        <w:t>Të miratojë rregulloren “Për administrimin e rrezikut nga pozicionet e hapura valutore” dhe formularët 1 deri në 7 të saj, sipas tekstit bashkëlidhur këtij vendimi.</w:t>
      </w:r>
    </w:p>
    <w:p w:rsidR="00147603" w:rsidRPr="00B52687" w:rsidRDefault="00147603" w:rsidP="00147603">
      <w:pPr>
        <w:pStyle w:val="Paragrafi0"/>
        <w:rPr>
          <w:lang w:val="it-IT"/>
        </w:rPr>
      </w:pPr>
      <w:r>
        <w:rPr>
          <w:lang w:val="it-IT"/>
        </w:rPr>
        <w:t xml:space="preserve">2. </w:t>
      </w:r>
      <w:r w:rsidRPr="00B52687">
        <w:rPr>
          <w:lang w:val="it-IT"/>
        </w:rPr>
        <w:t>Ngarkohet Departamenti i Mbikëqyrjes dhe Departamenti i Statistikave në Bankën e Shqipërisë për zbatimin e këtij vendimi.</w:t>
      </w:r>
    </w:p>
    <w:p w:rsidR="00147603" w:rsidRPr="00B52687" w:rsidRDefault="00147603" w:rsidP="00147603">
      <w:pPr>
        <w:pStyle w:val="Paragrafi0"/>
        <w:rPr>
          <w:lang w:val="it-IT"/>
        </w:rPr>
      </w:pPr>
      <w:r>
        <w:rPr>
          <w:lang w:val="it-IT"/>
        </w:rPr>
        <w:t xml:space="preserve">3. </w:t>
      </w:r>
      <w:r w:rsidRPr="00B52687">
        <w:rPr>
          <w:lang w:val="it-IT"/>
        </w:rPr>
        <w:t>Ngarkohet Departamenti i Marrëdhënieve me Jashtë, Integrimit Evropian dhe Komunikimit, për publikimin e kësaj rregulloreje në Buletinin Zyrtar të Bankës së Shqipërisë dhe në Fletoren Zyrtare të Republikës së Shqipërisë.</w:t>
      </w:r>
    </w:p>
    <w:p w:rsidR="00147603" w:rsidRPr="00B52687" w:rsidRDefault="00147603" w:rsidP="00147603">
      <w:pPr>
        <w:pStyle w:val="Paragrafi0"/>
        <w:rPr>
          <w:lang w:val="it-IT"/>
        </w:rPr>
      </w:pPr>
      <w:r>
        <w:rPr>
          <w:lang w:val="it-IT"/>
        </w:rPr>
        <w:t xml:space="preserve">4. </w:t>
      </w:r>
      <w:r w:rsidRPr="00B52687">
        <w:rPr>
          <w:lang w:val="it-IT"/>
        </w:rPr>
        <w:t>Me hyrjen në fuqi të kësaj rregulloreje shfuqizohen rregullorja “Për pozicionet e hapura va</w:t>
      </w:r>
      <w:r>
        <w:rPr>
          <w:lang w:val="it-IT"/>
        </w:rPr>
        <w:t>lutore”, miratuar me vendim nr.59, datë 5.</w:t>
      </w:r>
      <w:r w:rsidRPr="00B52687">
        <w:rPr>
          <w:lang w:val="it-IT"/>
        </w:rPr>
        <w:t xml:space="preserve">5.1999 të Këshillit Mbikëqyrës, e ndryshuar, dhe udhëzimi metodik “Për rreziqet nga këmbimet valutore” i datës 26.06.1999. </w:t>
      </w:r>
    </w:p>
    <w:p w:rsidR="00147603" w:rsidRPr="00B52687" w:rsidRDefault="00147603" w:rsidP="00147603">
      <w:pPr>
        <w:pStyle w:val="Paragrafi0"/>
        <w:rPr>
          <w:lang w:val="it-IT"/>
        </w:rPr>
      </w:pPr>
      <w:r w:rsidRPr="00B52687">
        <w:rPr>
          <w:lang w:val="it-IT"/>
        </w:rPr>
        <w:t>Kjo rregullore hyn në fuqi 15 (pesëmbëdhjetë) ditë pas botimit në Fletoren Zyrtare të Republikës së Shqipërisë.</w:t>
      </w:r>
      <w:r w:rsidRPr="00B52687" w:rsidDel="002D165D">
        <w:rPr>
          <w:lang w:val="it-IT"/>
        </w:rPr>
        <w:t xml:space="preserve"> </w:t>
      </w:r>
    </w:p>
    <w:p w:rsidR="00147603" w:rsidRPr="00B52687" w:rsidRDefault="00147603" w:rsidP="00147603">
      <w:pPr>
        <w:pStyle w:val="Paragrafi0"/>
        <w:rPr>
          <w:lang w:val="it-IT"/>
        </w:rPr>
      </w:pPr>
    </w:p>
    <w:p w:rsidR="00147603" w:rsidRPr="00147603" w:rsidRDefault="00147603" w:rsidP="00147603">
      <w:pPr>
        <w:pStyle w:val="Autoriteti"/>
        <w:keepNext w:val="0"/>
        <w:rPr>
          <w:lang w:val="it-IT"/>
        </w:rPr>
      </w:pPr>
      <w:r w:rsidRPr="00147603">
        <w:rPr>
          <w:lang w:val="it-IT"/>
        </w:rPr>
        <w:t>KRYETARI</w:t>
      </w:r>
    </w:p>
    <w:p w:rsidR="00147603" w:rsidRPr="00147603" w:rsidRDefault="00147603" w:rsidP="00147603">
      <w:pPr>
        <w:pStyle w:val="AutoritetiEmer"/>
        <w:rPr>
          <w:lang w:val="it-IT"/>
        </w:rPr>
      </w:pPr>
      <w:r w:rsidRPr="00147603">
        <w:rPr>
          <w:lang w:val="it-IT"/>
        </w:rPr>
        <w:t>Ardian Fullani</w:t>
      </w:r>
    </w:p>
    <w:p w:rsidR="00147603" w:rsidRPr="00B52687" w:rsidRDefault="00147603" w:rsidP="00147603">
      <w:pPr>
        <w:pStyle w:val="Paragrafi0"/>
        <w:rPr>
          <w:lang w:val="it-IT"/>
        </w:rPr>
      </w:pPr>
    </w:p>
    <w:p w:rsidR="00147603" w:rsidRPr="00147603" w:rsidRDefault="00147603" w:rsidP="00147603">
      <w:pPr>
        <w:pStyle w:val="TitulliTitull"/>
        <w:keepNext w:val="0"/>
        <w:jc w:val="left"/>
        <w:rPr>
          <w:b/>
          <w:bCs/>
          <w:lang w:val="it-IT"/>
        </w:rPr>
      </w:pPr>
    </w:p>
    <w:p w:rsidR="00147603" w:rsidRPr="00147603" w:rsidRDefault="00147603" w:rsidP="00147603">
      <w:pPr>
        <w:pStyle w:val="TitulliTitull"/>
        <w:keepNext w:val="0"/>
        <w:rPr>
          <w:b/>
          <w:bCs/>
          <w:lang w:val="it-IT"/>
        </w:rPr>
      </w:pPr>
      <w:r w:rsidRPr="00147603">
        <w:rPr>
          <w:b/>
          <w:bCs/>
          <w:lang w:val="it-IT"/>
        </w:rPr>
        <w:t>Rregullore</w:t>
      </w:r>
    </w:p>
    <w:p w:rsidR="00147603" w:rsidRPr="00147603" w:rsidRDefault="00147603" w:rsidP="00147603">
      <w:pPr>
        <w:pStyle w:val="TitulliTitull"/>
        <w:keepNext w:val="0"/>
        <w:rPr>
          <w:lang w:val="it-IT"/>
        </w:rPr>
      </w:pPr>
      <w:bookmarkStart w:id="1" w:name="OLE_LINK8"/>
      <w:bookmarkStart w:id="2" w:name="OLE_LINK9"/>
      <w:r w:rsidRPr="00147603">
        <w:rPr>
          <w:lang w:val="it-IT"/>
        </w:rPr>
        <w:t>Për administrimin e rrezikut nga pozicionet e hapura valutore</w:t>
      </w:r>
    </w:p>
    <w:bookmarkEnd w:id="1"/>
    <w:bookmarkEnd w:id="2"/>
    <w:p w:rsidR="00147603" w:rsidRPr="00147603" w:rsidRDefault="00147603" w:rsidP="00147603">
      <w:pPr>
        <w:pStyle w:val="KreuNr"/>
        <w:keepNext w:val="0"/>
        <w:rPr>
          <w:lang w:val="it-IT"/>
        </w:rPr>
      </w:pPr>
    </w:p>
    <w:p w:rsidR="00147603" w:rsidRPr="00777DCC" w:rsidRDefault="00147603" w:rsidP="00147603">
      <w:pPr>
        <w:pStyle w:val="KreuNr"/>
        <w:keepNext w:val="0"/>
      </w:pPr>
      <w:r w:rsidRPr="00777DCC">
        <w:t>Kreu I</w:t>
      </w:r>
    </w:p>
    <w:p w:rsidR="00147603" w:rsidRPr="00777DCC" w:rsidRDefault="00147603" w:rsidP="00147603">
      <w:pPr>
        <w:pStyle w:val="KreuTitull"/>
        <w:keepNext w:val="0"/>
      </w:pPr>
      <w:r w:rsidRPr="00777DCC">
        <w:t>Të përgjithshme</w:t>
      </w:r>
    </w:p>
    <w:p w:rsidR="00147603" w:rsidRPr="00777DCC" w:rsidRDefault="00147603" w:rsidP="00147603">
      <w:pPr>
        <w:pStyle w:val="Paragrafi0"/>
      </w:pPr>
    </w:p>
    <w:p w:rsidR="00147603" w:rsidRPr="00777DCC" w:rsidRDefault="00147603" w:rsidP="00147603">
      <w:pPr>
        <w:pStyle w:val="NeniNr"/>
        <w:keepNext w:val="0"/>
      </w:pPr>
      <w:r w:rsidRPr="00777DCC">
        <w:t>Neni 1</w:t>
      </w:r>
    </w:p>
    <w:p w:rsidR="00147603" w:rsidRPr="00777DCC" w:rsidRDefault="00147603" w:rsidP="00147603">
      <w:pPr>
        <w:pStyle w:val="NeniTitull"/>
        <w:keepNext w:val="0"/>
      </w:pPr>
      <w:r w:rsidRPr="00777DCC">
        <w:t>Objekti</w:t>
      </w:r>
    </w:p>
    <w:p w:rsidR="00147603" w:rsidRPr="00777DCC" w:rsidRDefault="00147603" w:rsidP="00147603">
      <w:pPr>
        <w:pStyle w:val="Paragrafi0"/>
      </w:pPr>
    </w:p>
    <w:p w:rsidR="00147603" w:rsidRDefault="00147603" w:rsidP="00147603">
      <w:pPr>
        <w:pStyle w:val="Paragrafi0"/>
      </w:pPr>
      <w:r w:rsidRPr="00777DCC">
        <w:t xml:space="preserve">Objekti i kësaj rregullore është përcaktimi i rregullave dhe kritereve për llogaritjen, raportimin dhe mbikëqyrjen e pozicioneve të hapura valutore të bankave, me qëllim administrimin e rrezikut të kursit të këmbimit. </w:t>
      </w:r>
    </w:p>
    <w:p w:rsidR="00147603" w:rsidRPr="005013C6" w:rsidRDefault="00147603" w:rsidP="00147603">
      <w:pPr>
        <w:pStyle w:val="NeniNr"/>
        <w:keepNext w:val="0"/>
        <w:rPr>
          <w:sz w:val="12"/>
        </w:rPr>
      </w:pPr>
    </w:p>
    <w:p w:rsidR="00147603" w:rsidRPr="00777DCC" w:rsidRDefault="00147603" w:rsidP="00147603">
      <w:pPr>
        <w:pStyle w:val="NeniNr"/>
        <w:keepNext w:val="0"/>
      </w:pPr>
      <w:r w:rsidRPr="00777DCC">
        <w:t>Neni 2</w:t>
      </w:r>
    </w:p>
    <w:p w:rsidR="00147603" w:rsidRPr="00777DCC" w:rsidRDefault="00147603" w:rsidP="00147603">
      <w:pPr>
        <w:pStyle w:val="NeniTitull"/>
        <w:keepNext w:val="0"/>
      </w:pPr>
      <w:r w:rsidRPr="00777DCC">
        <w:t>Subjektet</w:t>
      </w:r>
    </w:p>
    <w:p w:rsidR="00147603" w:rsidRPr="00777DCC" w:rsidRDefault="00147603" w:rsidP="00147603">
      <w:pPr>
        <w:pStyle w:val="Paragrafi0"/>
      </w:pPr>
    </w:p>
    <w:p w:rsidR="00147603" w:rsidRPr="00777DCC" w:rsidRDefault="00147603" w:rsidP="00147603">
      <w:pPr>
        <w:pStyle w:val="Paragrafi0"/>
      </w:pPr>
      <w:r w:rsidRPr="00777DCC">
        <w:t xml:space="preserve">Subjekte të kësaj rregulloreje janë bankat e licencuara nga </w:t>
      </w:r>
      <w:smartTag w:uri="urn:schemas-microsoft-com:office:smarttags" w:element="place">
        <w:r w:rsidRPr="00777DCC">
          <w:t>Banka</w:t>
        </w:r>
      </w:smartTag>
      <w:r w:rsidRPr="00777DCC">
        <w:t xml:space="preserve"> e Shqipërisë, për të ushtruar veprimtari bankare dhe financiare në Republikën e Shqipërisë. </w:t>
      </w:r>
    </w:p>
    <w:p w:rsidR="00147603" w:rsidRDefault="00147603" w:rsidP="00147603">
      <w:pPr>
        <w:pStyle w:val="Paragrafi0"/>
        <w:ind w:firstLine="0"/>
      </w:pPr>
    </w:p>
    <w:p w:rsidR="00147603" w:rsidRDefault="00147603" w:rsidP="00147603">
      <w:pPr>
        <w:pStyle w:val="Paragrafi0"/>
        <w:ind w:firstLine="0"/>
      </w:pPr>
    </w:p>
    <w:p w:rsidR="00147603" w:rsidRDefault="00147603" w:rsidP="00147603">
      <w:pPr>
        <w:pStyle w:val="Paragrafi0"/>
        <w:ind w:firstLine="0"/>
      </w:pPr>
    </w:p>
    <w:p w:rsidR="00147603" w:rsidRPr="00777DCC" w:rsidRDefault="00147603" w:rsidP="00147603">
      <w:pPr>
        <w:pStyle w:val="Paragrafi0"/>
        <w:ind w:firstLine="0"/>
      </w:pPr>
    </w:p>
    <w:p w:rsidR="00147603" w:rsidRPr="00777DCC" w:rsidRDefault="00147603" w:rsidP="00147603">
      <w:pPr>
        <w:pStyle w:val="NeniNr"/>
        <w:keepNext w:val="0"/>
      </w:pPr>
      <w:r w:rsidRPr="00777DCC">
        <w:t>Neni 3</w:t>
      </w:r>
    </w:p>
    <w:p w:rsidR="00147603" w:rsidRPr="00777DCC" w:rsidRDefault="00147603" w:rsidP="00147603">
      <w:pPr>
        <w:pStyle w:val="NeniTitull"/>
        <w:keepNext w:val="0"/>
      </w:pPr>
      <w:r w:rsidRPr="00777DCC">
        <w:t>Baza ligjore</w:t>
      </w:r>
    </w:p>
    <w:p w:rsidR="00147603" w:rsidRPr="005013C6" w:rsidRDefault="00147603" w:rsidP="00147603">
      <w:pPr>
        <w:pStyle w:val="Paragrafi0"/>
        <w:rPr>
          <w:sz w:val="14"/>
        </w:rPr>
      </w:pPr>
    </w:p>
    <w:p w:rsidR="00147603" w:rsidRPr="00777DCC" w:rsidRDefault="00147603" w:rsidP="00147603">
      <w:pPr>
        <w:pStyle w:val="Paragrafi0"/>
      </w:pPr>
      <w:r w:rsidRPr="00777DCC">
        <w:lastRenderedPageBreak/>
        <w:t>Kjo rregullore nxirret në bazë dhe pë</w:t>
      </w:r>
      <w:r>
        <w:t>r zbatim të nenit 12 shkronja “a”</w:t>
      </w:r>
      <w:r w:rsidRPr="00777DCC">
        <w:t xml:space="preserve"> dhe nenit 43 shkronja “c” të ligjit nr.8269, </w:t>
      </w:r>
      <w:r>
        <w:t>datë 23.12.1997 “Për Bankën e Shqipërisë”, të</w:t>
      </w:r>
      <w:r w:rsidRPr="00777DCC">
        <w:t xml:space="preserve"> ndryshuar, si dhe të nenit 57 pikat 2, 3, 4 dhe 5 dhe të nenit 58 pik</w:t>
      </w:r>
      <w:r>
        <w:t>a 1, shkronja “d” të ligjit nr.9662, datë 18.12.2006 “</w:t>
      </w:r>
      <w:r w:rsidRPr="00777DCC">
        <w:t>Për ban</w:t>
      </w:r>
      <w:r>
        <w:t>kat në Republikën e Shqipërisë”</w:t>
      </w:r>
      <w:r w:rsidRPr="00777DCC">
        <w:t>.</w:t>
      </w:r>
    </w:p>
    <w:p w:rsidR="00147603" w:rsidRPr="00777DCC" w:rsidRDefault="00147603" w:rsidP="00147603">
      <w:pPr>
        <w:pStyle w:val="Paragrafi0"/>
      </w:pPr>
    </w:p>
    <w:p w:rsidR="00147603" w:rsidRPr="00777DCC" w:rsidRDefault="00147603" w:rsidP="00147603">
      <w:pPr>
        <w:pStyle w:val="NeniNr"/>
        <w:keepNext w:val="0"/>
      </w:pPr>
      <w:r w:rsidRPr="00777DCC">
        <w:t>Neni 4</w:t>
      </w:r>
    </w:p>
    <w:p w:rsidR="00147603" w:rsidRPr="00777DCC" w:rsidRDefault="00147603" w:rsidP="00147603">
      <w:pPr>
        <w:pStyle w:val="NeniTitull"/>
        <w:keepNext w:val="0"/>
      </w:pPr>
      <w:r w:rsidRPr="00777DCC">
        <w:t>Përkufizime</w:t>
      </w:r>
    </w:p>
    <w:p w:rsidR="00147603" w:rsidRPr="00777DCC" w:rsidRDefault="00147603" w:rsidP="00147603">
      <w:pPr>
        <w:pStyle w:val="Paragrafi0"/>
      </w:pPr>
    </w:p>
    <w:p w:rsidR="00147603" w:rsidRPr="00777DCC" w:rsidRDefault="00147603" w:rsidP="00147603">
      <w:pPr>
        <w:pStyle w:val="Paragrafi0"/>
      </w:pPr>
      <w:r>
        <w:t xml:space="preserve">1. </w:t>
      </w:r>
      <w:r w:rsidRPr="00777DCC">
        <w:t>Termat e përdorur në këtë rregullore kanë të njëjtin kuptim me termat e përkufizuar në li</w:t>
      </w:r>
      <w:r>
        <w:t>gjin nr.9662, datë 18.12.2006 “</w:t>
      </w:r>
      <w:r w:rsidRPr="00777DCC">
        <w:t>Për ba</w:t>
      </w:r>
      <w:r>
        <w:t>nkat në Republikën e Shqipërisë”</w:t>
      </w:r>
      <w:r w:rsidRPr="00777DCC">
        <w:t>.</w:t>
      </w:r>
    </w:p>
    <w:p w:rsidR="00147603" w:rsidRPr="00777DCC" w:rsidRDefault="00147603" w:rsidP="00147603">
      <w:pPr>
        <w:pStyle w:val="Paragrafi0"/>
      </w:pPr>
      <w:r>
        <w:t xml:space="preserve">2. </w:t>
      </w:r>
      <w:r w:rsidRPr="00777DCC">
        <w:t>Përveç sa parashikohet në pikën 1 të këtij neni, për qëllime të zbatimit të kësaj rregulloreje, termat e mëposhtëm do të kenë këto kuptime:</w:t>
      </w:r>
    </w:p>
    <w:p w:rsidR="00147603" w:rsidRPr="00777DCC" w:rsidRDefault="00147603" w:rsidP="00147603">
      <w:pPr>
        <w:pStyle w:val="Paragrafi0"/>
      </w:pPr>
      <w:r>
        <w:t xml:space="preserve">a) “Rrezik i kursit të këmbimit” </w:t>
      </w:r>
      <w:r w:rsidRPr="00777DCC">
        <w:t>është rreziku i humbjes nga ndryshimi në kursin e këmbimit midis monedhave të ndryshme të huaja dhe/ose ndryshimi në kursin e këmbimit të lekut  ndaj mo</w:t>
      </w:r>
      <w:r>
        <w:t>nedhave të huaja.</w:t>
      </w:r>
    </w:p>
    <w:p w:rsidR="00147603" w:rsidRPr="00777DCC" w:rsidRDefault="00147603" w:rsidP="00147603">
      <w:pPr>
        <w:pStyle w:val="Paragrafi0"/>
      </w:pPr>
      <w:r>
        <w:t xml:space="preserve">b) </w:t>
      </w:r>
      <w:r w:rsidRPr="00777DCC">
        <w:t xml:space="preserve">“Aktive (të drejta) dhe pasive </w:t>
      </w:r>
      <w:r>
        <w:t>(detyrime) në monedhë të huaj”</w:t>
      </w:r>
      <w:r w:rsidRPr="00777DCC">
        <w:t xml:space="preserve"> janë të gjitha aktivet dhe pasivet të </w:t>
      </w:r>
      <w:r>
        <w:t>regjistruara në monedhë të huaj.</w:t>
      </w:r>
      <w:r w:rsidRPr="00777DCC">
        <w:t xml:space="preserve"> </w:t>
      </w:r>
    </w:p>
    <w:p w:rsidR="00147603" w:rsidRPr="00777DCC" w:rsidRDefault="00147603" w:rsidP="00147603">
      <w:pPr>
        <w:pStyle w:val="Paragrafi0"/>
      </w:pPr>
      <w:r>
        <w:t>c)</w:t>
      </w:r>
      <w:r w:rsidRPr="00777DCC">
        <w:t xml:space="preserve"> “P</w:t>
      </w:r>
      <w:r>
        <w:t xml:space="preserve">ozicion strukturor në valutë” </w:t>
      </w:r>
      <w:r w:rsidRPr="00777DCC">
        <w:t>është pozicioni i cili krijohet nga:</w:t>
      </w:r>
    </w:p>
    <w:p w:rsidR="00147603" w:rsidRPr="00777DCC" w:rsidRDefault="00147603" w:rsidP="00147603">
      <w:pPr>
        <w:pStyle w:val="Paragrafi0"/>
      </w:pPr>
      <w:r>
        <w:t xml:space="preserve">i) </w:t>
      </w:r>
      <w:r w:rsidRPr="00777DCC">
        <w:t>elemente (zëra të bilancit ose të jashtë bilancit) të cilat nuk janë të natyrës së veprimtarisë (biznesit) kryesore bankare e financiare të bankës dhe/ose janë elemente të qëndrueshme/afatgjata</w:t>
      </w:r>
      <w:r>
        <w:t>,</w:t>
      </w:r>
      <w:r w:rsidRPr="00777DCC">
        <w:t xml:space="preserve"> të tilla</w:t>
      </w:r>
      <w:r>
        <w:t xml:space="preserve"> si: “interesat në pjesëmarrje”,</w:t>
      </w:r>
      <w:r w:rsidRPr="00777DCC">
        <w:t xml:space="preserve"> investimet në “filialet”, “aktivet e qëndrueshme të patrupëzuara dhe të trupëzuara”, dhurimi i kapitalit për degët e bank</w:t>
      </w:r>
      <w:r>
        <w:t>ës të hapura jashtë vendit etj;</w:t>
      </w:r>
    </w:p>
    <w:p w:rsidR="00147603" w:rsidRPr="00777DCC" w:rsidRDefault="00147603" w:rsidP="00147603">
      <w:pPr>
        <w:pStyle w:val="Paragrafi0"/>
      </w:pPr>
      <w:r>
        <w:t xml:space="preserve">ii) </w:t>
      </w:r>
      <w:r w:rsidRPr="00777DCC">
        <w:t>transaksione të bankës</w:t>
      </w:r>
      <w:r>
        <w:t>,</w:t>
      </w:r>
      <w:r w:rsidRPr="00777DCC">
        <w:t xml:space="preserve"> të cilat ruajnë nivelin e mjaftueshmërisë së kapitalit në rastet kur raporti i mjaftueshmërisë së kapitalit ndikohet nga luhatjet e kursit të këmbimit. </w:t>
      </w:r>
    </w:p>
    <w:p w:rsidR="00147603" w:rsidRPr="00777DCC" w:rsidRDefault="00147603" w:rsidP="00147603">
      <w:pPr>
        <w:pStyle w:val="Paragrafi0"/>
      </w:pPr>
    </w:p>
    <w:p w:rsidR="00147603" w:rsidRPr="00777DCC" w:rsidRDefault="00147603" w:rsidP="00147603">
      <w:pPr>
        <w:pStyle w:val="KreuNr"/>
        <w:keepNext w:val="0"/>
        <w:rPr>
          <w:rFonts w:eastAsia="Arial Unicode MS"/>
        </w:rPr>
      </w:pPr>
      <w:r w:rsidRPr="00777DCC">
        <w:rPr>
          <w:rFonts w:eastAsia="Arial Unicode MS"/>
        </w:rPr>
        <w:t>Kreu II</w:t>
      </w:r>
    </w:p>
    <w:p w:rsidR="00147603" w:rsidRPr="00777DCC" w:rsidRDefault="00147603" w:rsidP="00147603">
      <w:pPr>
        <w:pStyle w:val="KreuTitull"/>
        <w:keepNext w:val="0"/>
        <w:rPr>
          <w:rFonts w:eastAsia="Arial Unicode MS"/>
        </w:rPr>
      </w:pPr>
      <w:r w:rsidRPr="00777DCC">
        <w:rPr>
          <w:rFonts w:eastAsia="Arial Unicode MS"/>
        </w:rPr>
        <w:t>Administrimi i rrezikut të kursit të këmbimit</w:t>
      </w:r>
    </w:p>
    <w:p w:rsidR="00147603" w:rsidRPr="00777DCC" w:rsidRDefault="00147603" w:rsidP="00147603">
      <w:pPr>
        <w:pStyle w:val="Paragrafi0"/>
      </w:pPr>
    </w:p>
    <w:p w:rsidR="00147603" w:rsidRPr="00147603" w:rsidRDefault="00147603" w:rsidP="00147603">
      <w:pPr>
        <w:pStyle w:val="NeniNr"/>
        <w:keepNext w:val="0"/>
        <w:rPr>
          <w:rFonts w:eastAsia="Arial Unicode MS"/>
          <w:lang w:val="it-IT"/>
        </w:rPr>
      </w:pPr>
      <w:r w:rsidRPr="00147603">
        <w:rPr>
          <w:rFonts w:eastAsia="Arial Unicode MS"/>
          <w:lang w:val="it-IT"/>
        </w:rPr>
        <w:t>Neni 5</w:t>
      </w:r>
    </w:p>
    <w:p w:rsidR="00147603" w:rsidRPr="00147603" w:rsidRDefault="00147603" w:rsidP="00147603">
      <w:pPr>
        <w:pStyle w:val="NeniTitull"/>
        <w:keepNext w:val="0"/>
        <w:rPr>
          <w:rFonts w:eastAsia="Arial Unicode MS"/>
          <w:lang w:val="it-IT"/>
        </w:rPr>
      </w:pPr>
      <w:r w:rsidRPr="00147603">
        <w:rPr>
          <w:rFonts w:eastAsia="Arial Unicode MS"/>
          <w:lang w:val="it-IT"/>
        </w:rPr>
        <w:t>Mënyra e përcaktimit të pozicioneve të hapura valutore</w:t>
      </w:r>
    </w:p>
    <w:p w:rsidR="00147603" w:rsidRPr="00B52687" w:rsidRDefault="00147603" w:rsidP="00147603">
      <w:pPr>
        <w:pStyle w:val="Paragrafi0"/>
        <w:rPr>
          <w:lang w:val="it-IT"/>
        </w:rPr>
      </w:pPr>
    </w:p>
    <w:p w:rsidR="00147603" w:rsidRPr="00B52687" w:rsidRDefault="00147603" w:rsidP="00147603">
      <w:pPr>
        <w:pStyle w:val="Paragrafi0"/>
        <w:rPr>
          <w:lang w:val="it-IT"/>
        </w:rPr>
      </w:pPr>
      <w:r>
        <w:rPr>
          <w:lang w:val="it-IT"/>
        </w:rPr>
        <w:t xml:space="preserve">1. </w:t>
      </w:r>
      <w:r w:rsidRPr="00B52687">
        <w:rPr>
          <w:lang w:val="it-IT"/>
        </w:rPr>
        <w:t>Pozicioni neto i hapur valutor për çdo monedhë të huaj dhe/ose në ar llogaritet si shuma e:</w:t>
      </w:r>
    </w:p>
    <w:p w:rsidR="00147603" w:rsidRPr="00B52687" w:rsidRDefault="00147603" w:rsidP="00147603">
      <w:pPr>
        <w:pStyle w:val="Paragrafi0"/>
        <w:rPr>
          <w:lang w:val="it-IT"/>
        </w:rPr>
      </w:pPr>
      <w:r>
        <w:rPr>
          <w:lang w:val="it-IT"/>
        </w:rPr>
        <w:t xml:space="preserve">a) </w:t>
      </w:r>
      <w:r w:rsidRPr="00B52687">
        <w:rPr>
          <w:lang w:val="it-IT"/>
        </w:rPr>
        <w:t>pozicionit neto spot, që përcaktohet si diferencë midis aktiveve dhe pasiveve në monedhë të huaj dhe/ose në ar, duke përfshirë dhe interesat e përllogaritur, si dhe transaksionet spot të cilat kanë të bëjnë me blerje dhe shitje të valutave, për të cilat është rënë dakord, por që nuk janë regjistruar ende në librat kontabël;</w:t>
      </w:r>
    </w:p>
    <w:p w:rsidR="00147603" w:rsidRPr="00B52687" w:rsidRDefault="00147603" w:rsidP="00147603">
      <w:pPr>
        <w:pStyle w:val="Paragrafi0"/>
        <w:rPr>
          <w:lang w:val="it-IT"/>
        </w:rPr>
      </w:pPr>
      <w:r>
        <w:rPr>
          <w:lang w:val="it-IT"/>
        </w:rPr>
        <w:t xml:space="preserve">b) </w:t>
      </w:r>
      <w:r w:rsidRPr="00B52687">
        <w:rPr>
          <w:lang w:val="it-IT"/>
        </w:rPr>
        <w:t>pozicionit neto forward, që përcaktohet si diferencë midis të gjitha shumave që do të arkëtohen dhe të gjitha shumave që do të paguhen sipas:</w:t>
      </w:r>
    </w:p>
    <w:p w:rsidR="00147603" w:rsidRPr="00B52687" w:rsidRDefault="00147603" w:rsidP="00147603">
      <w:pPr>
        <w:pStyle w:val="Paragrafi0"/>
        <w:rPr>
          <w:lang w:val="it-IT"/>
        </w:rPr>
      </w:pPr>
      <w:r>
        <w:rPr>
          <w:lang w:val="it-IT"/>
        </w:rPr>
        <w:t xml:space="preserve">i) </w:t>
      </w:r>
      <w:r w:rsidRPr="00B52687">
        <w:rPr>
          <w:lang w:val="it-IT"/>
        </w:rPr>
        <w:t>marrëveshjeve forward për transaksionet e këmbimeve valutore (dhe/ose të arit),</w:t>
      </w:r>
    </w:p>
    <w:p w:rsidR="00147603" w:rsidRPr="00B52687" w:rsidRDefault="00147603" w:rsidP="00147603">
      <w:pPr>
        <w:pStyle w:val="Paragrafi0"/>
        <w:rPr>
          <w:lang w:val="it-IT"/>
        </w:rPr>
      </w:pPr>
      <w:r w:rsidRPr="00B52687">
        <w:rPr>
          <w:lang w:val="it-IT"/>
        </w:rPr>
        <w:t>ii) marrëveshjeve future të monedhave të huaja (dhe/ose të arit), si dhe do të përfshijë:</w:t>
      </w:r>
    </w:p>
    <w:p w:rsidR="00147603" w:rsidRPr="00B52687" w:rsidRDefault="00147603" w:rsidP="00147603">
      <w:pPr>
        <w:pStyle w:val="Paragrafi0"/>
        <w:rPr>
          <w:lang w:val="it-IT"/>
        </w:rPr>
      </w:pPr>
      <w:r>
        <w:rPr>
          <w:lang w:val="it-IT"/>
        </w:rPr>
        <w:t xml:space="preserve">iii) </w:t>
      </w:r>
      <w:r w:rsidRPr="00B52687">
        <w:rPr>
          <w:lang w:val="it-IT"/>
        </w:rPr>
        <w:t xml:space="preserve">kryegjënë sipas marrëveshjeve swap të monedhave të huaja, të papërfshirë në pozicionin spot, dhe </w:t>
      </w:r>
    </w:p>
    <w:p w:rsidR="00147603" w:rsidRPr="00B52687" w:rsidRDefault="00147603" w:rsidP="00147603">
      <w:pPr>
        <w:pStyle w:val="Paragrafi0"/>
        <w:rPr>
          <w:lang w:val="it-IT"/>
        </w:rPr>
      </w:pPr>
      <w:r>
        <w:rPr>
          <w:lang w:val="it-IT"/>
        </w:rPr>
        <w:t xml:space="preserve">iv) </w:t>
      </w:r>
      <w:r w:rsidRPr="00B52687">
        <w:rPr>
          <w:lang w:val="it-IT"/>
        </w:rPr>
        <w:t>garancitë e parevokueshme, letrat e kredisë të pambuluara dhe instrumentet e tjera të ngjashme, të cilat janë të sigurta që do të ekzekutohen (</w:t>
      </w:r>
      <w:r w:rsidRPr="001267E7">
        <w:rPr>
          <w:i/>
          <w:lang w:val="it-IT"/>
        </w:rPr>
        <w:t>called</w:t>
      </w:r>
      <w:r w:rsidRPr="00B52687">
        <w:rPr>
          <w:lang w:val="it-IT"/>
        </w:rPr>
        <w:t>) dhe të mundshme për të qenë të parikuperueshme (</w:t>
      </w:r>
      <w:r w:rsidRPr="001267E7">
        <w:rPr>
          <w:i/>
          <w:lang w:val="it-IT"/>
        </w:rPr>
        <w:t>irrecoverable</w:t>
      </w:r>
      <w:r w:rsidRPr="00B52687">
        <w:rPr>
          <w:lang w:val="it-IT"/>
        </w:rPr>
        <w:t xml:space="preserve">). </w:t>
      </w:r>
    </w:p>
    <w:p w:rsidR="00147603" w:rsidRPr="00B52687" w:rsidRDefault="00147603" w:rsidP="00147603">
      <w:pPr>
        <w:pStyle w:val="Paragrafi0"/>
        <w:rPr>
          <w:lang w:val="it-IT"/>
        </w:rPr>
      </w:pPr>
      <w:r>
        <w:rPr>
          <w:lang w:val="it-IT"/>
        </w:rPr>
        <w:t xml:space="preserve">c) </w:t>
      </w:r>
      <w:r w:rsidRPr="00B52687">
        <w:rPr>
          <w:lang w:val="it-IT"/>
        </w:rPr>
        <w:t xml:space="preserve">pozicionit neto të opsioneve të monedhave të huaja (dhe/ose të arit), që përcaktohet si diferencë midis vlerës nominale në total të të gjitha opsioneve </w:t>
      </w:r>
      <w:r w:rsidRPr="001267E7">
        <w:rPr>
          <w:i/>
          <w:lang w:val="it-IT"/>
        </w:rPr>
        <w:t>Call</w:t>
      </w:r>
      <w:r w:rsidRPr="00B52687">
        <w:rPr>
          <w:lang w:val="it-IT"/>
        </w:rPr>
        <w:t xml:space="preserve"> të blera dhe opsioneve </w:t>
      </w:r>
      <w:r w:rsidRPr="001267E7">
        <w:rPr>
          <w:i/>
          <w:lang w:val="it-IT"/>
        </w:rPr>
        <w:t>Put</w:t>
      </w:r>
      <w:r w:rsidRPr="00B52687">
        <w:rPr>
          <w:lang w:val="it-IT"/>
        </w:rPr>
        <w:t xml:space="preserve"> të shitura dhe vlerës nominale në total të të gjitha opsioneve Put të blera dhe opsioneve </w:t>
      </w:r>
      <w:r w:rsidRPr="001267E7">
        <w:rPr>
          <w:i/>
          <w:lang w:val="it-IT"/>
        </w:rPr>
        <w:t>Call</w:t>
      </w:r>
      <w:r w:rsidRPr="00B52687">
        <w:rPr>
          <w:lang w:val="it-IT"/>
        </w:rPr>
        <w:t xml:space="preserve"> të shitura. </w:t>
      </w:r>
    </w:p>
    <w:p w:rsidR="00147603" w:rsidRDefault="00147603" w:rsidP="00147603">
      <w:pPr>
        <w:pStyle w:val="Paragrafi0"/>
        <w:rPr>
          <w:lang w:val="it-IT"/>
        </w:rPr>
      </w:pPr>
    </w:p>
    <w:p w:rsidR="00147603" w:rsidRPr="00B52687" w:rsidRDefault="00147603" w:rsidP="00147603">
      <w:pPr>
        <w:pStyle w:val="Paragrafi0"/>
        <w:rPr>
          <w:lang w:val="it-IT"/>
        </w:rPr>
      </w:pPr>
      <w:r>
        <w:rPr>
          <w:lang w:val="it-IT"/>
        </w:rPr>
        <w:t xml:space="preserve">2. </w:t>
      </w:r>
      <w:r w:rsidRPr="00B52687">
        <w:rPr>
          <w:lang w:val="it-IT"/>
        </w:rPr>
        <w:t xml:space="preserve">Në llogaritjen e pozicionit të hapur valutor nuk përfshihet pozicioni strukturor në valutë, vetëm pas miratimit nga Banka e Shqipërisë. </w:t>
      </w:r>
    </w:p>
    <w:p w:rsidR="00147603" w:rsidRPr="00B52687" w:rsidRDefault="00147603" w:rsidP="00147603">
      <w:pPr>
        <w:pStyle w:val="Paragrafi0"/>
        <w:rPr>
          <w:lang w:val="it-IT"/>
        </w:rPr>
      </w:pPr>
      <w:r>
        <w:rPr>
          <w:lang w:val="it-IT"/>
        </w:rPr>
        <w:t xml:space="preserve">3. </w:t>
      </w:r>
      <w:r w:rsidRPr="00B52687">
        <w:rPr>
          <w:lang w:val="it-IT"/>
        </w:rPr>
        <w:t>Pozicioni neto i hapur valutor llogaritet për çdo monedhë të huaj (përfshirë edhe arin) të pasqyruar në bilancin e bankës dhe konvertohet në lekë me kursin zyrtar të publikuar nga Banka e Shqipërisë në ditën e llogaritjes.</w:t>
      </w:r>
    </w:p>
    <w:p w:rsidR="00147603" w:rsidRPr="00B52687" w:rsidRDefault="00147603" w:rsidP="00147603">
      <w:pPr>
        <w:pStyle w:val="Paragrafi0"/>
        <w:rPr>
          <w:lang w:val="it-IT"/>
        </w:rPr>
      </w:pPr>
      <w:r>
        <w:rPr>
          <w:lang w:val="it-IT"/>
        </w:rPr>
        <w:t xml:space="preserve">4. </w:t>
      </w:r>
      <w:r w:rsidRPr="00B52687">
        <w:rPr>
          <w:lang w:val="it-IT"/>
        </w:rPr>
        <w:t>Pozicioni neto i hapur valutor mund të jetë “pozicion neto i hapur valutor në blerje” (</w:t>
      </w:r>
      <w:r w:rsidRPr="001267E7">
        <w:rPr>
          <w:i/>
          <w:lang w:val="it-IT"/>
        </w:rPr>
        <w:t>long</w:t>
      </w:r>
      <w:r w:rsidRPr="00B52687">
        <w:rPr>
          <w:lang w:val="it-IT"/>
        </w:rPr>
        <w:t xml:space="preserve">) </w:t>
      </w:r>
      <w:r w:rsidRPr="00B52687">
        <w:rPr>
          <w:lang w:val="it-IT"/>
        </w:rPr>
        <w:lastRenderedPageBreak/>
        <w:t>ose “pozicion neto i hapur valutor në shitje” (</w:t>
      </w:r>
      <w:r w:rsidRPr="001267E7">
        <w:rPr>
          <w:i/>
          <w:lang w:val="it-IT"/>
        </w:rPr>
        <w:t>short</w:t>
      </w:r>
      <w:r w:rsidRPr="00B52687">
        <w:rPr>
          <w:lang w:val="it-IT"/>
        </w:rPr>
        <w:t>).</w:t>
      </w:r>
    </w:p>
    <w:p w:rsidR="00147603" w:rsidRPr="00B52687" w:rsidRDefault="00147603" w:rsidP="00147603">
      <w:pPr>
        <w:pStyle w:val="Paragrafi0"/>
        <w:rPr>
          <w:lang w:val="it-IT"/>
        </w:rPr>
      </w:pPr>
      <w:r>
        <w:rPr>
          <w:lang w:val="it-IT"/>
        </w:rPr>
        <w:t xml:space="preserve">5. </w:t>
      </w:r>
      <w:r w:rsidRPr="00B52687">
        <w:rPr>
          <w:lang w:val="it-IT"/>
        </w:rPr>
        <w:t>Pozicioni neto i hapur valutor në blerje është kur aktivet në monedhë të huaj janë më të mëdha se pasivet në monedhë të huaj, domethënë kur diferenca midis aktiveve në monedhë të huaj dhe pasiveve në monedhë të huaj është pozitive (me shenjën +).</w:t>
      </w:r>
    </w:p>
    <w:p w:rsidR="00147603" w:rsidRPr="00B52687" w:rsidRDefault="00147603" w:rsidP="00147603">
      <w:pPr>
        <w:pStyle w:val="Paragrafi0"/>
        <w:rPr>
          <w:lang w:val="it-IT"/>
        </w:rPr>
      </w:pPr>
      <w:r>
        <w:rPr>
          <w:lang w:val="it-IT"/>
        </w:rPr>
        <w:t xml:space="preserve">6. </w:t>
      </w:r>
      <w:r w:rsidRPr="00B52687">
        <w:rPr>
          <w:lang w:val="it-IT"/>
        </w:rPr>
        <w:t>Pozicioni neto i hapur valutor në shitje është kur aktivet në monedhë të huaj janë më të vogla se pasivet në monedhë të huaj, domethënë kur diferenca midis aktiveve në monedhë të huaj dhe pasiveve në monedhë të huaj është negative (me shenjën -).</w:t>
      </w:r>
    </w:p>
    <w:p w:rsidR="00147603" w:rsidRPr="00B52687" w:rsidRDefault="00147603" w:rsidP="00147603">
      <w:pPr>
        <w:pStyle w:val="Paragrafi0"/>
        <w:rPr>
          <w:lang w:val="it-IT"/>
        </w:rPr>
      </w:pPr>
      <w:r>
        <w:rPr>
          <w:lang w:val="it-IT"/>
        </w:rPr>
        <w:t xml:space="preserve">7. </w:t>
      </w:r>
      <w:r w:rsidRPr="00B52687">
        <w:rPr>
          <w:lang w:val="it-IT"/>
        </w:rPr>
        <w:t xml:space="preserve">Shuma e të gjitha pozicioneve neto të hapura valutore në blerje, e shprehur në lekë, përfaqëson pozicionin total neto të hapur valutor në blerje. </w:t>
      </w:r>
    </w:p>
    <w:p w:rsidR="00147603" w:rsidRPr="00B52687" w:rsidRDefault="00147603" w:rsidP="00147603">
      <w:pPr>
        <w:pStyle w:val="Paragrafi0"/>
        <w:rPr>
          <w:lang w:val="it-IT"/>
        </w:rPr>
      </w:pPr>
      <w:r>
        <w:rPr>
          <w:lang w:val="it-IT"/>
        </w:rPr>
        <w:t xml:space="preserve">8. </w:t>
      </w:r>
      <w:r w:rsidRPr="00B52687">
        <w:rPr>
          <w:lang w:val="it-IT"/>
        </w:rPr>
        <w:t xml:space="preserve">Shuma e të gjitha pozicioneve neto të hapura valutore në shitje, e shprehur në lekë, përfaqëson pozicionin total neto të hapur valutor në shitje. </w:t>
      </w:r>
    </w:p>
    <w:p w:rsidR="00147603" w:rsidRPr="00B52687" w:rsidRDefault="00147603" w:rsidP="00147603">
      <w:pPr>
        <w:pStyle w:val="Paragrafi0"/>
        <w:rPr>
          <w:lang w:val="it-IT"/>
        </w:rPr>
      </w:pPr>
      <w:r>
        <w:rPr>
          <w:lang w:val="it-IT"/>
        </w:rPr>
        <w:t xml:space="preserve">9. </w:t>
      </w:r>
      <w:r w:rsidRPr="00B52687">
        <w:rPr>
          <w:lang w:val="it-IT"/>
        </w:rPr>
        <w:t xml:space="preserve">Vlera më e madhe midis pozicionit total neto të hapur valutor në blerje dhe pozicionit total neto të hapur valutor në shitje përfaqëson pozicionin total neto të hapur valutor të bankës, ose ndryshe ekspozimin e përgjithshëm të bankës ndaj rrezikut të kursit të këmbimit. </w:t>
      </w:r>
    </w:p>
    <w:p w:rsidR="00147603" w:rsidRPr="00147603" w:rsidRDefault="00147603" w:rsidP="00147603">
      <w:pPr>
        <w:pStyle w:val="NeniNr"/>
        <w:keepNext w:val="0"/>
        <w:rPr>
          <w:lang w:val="it-IT"/>
        </w:rPr>
      </w:pPr>
    </w:p>
    <w:p w:rsidR="00147603" w:rsidRPr="00147603" w:rsidRDefault="00147603" w:rsidP="00147603">
      <w:pPr>
        <w:pStyle w:val="NeniNr"/>
        <w:keepNext w:val="0"/>
        <w:rPr>
          <w:rFonts w:eastAsia="Arial Unicode MS"/>
          <w:lang w:val="it-IT"/>
        </w:rPr>
      </w:pPr>
      <w:r w:rsidRPr="00147603">
        <w:rPr>
          <w:rFonts w:eastAsia="Arial Unicode MS"/>
          <w:lang w:val="it-IT"/>
        </w:rPr>
        <w:t>Neni 6</w:t>
      </w:r>
    </w:p>
    <w:p w:rsidR="00147603" w:rsidRPr="00147603" w:rsidRDefault="00147603" w:rsidP="00147603">
      <w:pPr>
        <w:pStyle w:val="NeniTitull"/>
        <w:keepNext w:val="0"/>
        <w:rPr>
          <w:rFonts w:eastAsia="Arial Unicode MS"/>
          <w:lang w:val="it-IT"/>
        </w:rPr>
      </w:pPr>
      <w:r w:rsidRPr="00147603">
        <w:rPr>
          <w:rFonts w:eastAsia="Arial Unicode MS"/>
          <w:lang w:val="it-IT"/>
        </w:rPr>
        <w:t>Kufijtë e lejueshëm për pozicionet e hapura valutore</w:t>
      </w:r>
    </w:p>
    <w:p w:rsidR="00147603" w:rsidRPr="00B52687" w:rsidRDefault="00147603" w:rsidP="00147603">
      <w:pPr>
        <w:pStyle w:val="Paragrafi0"/>
        <w:rPr>
          <w:lang w:val="it-IT"/>
        </w:rPr>
      </w:pPr>
    </w:p>
    <w:p w:rsidR="00147603" w:rsidRPr="00B52687" w:rsidRDefault="00147603" w:rsidP="00147603">
      <w:pPr>
        <w:pStyle w:val="Paragrafi0"/>
        <w:rPr>
          <w:lang w:val="it-IT"/>
        </w:rPr>
      </w:pPr>
      <w:r>
        <w:rPr>
          <w:lang w:val="it-IT"/>
        </w:rPr>
        <w:t xml:space="preserve">1. </w:t>
      </w:r>
      <w:r w:rsidRPr="00B52687">
        <w:rPr>
          <w:lang w:val="it-IT"/>
        </w:rPr>
        <w:t xml:space="preserve">Pozicioni total neto i hapur valutor i bankës në fund të çdo dite pune nuk duhet të kalojë 30 (tridhjetë) për qind të kapitalit të saj rregullator. </w:t>
      </w:r>
    </w:p>
    <w:p w:rsidR="00147603" w:rsidRPr="00B52687" w:rsidRDefault="00147603" w:rsidP="00147603">
      <w:pPr>
        <w:pStyle w:val="Paragrafi0"/>
        <w:rPr>
          <w:lang w:val="it-IT"/>
        </w:rPr>
      </w:pPr>
      <w:r>
        <w:rPr>
          <w:lang w:val="it-IT"/>
        </w:rPr>
        <w:t xml:space="preserve">2. </w:t>
      </w:r>
      <w:r w:rsidRPr="00B52687">
        <w:rPr>
          <w:lang w:val="it-IT"/>
        </w:rPr>
        <w:t xml:space="preserve">Pozicioni neto i hapur valutor i bankës në çdo monedhë të huaj dhe/ose në ar në fund të çdo dite pune nuk duhet të kalojë 20 (njëzet) për qind të kapitalit të saj rregullator. </w:t>
      </w:r>
    </w:p>
    <w:p w:rsidR="00147603" w:rsidRPr="00B52687" w:rsidRDefault="00147603" w:rsidP="00147603">
      <w:pPr>
        <w:pStyle w:val="Paragrafi0"/>
        <w:rPr>
          <w:lang w:val="it-IT"/>
        </w:rPr>
      </w:pPr>
    </w:p>
    <w:p w:rsidR="00147603" w:rsidRPr="00147603" w:rsidRDefault="00147603" w:rsidP="00147603">
      <w:pPr>
        <w:pStyle w:val="NeniNr"/>
        <w:keepNext w:val="0"/>
        <w:rPr>
          <w:rFonts w:eastAsia="Arial Unicode MS"/>
          <w:lang w:val="it-IT"/>
        </w:rPr>
      </w:pPr>
      <w:r w:rsidRPr="00147603">
        <w:rPr>
          <w:rFonts w:eastAsia="Arial Unicode MS"/>
          <w:lang w:val="it-IT"/>
        </w:rPr>
        <w:t>Neni 7</w:t>
      </w:r>
    </w:p>
    <w:p w:rsidR="00147603" w:rsidRPr="00147603" w:rsidRDefault="00147603" w:rsidP="00147603">
      <w:pPr>
        <w:pStyle w:val="NeniTitull"/>
        <w:keepNext w:val="0"/>
        <w:rPr>
          <w:rFonts w:eastAsia="Arial Unicode MS"/>
          <w:lang w:val="it-IT"/>
        </w:rPr>
      </w:pPr>
      <w:r w:rsidRPr="00147603">
        <w:rPr>
          <w:rFonts w:eastAsia="Arial Unicode MS"/>
          <w:lang w:val="it-IT"/>
        </w:rPr>
        <w:t>Administrimi i rrezikut nga pozicionet e hapura valutore</w:t>
      </w:r>
    </w:p>
    <w:p w:rsidR="00147603" w:rsidRPr="00B52687" w:rsidRDefault="00147603" w:rsidP="00147603">
      <w:pPr>
        <w:pStyle w:val="Paragrafi0"/>
        <w:rPr>
          <w:lang w:val="it-IT"/>
        </w:rPr>
      </w:pPr>
    </w:p>
    <w:p w:rsidR="00147603" w:rsidRPr="00B52687" w:rsidRDefault="00147603" w:rsidP="00147603">
      <w:pPr>
        <w:pStyle w:val="Paragrafi0"/>
        <w:rPr>
          <w:lang w:val="it-IT"/>
        </w:rPr>
      </w:pPr>
      <w:r>
        <w:rPr>
          <w:lang w:val="it-IT"/>
        </w:rPr>
        <w:t xml:space="preserve">1. </w:t>
      </w:r>
      <w:r w:rsidRPr="00B52687">
        <w:rPr>
          <w:lang w:val="it-IT"/>
        </w:rPr>
        <w:t xml:space="preserve">Banka krijon sistemin e administrimit të rrezikut të kursit të këmbimit ndaj të cilit ajo ekspozohet gjatë ushtrimit të veprimtarisë së saj, me qëllim identifikimin, matjen, monitorimin dhe kontrollin e këtij rreziku. </w:t>
      </w:r>
    </w:p>
    <w:p w:rsidR="00147603" w:rsidRPr="00B52687" w:rsidRDefault="00147603" w:rsidP="00147603">
      <w:pPr>
        <w:pStyle w:val="Paragrafi0"/>
        <w:rPr>
          <w:lang w:val="it-IT"/>
        </w:rPr>
      </w:pPr>
      <w:r>
        <w:rPr>
          <w:lang w:val="it-IT"/>
        </w:rPr>
        <w:t xml:space="preserve">2. </w:t>
      </w:r>
      <w:r w:rsidRPr="00B52687">
        <w:rPr>
          <w:lang w:val="it-IT"/>
        </w:rPr>
        <w:t>Banka harton politika dhe procedura të nevojshme për administrimin e rrezikut të kursit të këmbimit.</w:t>
      </w:r>
    </w:p>
    <w:p w:rsidR="00147603" w:rsidRPr="00B52687" w:rsidRDefault="00147603" w:rsidP="00147603">
      <w:pPr>
        <w:pStyle w:val="Paragrafi0"/>
        <w:rPr>
          <w:lang w:val="it-IT"/>
        </w:rPr>
      </w:pPr>
      <w:r>
        <w:rPr>
          <w:lang w:val="it-IT"/>
        </w:rPr>
        <w:t xml:space="preserve">3. </w:t>
      </w:r>
      <w:r w:rsidRPr="00B52687">
        <w:rPr>
          <w:lang w:val="it-IT"/>
        </w:rPr>
        <w:t>Politika për administrimin e rrezikut nga kursi i këmbimit përfshin minimalisht:</w:t>
      </w:r>
    </w:p>
    <w:p w:rsidR="00147603" w:rsidRPr="00B52687" w:rsidRDefault="00147603" w:rsidP="00147603">
      <w:pPr>
        <w:pStyle w:val="Paragrafi0"/>
        <w:rPr>
          <w:lang w:val="it-IT"/>
        </w:rPr>
      </w:pPr>
      <w:r>
        <w:rPr>
          <w:lang w:val="it-IT"/>
        </w:rPr>
        <w:t xml:space="preserve">a) </w:t>
      </w:r>
      <w:r w:rsidRPr="00B52687">
        <w:rPr>
          <w:lang w:val="it-IT"/>
        </w:rPr>
        <w:t>objektivat dhe parimet e bankës në ushtrimin e veprimtarive në monedhë të huaj;</w:t>
      </w:r>
    </w:p>
    <w:p w:rsidR="00147603" w:rsidRPr="00B52687" w:rsidRDefault="00147603" w:rsidP="00147603">
      <w:pPr>
        <w:pStyle w:val="Paragrafi0"/>
        <w:rPr>
          <w:lang w:val="it-IT"/>
        </w:rPr>
      </w:pPr>
      <w:r>
        <w:rPr>
          <w:lang w:val="it-IT"/>
        </w:rPr>
        <w:t xml:space="preserve">b) </w:t>
      </w:r>
      <w:r w:rsidRPr="00B52687">
        <w:rPr>
          <w:lang w:val="it-IT"/>
        </w:rPr>
        <w:t>kufizime të qarta dhe të sakta për ekspozimin e bankës ndaj rrezikut të kursit të këmbimit, në përputhje me kufijtë e lejueshëm të përcaktuar në nenin 6 të kësaj rregulloreje;</w:t>
      </w:r>
    </w:p>
    <w:p w:rsidR="00147603" w:rsidRPr="00B52687" w:rsidRDefault="00147603" w:rsidP="00147603">
      <w:pPr>
        <w:pStyle w:val="Paragrafi0"/>
        <w:rPr>
          <w:lang w:val="it-IT"/>
        </w:rPr>
      </w:pPr>
      <w:r>
        <w:rPr>
          <w:lang w:val="it-IT"/>
        </w:rPr>
        <w:t xml:space="preserve">c) </w:t>
      </w:r>
      <w:r w:rsidRPr="00B52687">
        <w:rPr>
          <w:lang w:val="it-IT"/>
        </w:rPr>
        <w:t>përcaktime të qarta të përgjegjësive dhe delegimit të tyre në lidhje me aktivitetet në monedhë të huaj</w:t>
      </w:r>
      <w:r>
        <w:rPr>
          <w:lang w:val="it-IT"/>
        </w:rPr>
        <w:t>,</w:t>
      </w:r>
      <w:r w:rsidRPr="00B52687">
        <w:rPr>
          <w:lang w:val="it-IT"/>
        </w:rPr>
        <w:t xml:space="preserve"> si dhe të njësive organizative dhe personave për administrimin e rrezikut nga kursi i këmbimit;</w:t>
      </w:r>
    </w:p>
    <w:p w:rsidR="00147603" w:rsidRPr="00B52687" w:rsidRDefault="00147603" w:rsidP="00147603">
      <w:pPr>
        <w:pStyle w:val="Paragrafi0"/>
        <w:rPr>
          <w:lang w:val="it-IT"/>
        </w:rPr>
      </w:pPr>
      <w:r>
        <w:rPr>
          <w:lang w:val="it-IT"/>
        </w:rPr>
        <w:t xml:space="preserve">d) </w:t>
      </w:r>
      <w:r w:rsidRPr="00B52687">
        <w:rPr>
          <w:lang w:val="it-IT"/>
        </w:rPr>
        <w:t>përjashtimet e mundshme nga kufijtë/kufizimet e brendshme të përcaktuara dhe përgjegjësitë për marrjen e vendimeve për aplikimin e këtyre përjashtimeve.</w:t>
      </w:r>
    </w:p>
    <w:p w:rsidR="00147603" w:rsidRPr="00B52687" w:rsidRDefault="00147603" w:rsidP="00147603">
      <w:pPr>
        <w:pStyle w:val="Paragrafi0"/>
        <w:rPr>
          <w:lang w:val="it-IT"/>
        </w:rPr>
      </w:pPr>
      <w:r>
        <w:rPr>
          <w:lang w:val="it-IT"/>
        </w:rPr>
        <w:t xml:space="preserve">4. </w:t>
      </w:r>
      <w:r w:rsidRPr="00B52687">
        <w:rPr>
          <w:lang w:val="it-IT"/>
        </w:rPr>
        <w:t>Politika për administrimin e rrezikut nga kursi i këmbimit duhet të jetë në përputhje me natyrën, qëllimin, tipin dhe kompleksitetin e veprimtarive në monedhë të huaj të cilat banka i kryen dhe/ose planifikon t’i kryejë.</w:t>
      </w:r>
    </w:p>
    <w:p w:rsidR="00147603" w:rsidRPr="00B52687" w:rsidRDefault="00147603" w:rsidP="00147603">
      <w:pPr>
        <w:pStyle w:val="Paragrafi0"/>
        <w:rPr>
          <w:lang w:val="it-IT"/>
        </w:rPr>
      </w:pPr>
      <w:r>
        <w:rPr>
          <w:lang w:val="it-IT"/>
        </w:rPr>
        <w:t xml:space="preserve">5. </w:t>
      </w:r>
      <w:r w:rsidRPr="00B52687">
        <w:rPr>
          <w:lang w:val="it-IT"/>
        </w:rPr>
        <w:t xml:space="preserve">Këshilli drejtues i bankës miraton politikën e përcaktuar në pikën 3 të këtij neni dhe e rishikon atë të paktën një herë në vit për ndryshime dhe/ose përmirësime të mundshme. </w:t>
      </w:r>
    </w:p>
    <w:p w:rsidR="00147603" w:rsidRPr="00B52687" w:rsidRDefault="00147603" w:rsidP="00147603">
      <w:pPr>
        <w:pStyle w:val="Paragrafi0"/>
        <w:rPr>
          <w:lang w:val="it-IT"/>
        </w:rPr>
      </w:pPr>
      <w:r>
        <w:rPr>
          <w:lang w:val="it-IT"/>
        </w:rPr>
        <w:t xml:space="preserve">6. </w:t>
      </w:r>
      <w:r w:rsidRPr="00B52687">
        <w:rPr>
          <w:lang w:val="it-IT"/>
        </w:rPr>
        <w:t xml:space="preserve">Banka vlerëson dhe monitoron rrezikun e kursit të këmbimit çdo ditë. </w:t>
      </w:r>
    </w:p>
    <w:p w:rsidR="00147603" w:rsidRPr="00B52687" w:rsidRDefault="00147603" w:rsidP="00147603">
      <w:pPr>
        <w:pStyle w:val="Paragrafi0"/>
        <w:rPr>
          <w:lang w:val="it-IT"/>
        </w:rPr>
      </w:pPr>
      <w:r>
        <w:rPr>
          <w:lang w:val="it-IT"/>
        </w:rPr>
        <w:t xml:space="preserve">7. </w:t>
      </w:r>
      <w:r w:rsidRPr="00B52687">
        <w:rPr>
          <w:lang w:val="it-IT"/>
        </w:rPr>
        <w:t>Komiteti/struktura e administrimit të rreziqeve minimalisht:</w:t>
      </w:r>
    </w:p>
    <w:p w:rsidR="00147603" w:rsidRPr="00B52687" w:rsidRDefault="00147603" w:rsidP="00147603">
      <w:pPr>
        <w:pStyle w:val="Paragrafi0"/>
        <w:rPr>
          <w:lang w:val="it-IT"/>
        </w:rPr>
      </w:pPr>
      <w:r>
        <w:rPr>
          <w:lang w:val="it-IT"/>
        </w:rPr>
        <w:t xml:space="preserve">a) </w:t>
      </w:r>
      <w:r w:rsidRPr="00B52687">
        <w:rPr>
          <w:lang w:val="it-IT"/>
        </w:rPr>
        <w:t xml:space="preserve">zbaton politikën e administrimit të rrezikut të kursit të këmbimit; </w:t>
      </w:r>
    </w:p>
    <w:p w:rsidR="00147603" w:rsidRPr="00B52687" w:rsidRDefault="00147603" w:rsidP="00147603">
      <w:pPr>
        <w:pStyle w:val="Paragrafi0"/>
        <w:rPr>
          <w:lang w:val="it-IT"/>
        </w:rPr>
      </w:pPr>
      <w:r>
        <w:rPr>
          <w:lang w:val="it-IT"/>
        </w:rPr>
        <w:t xml:space="preserve">b) </w:t>
      </w:r>
      <w:r w:rsidRPr="00B52687">
        <w:rPr>
          <w:lang w:val="it-IT"/>
        </w:rPr>
        <w:t>jep sugjerime për përmirësimin e politikës së administrimit të rrezikut të kursit të këmbimit;</w:t>
      </w:r>
    </w:p>
    <w:p w:rsidR="00147603" w:rsidRPr="00B52687" w:rsidRDefault="00147603" w:rsidP="00147603">
      <w:pPr>
        <w:pStyle w:val="Paragrafi0"/>
        <w:rPr>
          <w:lang w:val="it-IT"/>
        </w:rPr>
      </w:pPr>
      <w:r>
        <w:rPr>
          <w:lang w:val="it-IT"/>
        </w:rPr>
        <w:t xml:space="preserve">c) </w:t>
      </w:r>
      <w:r w:rsidRPr="00B52687">
        <w:rPr>
          <w:lang w:val="it-IT"/>
        </w:rPr>
        <w:t>vlerëson sistemin e bankës për administrimin e rrezikut të kursit të këmbimit;</w:t>
      </w:r>
    </w:p>
    <w:p w:rsidR="00147603" w:rsidRPr="00B52687" w:rsidRDefault="00147603" w:rsidP="00147603">
      <w:pPr>
        <w:pStyle w:val="Paragrafi0"/>
        <w:rPr>
          <w:lang w:val="it-IT"/>
        </w:rPr>
      </w:pPr>
      <w:r>
        <w:rPr>
          <w:lang w:val="it-IT"/>
        </w:rPr>
        <w:t xml:space="preserve">d) </w:t>
      </w:r>
      <w:r w:rsidRPr="00B52687">
        <w:rPr>
          <w:lang w:val="it-IT"/>
        </w:rPr>
        <w:t>përcakton kufij të brendshëm për raportet midis pozicioneve të hapura valutore për monedha të ndryshme (</w:t>
      </w:r>
      <w:r w:rsidRPr="00191B55">
        <w:rPr>
          <w:i/>
          <w:lang w:val="it-IT"/>
        </w:rPr>
        <w:t>long</w:t>
      </w:r>
      <w:r w:rsidRPr="00B52687">
        <w:rPr>
          <w:lang w:val="it-IT"/>
        </w:rPr>
        <w:t xml:space="preserve"> dhe </w:t>
      </w:r>
      <w:r w:rsidRPr="00191B55">
        <w:rPr>
          <w:i/>
          <w:lang w:val="it-IT"/>
        </w:rPr>
        <w:t>short</w:t>
      </w:r>
      <w:r w:rsidRPr="00B52687">
        <w:rPr>
          <w:lang w:val="it-IT"/>
        </w:rPr>
        <w:t>) dhe kapitalit rregullator, dhe i shqyrton në mënyrë periodike këto raporte;</w:t>
      </w:r>
    </w:p>
    <w:p w:rsidR="00147603" w:rsidRPr="00B52687" w:rsidRDefault="00147603" w:rsidP="00147603">
      <w:pPr>
        <w:pStyle w:val="Paragrafi0"/>
        <w:rPr>
          <w:lang w:val="it-IT"/>
        </w:rPr>
      </w:pPr>
      <w:r>
        <w:rPr>
          <w:lang w:val="it-IT"/>
        </w:rPr>
        <w:t xml:space="preserve">e) </w:t>
      </w:r>
      <w:r w:rsidRPr="00B52687">
        <w:rPr>
          <w:lang w:val="it-IT"/>
        </w:rPr>
        <w:t>kryen analiza për ekspozimin e bankës ndaj kursit të këmbimit dhe monitoron veprimtarinë për administrimin e këtij rreziku;</w:t>
      </w:r>
    </w:p>
    <w:p w:rsidR="00147603" w:rsidRPr="00B52687" w:rsidRDefault="00147603" w:rsidP="00147603">
      <w:pPr>
        <w:pStyle w:val="Paragrafi0"/>
        <w:rPr>
          <w:lang w:val="it-IT"/>
        </w:rPr>
      </w:pPr>
      <w:r>
        <w:rPr>
          <w:lang w:val="it-IT"/>
        </w:rPr>
        <w:lastRenderedPageBreak/>
        <w:t xml:space="preserve">f) </w:t>
      </w:r>
      <w:r w:rsidRPr="00B52687">
        <w:rPr>
          <w:lang w:val="it-IT"/>
        </w:rPr>
        <w:t>analizon ndikimin e administrimit të rrezikut të kursit të këmbimit në rezultatet e operacioneve të bankës nëpërmjet skenarëve të ndryshëm apo rezultateve të stress-test-eve;</w:t>
      </w:r>
    </w:p>
    <w:p w:rsidR="00147603" w:rsidRPr="00B52687" w:rsidRDefault="00147603" w:rsidP="00147603">
      <w:pPr>
        <w:pStyle w:val="Paragrafi0"/>
        <w:rPr>
          <w:lang w:val="it-IT"/>
        </w:rPr>
      </w:pPr>
      <w:r>
        <w:rPr>
          <w:lang w:val="it-IT"/>
        </w:rPr>
        <w:t xml:space="preserve">g) </w:t>
      </w:r>
      <w:r w:rsidRPr="00B52687">
        <w:rPr>
          <w:lang w:val="it-IT"/>
        </w:rPr>
        <w:t xml:space="preserve">monitoron kushtet makroekonomike dhe kushte të tjera (të brendshme dhe të jashtme), të cilat kanë ndikim në kursin e këmbimit dhe që e ekspozojnë bankën ndaj rrezikut të veprimtarisë në monedhë të huaj, me qëllim identifikimin në kohë të këtyre rreziqeve dhe marrjen e masave për administrimin e tyre. </w:t>
      </w:r>
    </w:p>
    <w:p w:rsidR="00147603" w:rsidRPr="00B52687" w:rsidRDefault="00147603" w:rsidP="00147603">
      <w:pPr>
        <w:pStyle w:val="Paragrafi0"/>
        <w:rPr>
          <w:lang w:val="it-IT"/>
        </w:rPr>
      </w:pPr>
      <w:r>
        <w:rPr>
          <w:lang w:val="it-IT"/>
        </w:rPr>
        <w:t xml:space="preserve">8. </w:t>
      </w:r>
      <w:r w:rsidRPr="00B52687">
        <w:rPr>
          <w:lang w:val="it-IT"/>
        </w:rPr>
        <w:t>Drejtoria e bankës minimalisht:</w:t>
      </w:r>
    </w:p>
    <w:p w:rsidR="00147603" w:rsidRPr="00B52687" w:rsidRDefault="00147603" w:rsidP="00147603">
      <w:pPr>
        <w:pStyle w:val="Paragrafi0"/>
        <w:rPr>
          <w:lang w:val="it-IT"/>
        </w:rPr>
      </w:pPr>
      <w:r>
        <w:rPr>
          <w:lang w:val="it-IT"/>
        </w:rPr>
        <w:t xml:space="preserve">a) </w:t>
      </w:r>
      <w:r w:rsidRPr="00B52687">
        <w:rPr>
          <w:lang w:val="it-IT"/>
        </w:rPr>
        <w:t>harton dhe aplikon procedura për identifikimin, matjen, monitorimin dhe kontrollin e rrezikut të kursit të këmbimit të bankës në përputhje me politikën për administrimin e rrezikut të kursit të këmbimit;</w:t>
      </w:r>
    </w:p>
    <w:p w:rsidR="00147603" w:rsidRPr="00B52687" w:rsidRDefault="00147603" w:rsidP="00147603">
      <w:pPr>
        <w:pStyle w:val="Paragrafi0"/>
        <w:rPr>
          <w:lang w:val="it-IT"/>
        </w:rPr>
      </w:pPr>
      <w:r>
        <w:rPr>
          <w:lang w:val="it-IT"/>
        </w:rPr>
        <w:t xml:space="preserve">b) </w:t>
      </w:r>
      <w:r w:rsidRPr="00B52687">
        <w:rPr>
          <w:lang w:val="it-IT"/>
        </w:rPr>
        <w:t>krijon dhe aplikon sisteme të përshtatshme për matjen e ekspozimit të bankave ndaj rrezikut të kursit të këmbimit;</w:t>
      </w:r>
    </w:p>
    <w:p w:rsidR="00147603" w:rsidRPr="00B52687" w:rsidRDefault="00147603" w:rsidP="00147603">
      <w:pPr>
        <w:pStyle w:val="Paragrafi0"/>
        <w:rPr>
          <w:lang w:val="it-IT"/>
        </w:rPr>
      </w:pPr>
      <w:r>
        <w:rPr>
          <w:lang w:val="it-IT"/>
        </w:rPr>
        <w:t xml:space="preserve">c) </w:t>
      </w:r>
      <w:r w:rsidRPr="00B52687">
        <w:rPr>
          <w:lang w:val="it-IT"/>
        </w:rPr>
        <w:t>krijon dhe aplikon sisteme të përshtatshme për monitorimin dhe matjen e fitimeve dhe humbjeve nga aktivitetet në monedhë të huaj;</w:t>
      </w:r>
    </w:p>
    <w:p w:rsidR="00147603" w:rsidRPr="00B52687" w:rsidRDefault="00147603" w:rsidP="00147603">
      <w:pPr>
        <w:pStyle w:val="Paragrafi0"/>
        <w:rPr>
          <w:lang w:val="it-IT"/>
        </w:rPr>
      </w:pPr>
      <w:r>
        <w:rPr>
          <w:lang w:val="it-IT"/>
        </w:rPr>
        <w:t xml:space="preserve">d) </w:t>
      </w:r>
      <w:r w:rsidRPr="00B52687">
        <w:rPr>
          <w:lang w:val="it-IT"/>
        </w:rPr>
        <w:t>përcakton kushtet dhe termat për monitorimin dhe vlerësimin mbi baza të rregullta të politikës dhe zbatimit të saj;</w:t>
      </w:r>
    </w:p>
    <w:p w:rsidR="00147603" w:rsidRPr="00B52687" w:rsidRDefault="00147603" w:rsidP="00147603">
      <w:pPr>
        <w:pStyle w:val="Paragrafi0"/>
        <w:rPr>
          <w:lang w:val="it-IT"/>
        </w:rPr>
      </w:pPr>
      <w:r>
        <w:rPr>
          <w:lang w:val="it-IT"/>
        </w:rPr>
        <w:t xml:space="preserve">e) </w:t>
      </w:r>
      <w:r w:rsidRPr="00B52687">
        <w:rPr>
          <w:lang w:val="it-IT"/>
        </w:rPr>
        <w:t>harton procedura për vlerësimin e ndikimit të produkteve të reja në ekspozimin ndaj rrezikut të kursit të këmbimit;</w:t>
      </w:r>
    </w:p>
    <w:p w:rsidR="00147603" w:rsidRPr="00B52687" w:rsidRDefault="00147603" w:rsidP="00147603">
      <w:pPr>
        <w:pStyle w:val="Paragrafi0"/>
        <w:rPr>
          <w:lang w:val="it-IT"/>
        </w:rPr>
      </w:pPr>
      <w:r>
        <w:rPr>
          <w:lang w:val="it-IT"/>
        </w:rPr>
        <w:t xml:space="preserve">f) </w:t>
      </w:r>
      <w:r w:rsidRPr="00B52687">
        <w:rPr>
          <w:lang w:val="it-IT"/>
        </w:rPr>
        <w:t>monitoron kushtet ekonomike dhe kushtet e tjera në të cilat banka është duke vepruar, me qëllim përballimin e ndryshimeve eventuale në aktivitetet në monedha të huaja, kursin e këmbimit dhe rrezikun e ekspozimit të monedhës/ave;</w:t>
      </w:r>
    </w:p>
    <w:p w:rsidR="00147603" w:rsidRPr="00B52687" w:rsidRDefault="00147603" w:rsidP="00147603">
      <w:pPr>
        <w:pStyle w:val="Paragrafi0"/>
        <w:rPr>
          <w:lang w:val="it-IT"/>
        </w:rPr>
      </w:pPr>
      <w:r>
        <w:rPr>
          <w:lang w:val="it-IT"/>
        </w:rPr>
        <w:t xml:space="preserve">g) </w:t>
      </w:r>
      <w:r w:rsidRPr="00B52687">
        <w:rPr>
          <w:lang w:val="it-IT"/>
        </w:rPr>
        <w:t>përgatit dhe sugjeron forma, përmbajtje dhe metoda për raportim në këshillin drejtues dhe komitetin e administrimit të rreziqeve për aktivitetet në monedhë</w:t>
      </w:r>
      <w:r>
        <w:rPr>
          <w:lang w:val="it-IT"/>
        </w:rPr>
        <w:t xml:space="preserve"> të huaj, për administrimin efiç</w:t>
      </w:r>
      <w:r w:rsidRPr="00B52687">
        <w:rPr>
          <w:lang w:val="it-IT"/>
        </w:rPr>
        <w:t>ent të rrezikut të kursit të këmbimit, ndaj të cilit banka është e ekspozuar.</w:t>
      </w:r>
    </w:p>
    <w:p w:rsidR="00147603" w:rsidRPr="00B52687" w:rsidRDefault="00147603" w:rsidP="00147603">
      <w:pPr>
        <w:pStyle w:val="Paragrafi0"/>
        <w:rPr>
          <w:lang w:val="it-IT"/>
        </w:rPr>
      </w:pPr>
      <w:r>
        <w:rPr>
          <w:lang w:val="it-IT"/>
        </w:rPr>
        <w:t xml:space="preserve">9. </w:t>
      </w:r>
      <w:r w:rsidRPr="00B52687">
        <w:rPr>
          <w:lang w:val="it-IT"/>
        </w:rPr>
        <w:t xml:space="preserve">Në rastet kur banka është subjekt i mbikëqyrjes së konsoliduar, politika për administrimin e rrezikut nga kursi i këmbimit përfshin administrimin e rrezikut nga kursi i këmbimit në nivel grupi bankar. </w:t>
      </w:r>
    </w:p>
    <w:p w:rsidR="00147603" w:rsidRPr="00B52687" w:rsidRDefault="00147603" w:rsidP="00147603">
      <w:pPr>
        <w:pStyle w:val="Paragrafi0"/>
        <w:rPr>
          <w:lang w:val="it-IT"/>
        </w:rPr>
      </w:pPr>
      <w:r>
        <w:rPr>
          <w:lang w:val="it-IT"/>
        </w:rPr>
        <w:t xml:space="preserve">10. </w:t>
      </w:r>
      <w:r w:rsidRPr="00B52687">
        <w:rPr>
          <w:lang w:val="it-IT"/>
        </w:rPr>
        <w:t>Procedurat për zbatimin e politikës për administrimin e rrezikut të kursit të këmbimit përfshijnë minimalisht:</w:t>
      </w:r>
    </w:p>
    <w:p w:rsidR="00147603" w:rsidRPr="005A35B1" w:rsidRDefault="00147603" w:rsidP="00147603">
      <w:pPr>
        <w:pStyle w:val="Paragrafi0"/>
        <w:rPr>
          <w:lang w:val="it-IT"/>
        </w:rPr>
      </w:pPr>
      <w:r w:rsidRPr="005A35B1">
        <w:rPr>
          <w:lang w:val="it-IT"/>
        </w:rPr>
        <w:t>a) raportimin tek drejtoria dhe këshilli drejtues të:</w:t>
      </w:r>
    </w:p>
    <w:p w:rsidR="00147603" w:rsidRPr="00B52687" w:rsidRDefault="00147603" w:rsidP="00147603">
      <w:pPr>
        <w:pStyle w:val="Paragrafi0"/>
        <w:rPr>
          <w:lang w:val="it-IT"/>
        </w:rPr>
      </w:pPr>
      <w:r>
        <w:rPr>
          <w:lang w:val="it-IT"/>
        </w:rPr>
        <w:t xml:space="preserve">i) </w:t>
      </w:r>
      <w:r w:rsidRPr="00B52687">
        <w:rPr>
          <w:lang w:val="it-IT"/>
        </w:rPr>
        <w:t xml:space="preserve">pozicioneve të </w:t>
      </w:r>
      <w:r>
        <w:rPr>
          <w:lang w:val="it-IT"/>
        </w:rPr>
        <w:t>hapura valutore sipas monedhave;</w:t>
      </w:r>
    </w:p>
    <w:p w:rsidR="00147603" w:rsidRPr="00B52687" w:rsidRDefault="00147603" w:rsidP="00147603">
      <w:pPr>
        <w:pStyle w:val="Paragrafi0"/>
        <w:rPr>
          <w:lang w:val="it-IT"/>
        </w:rPr>
      </w:pPr>
      <w:r>
        <w:rPr>
          <w:lang w:val="it-IT"/>
        </w:rPr>
        <w:t>ii) pozicionit valutor total;</w:t>
      </w:r>
    </w:p>
    <w:p w:rsidR="00147603" w:rsidRPr="00B52687" w:rsidRDefault="00147603" w:rsidP="00147603">
      <w:pPr>
        <w:pStyle w:val="Paragrafi0"/>
        <w:rPr>
          <w:lang w:val="it-IT"/>
        </w:rPr>
      </w:pPr>
      <w:r>
        <w:rPr>
          <w:lang w:val="it-IT"/>
        </w:rPr>
        <w:t xml:space="preserve">iii) </w:t>
      </w:r>
      <w:r w:rsidRPr="00B52687">
        <w:rPr>
          <w:lang w:val="it-IT"/>
        </w:rPr>
        <w:t>fitimit dhe humbjes së realizuar nga veprimtaria në monedhë të huaj.</w:t>
      </w:r>
    </w:p>
    <w:p w:rsidR="00147603" w:rsidRPr="00B52687" w:rsidRDefault="00147603" w:rsidP="00147603">
      <w:pPr>
        <w:pStyle w:val="Paragrafi0"/>
        <w:rPr>
          <w:lang w:val="it-IT"/>
        </w:rPr>
      </w:pPr>
      <w:r>
        <w:rPr>
          <w:lang w:val="it-IT"/>
        </w:rPr>
        <w:t xml:space="preserve">b) </w:t>
      </w:r>
      <w:r w:rsidRPr="00B52687">
        <w:rPr>
          <w:lang w:val="it-IT"/>
        </w:rPr>
        <w:t>sisteme kontrolli në:</w:t>
      </w:r>
    </w:p>
    <w:p w:rsidR="00147603" w:rsidRPr="00B52687" w:rsidRDefault="00147603" w:rsidP="00147603">
      <w:pPr>
        <w:pStyle w:val="Paragrafi0"/>
        <w:rPr>
          <w:lang w:val="it-IT"/>
        </w:rPr>
      </w:pPr>
      <w:r>
        <w:rPr>
          <w:lang w:val="it-IT"/>
        </w:rPr>
        <w:t xml:space="preserve">i) </w:t>
      </w:r>
      <w:r w:rsidRPr="00B52687">
        <w:rPr>
          <w:lang w:val="it-IT"/>
        </w:rPr>
        <w:t xml:space="preserve">njësitë e përcaktuara për të kryer dhe administruar </w:t>
      </w:r>
      <w:r>
        <w:rPr>
          <w:lang w:val="it-IT"/>
        </w:rPr>
        <w:t>veprimtaritë në monedhë të huaj;</w:t>
      </w:r>
    </w:p>
    <w:p w:rsidR="00147603" w:rsidRPr="00B52687" w:rsidRDefault="00147603" w:rsidP="00147603">
      <w:pPr>
        <w:pStyle w:val="Paragrafi0"/>
        <w:rPr>
          <w:lang w:val="it-IT"/>
        </w:rPr>
      </w:pPr>
      <w:r>
        <w:rPr>
          <w:lang w:val="it-IT"/>
        </w:rPr>
        <w:t xml:space="preserve">ii) </w:t>
      </w:r>
      <w:r w:rsidRPr="00B52687">
        <w:rPr>
          <w:lang w:val="it-IT"/>
        </w:rPr>
        <w:t>monitorimin e përputhshmërisë dhe respektimit të kufijve të përcaktuar për ekspozimin ndaj rrezikut të kursit të këmbimi</w:t>
      </w:r>
      <w:r>
        <w:rPr>
          <w:lang w:val="it-IT"/>
        </w:rPr>
        <w:t>t;</w:t>
      </w:r>
    </w:p>
    <w:p w:rsidR="00147603" w:rsidRPr="00B52687" w:rsidRDefault="00147603" w:rsidP="00147603">
      <w:pPr>
        <w:pStyle w:val="Paragrafi0"/>
        <w:rPr>
          <w:lang w:val="it-IT"/>
        </w:rPr>
      </w:pPr>
      <w:r>
        <w:rPr>
          <w:lang w:val="it-IT"/>
        </w:rPr>
        <w:t xml:space="preserve">iii) </w:t>
      </w:r>
      <w:r w:rsidRPr="00B52687">
        <w:rPr>
          <w:lang w:val="it-IT"/>
        </w:rPr>
        <w:t>regjistrimin e transaksioneve që kanë lidhje me veprimtarinë e bankës në monedhë të huaj.</w:t>
      </w:r>
    </w:p>
    <w:p w:rsidR="00147603" w:rsidRPr="00B52687" w:rsidRDefault="00147603" w:rsidP="00147603">
      <w:pPr>
        <w:pStyle w:val="Paragrafi0"/>
        <w:rPr>
          <w:lang w:val="it-IT"/>
        </w:rPr>
      </w:pPr>
      <w:r>
        <w:rPr>
          <w:lang w:val="it-IT"/>
        </w:rPr>
        <w:t xml:space="preserve">c) </w:t>
      </w:r>
      <w:r w:rsidRPr="00B52687">
        <w:rPr>
          <w:lang w:val="it-IT"/>
        </w:rPr>
        <w:t xml:space="preserve">metodologjinë e kryerjes së stress test-it për ekspozimin e bankës ndaj rrezikut të kursit të këmbimit, në përputhje me procedurat e brendshme të bankës. </w:t>
      </w:r>
    </w:p>
    <w:p w:rsidR="00147603" w:rsidRDefault="00147603" w:rsidP="00147603">
      <w:pPr>
        <w:pStyle w:val="Paragrafi0"/>
        <w:rPr>
          <w:lang w:val="it-IT"/>
        </w:rPr>
      </w:pPr>
    </w:p>
    <w:p w:rsidR="00147603" w:rsidRDefault="00147603" w:rsidP="00147603">
      <w:pPr>
        <w:pStyle w:val="Paragrafi0"/>
        <w:rPr>
          <w:lang w:val="it-IT"/>
        </w:rPr>
      </w:pPr>
    </w:p>
    <w:p w:rsidR="00147603" w:rsidRPr="00B52687" w:rsidRDefault="00147603" w:rsidP="00147603">
      <w:pPr>
        <w:pStyle w:val="Paragrafi0"/>
        <w:rPr>
          <w:lang w:val="it-IT"/>
        </w:rPr>
      </w:pPr>
    </w:p>
    <w:p w:rsidR="00147603" w:rsidRPr="00B52687" w:rsidRDefault="00147603" w:rsidP="00147603">
      <w:pPr>
        <w:pStyle w:val="KreuNr"/>
        <w:keepNext w:val="0"/>
        <w:rPr>
          <w:lang w:val="it-IT"/>
        </w:rPr>
      </w:pPr>
      <w:r w:rsidRPr="00B52687">
        <w:rPr>
          <w:lang w:val="it-IT"/>
        </w:rPr>
        <w:t>Kreu III</w:t>
      </w:r>
    </w:p>
    <w:p w:rsidR="00147603" w:rsidRPr="00B52687" w:rsidRDefault="00147603" w:rsidP="00147603">
      <w:pPr>
        <w:pStyle w:val="KreuTitull"/>
        <w:keepNext w:val="0"/>
        <w:rPr>
          <w:lang w:val="it-IT"/>
        </w:rPr>
      </w:pPr>
      <w:r w:rsidRPr="00B52687">
        <w:rPr>
          <w:lang w:val="it-IT"/>
        </w:rPr>
        <w:t>Mbikëqyrja dhe raportimi</w:t>
      </w:r>
    </w:p>
    <w:p w:rsidR="00147603" w:rsidRPr="00B52687" w:rsidRDefault="00147603" w:rsidP="00147603">
      <w:pPr>
        <w:pStyle w:val="Paragrafi0"/>
        <w:rPr>
          <w:lang w:val="it-IT"/>
        </w:rPr>
      </w:pPr>
    </w:p>
    <w:p w:rsidR="00147603" w:rsidRPr="00147603" w:rsidRDefault="00147603" w:rsidP="00147603">
      <w:pPr>
        <w:pStyle w:val="NeniNr"/>
        <w:keepNext w:val="0"/>
        <w:rPr>
          <w:lang w:val="it-IT"/>
        </w:rPr>
      </w:pPr>
      <w:r w:rsidRPr="00147603">
        <w:rPr>
          <w:lang w:val="it-IT"/>
        </w:rPr>
        <w:t>Neni 8</w:t>
      </w:r>
    </w:p>
    <w:p w:rsidR="00147603" w:rsidRPr="00147603" w:rsidRDefault="00147603" w:rsidP="00147603">
      <w:pPr>
        <w:pStyle w:val="NeniTitull"/>
        <w:keepNext w:val="0"/>
        <w:rPr>
          <w:lang w:val="it-IT"/>
        </w:rPr>
      </w:pPr>
      <w:r w:rsidRPr="00147603">
        <w:rPr>
          <w:lang w:val="it-IT"/>
        </w:rPr>
        <w:t>Kërkesa monitoruese dhe mbikëqyrëse</w:t>
      </w:r>
    </w:p>
    <w:p w:rsidR="00147603" w:rsidRPr="00B52687" w:rsidRDefault="00147603" w:rsidP="00147603">
      <w:pPr>
        <w:pStyle w:val="Paragrafi0"/>
        <w:rPr>
          <w:lang w:val="it-IT"/>
        </w:rPr>
      </w:pPr>
    </w:p>
    <w:p w:rsidR="00147603" w:rsidRPr="00B52687" w:rsidRDefault="00147603" w:rsidP="00147603">
      <w:pPr>
        <w:pStyle w:val="Paragrafi0"/>
        <w:rPr>
          <w:lang w:val="it-IT"/>
        </w:rPr>
      </w:pPr>
      <w:r>
        <w:rPr>
          <w:lang w:val="it-IT"/>
        </w:rPr>
        <w:t xml:space="preserve">1. </w:t>
      </w:r>
      <w:r w:rsidRPr="00B52687">
        <w:rPr>
          <w:lang w:val="it-IT"/>
        </w:rPr>
        <w:t>Bankat detyrohen të njoftojnë menjëherë në Bankën e Shqipërisë, për çdo rast të tejkalimit të kufizimeve të lejueshme të pozicionit/eve të hapur/a valutor/e, të përcaktuara në nenin 6 të kësaj rregulloreje. Me këtë njoftim banka i paraqet Bankës së Shqipërisë kohën dhe masat e nevojshme për rivendosjen e pozicioneve të hapura valutore brenda kufijve të lejueshëm.</w:t>
      </w:r>
    </w:p>
    <w:p w:rsidR="00147603" w:rsidRPr="00B52687" w:rsidRDefault="00147603" w:rsidP="00147603">
      <w:pPr>
        <w:pStyle w:val="Paragrafi0"/>
        <w:rPr>
          <w:lang w:val="it-IT"/>
        </w:rPr>
      </w:pPr>
      <w:r>
        <w:rPr>
          <w:lang w:val="it-IT"/>
        </w:rPr>
        <w:t xml:space="preserve">2. </w:t>
      </w:r>
      <w:r w:rsidRPr="00B52687">
        <w:rPr>
          <w:lang w:val="it-IT"/>
        </w:rPr>
        <w:t>Kuadri i përgjithshëm i procedurave administrative dhe kontabël, si dhe i sistemeve të informacionit në lidhje me identifikimin, regjistrimin dhe monitorimin e pozicioneve të hapura valutore, janë subjekt i mbikëqyrjes dhe vlerësimit të vazhdueshëm nga Banka e Shqipërisë.</w:t>
      </w:r>
    </w:p>
    <w:p w:rsidR="00147603" w:rsidRPr="00B52687" w:rsidRDefault="00147603" w:rsidP="00147603">
      <w:pPr>
        <w:pStyle w:val="Paragrafi0"/>
        <w:rPr>
          <w:lang w:val="it-IT"/>
        </w:rPr>
      </w:pPr>
    </w:p>
    <w:p w:rsidR="00147603" w:rsidRPr="00147603" w:rsidRDefault="00147603" w:rsidP="00147603">
      <w:pPr>
        <w:pStyle w:val="NeniNr"/>
        <w:keepNext w:val="0"/>
        <w:rPr>
          <w:lang w:val="it-IT"/>
        </w:rPr>
      </w:pPr>
      <w:r w:rsidRPr="00147603">
        <w:rPr>
          <w:lang w:val="it-IT"/>
        </w:rPr>
        <w:t>Neni 9</w:t>
      </w:r>
    </w:p>
    <w:p w:rsidR="00147603" w:rsidRPr="00147603" w:rsidRDefault="00147603" w:rsidP="00147603">
      <w:pPr>
        <w:pStyle w:val="NeniTitull"/>
        <w:keepNext w:val="0"/>
        <w:rPr>
          <w:lang w:val="it-IT"/>
        </w:rPr>
      </w:pPr>
      <w:r w:rsidRPr="00147603">
        <w:rPr>
          <w:lang w:val="it-IT"/>
        </w:rPr>
        <w:t>Raportimi në Bankën e Shqipërisë</w:t>
      </w:r>
    </w:p>
    <w:p w:rsidR="00147603" w:rsidRPr="00B52687" w:rsidRDefault="00147603" w:rsidP="00147603">
      <w:pPr>
        <w:pStyle w:val="Paragrafi0"/>
        <w:rPr>
          <w:lang w:val="it-IT"/>
        </w:rPr>
      </w:pPr>
    </w:p>
    <w:p w:rsidR="00147603" w:rsidRPr="00B52687" w:rsidRDefault="00147603" w:rsidP="00147603">
      <w:pPr>
        <w:pStyle w:val="Paragrafi0"/>
        <w:rPr>
          <w:lang w:val="it-IT"/>
        </w:rPr>
      </w:pPr>
      <w:r>
        <w:rPr>
          <w:lang w:val="it-IT"/>
        </w:rPr>
        <w:t xml:space="preserve">1. </w:t>
      </w:r>
      <w:r w:rsidRPr="00B52687">
        <w:rPr>
          <w:lang w:val="it-IT"/>
        </w:rPr>
        <w:t>Bankat plotësojnë dhe dorëzojnë në Bankën e Shqipërisë, në fund të çdo muaji</w:t>
      </w:r>
      <w:r>
        <w:rPr>
          <w:lang w:val="it-IT"/>
        </w:rPr>
        <w:t>,</w:t>
      </w:r>
      <w:r w:rsidRPr="00B52687">
        <w:rPr>
          <w:lang w:val="it-IT"/>
        </w:rPr>
        <w:t xml:space="preserve"> formularët përkatës të kësaj rregulloreje, si pjesë e Sistemit Raportues të Unifikuar. </w:t>
      </w:r>
    </w:p>
    <w:p w:rsidR="00147603" w:rsidRPr="00B52687" w:rsidRDefault="00147603" w:rsidP="00147603">
      <w:pPr>
        <w:pStyle w:val="Paragrafi0"/>
        <w:rPr>
          <w:lang w:val="it-IT"/>
        </w:rPr>
      </w:pPr>
      <w:r>
        <w:rPr>
          <w:lang w:val="it-IT"/>
        </w:rPr>
        <w:t xml:space="preserve">2. </w:t>
      </w:r>
      <w:r w:rsidRPr="00B52687">
        <w:rPr>
          <w:lang w:val="it-IT"/>
        </w:rPr>
        <w:t xml:space="preserve">Formularët 1,2,3,4 dhe 7 pasqyrojnë llogaritjet e pozicionit neto të hapur valutor të bankës në zbatim të kërkesave të nenit 6 të kësaj rregulloreje, ndërsa formularët 5 dhe 6 plotësojnë kërkesat mbikëqyrëse të Bankës së Shqipërisë për nevoja të monitorimit të pozicionit neto të hapur valutor të bankës duke konsideruar të gjithë zërat jashtë bilancit. </w:t>
      </w:r>
    </w:p>
    <w:p w:rsidR="00147603" w:rsidRPr="00B52687" w:rsidRDefault="00147603" w:rsidP="00147603">
      <w:pPr>
        <w:pStyle w:val="Paragrafi0"/>
        <w:rPr>
          <w:lang w:val="it-IT"/>
        </w:rPr>
      </w:pPr>
      <w:r>
        <w:rPr>
          <w:lang w:val="it-IT"/>
        </w:rPr>
        <w:t xml:space="preserve">3. </w:t>
      </w:r>
      <w:r w:rsidRPr="00B52687">
        <w:rPr>
          <w:lang w:val="it-IT"/>
        </w:rPr>
        <w:t>Grupi bankar raporton mbi baza të konsoliduara për pozicionet e hapura valutore, çdo 3 (tre) muaj. Ky raportim kryhet sipas formularëve të përcaktuar në pikën 2 të këtij neni.</w:t>
      </w:r>
    </w:p>
    <w:p w:rsidR="00147603" w:rsidRPr="00B52687" w:rsidRDefault="00147603" w:rsidP="00147603">
      <w:pPr>
        <w:pStyle w:val="Paragrafi0"/>
        <w:rPr>
          <w:lang w:val="it-IT"/>
        </w:rPr>
      </w:pPr>
      <w:r>
        <w:rPr>
          <w:lang w:val="it-IT"/>
        </w:rPr>
        <w:t xml:space="preserve">4. </w:t>
      </w:r>
      <w:r w:rsidRPr="00B52687">
        <w:rPr>
          <w:lang w:val="it-IT"/>
        </w:rPr>
        <w:t>Departamenti i Mbikëqyrjes</w:t>
      </w:r>
      <w:r>
        <w:rPr>
          <w:lang w:val="it-IT"/>
        </w:rPr>
        <w:t>,</w:t>
      </w:r>
      <w:r w:rsidRPr="00B52687">
        <w:rPr>
          <w:lang w:val="it-IT"/>
        </w:rPr>
        <w:t xml:space="preserve"> në çdo rast që e gjykon të arsyeshme, ka të drejtë të kërkojë nga bankat ndryshime në përmbajtjen dhe në shpeshtësinë e raportimit.</w:t>
      </w:r>
    </w:p>
    <w:p w:rsidR="00147603" w:rsidRPr="00B52687" w:rsidRDefault="00147603" w:rsidP="00147603">
      <w:pPr>
        <w:pStyle w:val="Paragrafi0"/>
        <w:ind w:firstLine="0"/>
        <w:rPr>
          <w:lang w:val="it-IT"/>
        </w:rPr>
      </w:pPr>
    </w:p>
    <w:p w:rsidR="00147603" w:rsidRPr="00147603" w:rsidRDefault="00147603" w:rsidP="00147603">
      <w:pPr>
        <w:pStyle w:val="NeniNr"/>
        <w:keepNext w:val="0"/>
        <w:rPr>
          <w:lang w:val="it-IT"/>
        </w:rPr>
      </w:pPr>
      <w:r w:rsidRPr="00147603">
        <w:rPr>
          <w:lang w:val="it-IT"/>
        </w:rPr>
        <w:t>Neni 10</w:t>
      </w:r>
    </w:p>
    <w:p w:rsidR="00147603" w:rsidRPr="00147603" w:rsidRDefault="00147603" w:rsidP="00147603">
      <w:pPr>
        <w:pStyle w:val="NeniTitull"/>
        <w:keepNext w:val="0"/>
        <w:rPr>
          <w:lang w:val="it-IT"/>
        </w:rPr>
      </w:pPr>
      <w:r w:rsidRPr="00147603">
        <w:rPr>
          <w:lang w:val="it-IT"/>
        </w:rPr>
        <w:t xml:space="preserve">Masat mbikëqyrëse </w:t>
      </w:r>
    </w:p>
    <w:p w:rsidR="00147603" w:rsidRPr="00B52687" w:rsidRDefault="00147603" w:rsidP="00147603">
      <w:pPr>
        <w:pStyle w:val="Paragrafi0"/>
        <w:rPr>
          <w:lang w:val="it-IT"/>
        </w:rPr>
      </w:pPr>
    </w:p>
    <w:p w:rsidR="00147603" w:rsidRPr="00B52687" w:rsidRDefault="00147603" w:rsidP="00147603">
      <w:pPr>
        <w:pStyle w:val="Paragrafi0"/>
        <w:rPr>
          <w:lang w:val="it-IT"/>
        </w:rPr>
      </w:pPr>
      <w:r w:rsidRPr="00B52687">
        <w:rPr>
          <w:lang w:val="it-IT"/>
        </w:rPr>
        <w:t xml:space="preserve">Banka e Shqipërisë, në rast të mosrespektimit të detyrimeve të kësaj rregulloreje, zbaton masat mbikëqyrëse të parashikuara në </w:t>
      </w:r>
      <w:r>
        <w:rPr>
          <w:lang w:val="it-IT"/>
        </w:rPr>
        <w:t>ligjin nr.</w:t>
      </w:r>
      <w:r w:rsidRPr="00B52687">
        <w:rPr>
          <w:lang w:val="it-IT"/>
        </w:rPr>
        <w:t>9662, datë 18.12.2006 "Për bankat në Republikën e Shqipërisë".</w:t>
      </w:r>
    </w:p>
    <w:p w:rsidR="00147603" w:rsidRPr="00B52687" w:rsidRDefault="00147603" w:rsidP="00147603">
      <w:pPr>
        <w:pStyle w:val="Paragrafi0"/>
        <w:ind w:firstLine="0"/>
        <w:rPr>
          <w:lang w:val="it-IT"/>
        </w:rPr>
      </w:pPr>
    </w:p>
    <w:p w:rsidR="00147603" w:rsidRPr="00777DCC" w:rsidRDefault="00147603" w:rsidP="00147603">
      <w:pPr>
        <w:pStyle w:val="KreuNr"/>
        <w:keepNext w:val="0"/>
      </w:pPr>
      <w:r w:rsidRPr="00777DCC">
        <w:t>Kreu IV</w:t>
      </w:r>
    </w:p>
    <w:p w:rsidR="00147603" w:rsidRPr="00777DCC" w:rsidRDefault="00147603" w:rsidP="00147603">
      <w:pPr>
        <w:pStyle w:val="KreuTitull"/>
        <w:keepNext w:val="0"/>
      </w:pPr>
      <w:r w:rsidRPr="00777DCC">
        <w:t>Të fundit</w:t>
      </w:r>
    </w:p>
    <w:p w:rsidR="00147603" w:rsidRPr="00777DCC" w:rsidRDefault="00147603" w:rsidP="00147603">
      <w:pPr>
        <w:pStyle w:val="Paragrafi0"/>
      </w:pPr>
    </w:p>
    <w:p w:rsidR="00147603" w:rsidRPr="00777DCC" w:rsidRDefault="00147603" w:rsidP="00147603">
      <w:pPr>
        <w:pStyle w:val="NeniNr"/>
        <w:keepNext w:val="0"/>
      </w:pPr>
      <w:r w:rsidRPr="00777DCC">
        <w:t>Neni 11</w:t>
      </w:r>
    </w:p>
    <w:p w:rsidR="00147603" w:rsidRPr="00777DCC" w:rsidRDefault="00147603" w:rsidP="00147603">
      <w:pPr>
        <w:pStyle w:val="NeniTitull"/>
        <w:keepNext w:val="0"/>
      </w:pPr>
      <w:r w:rsidRPr="00777DCC">
        <w:t>Dispozitë kalimtare</w:t>
      </w:r>
    </w:p>
    <w:p w:rsidR="00147603" w:rsidRPr="00777DCC" w:rsidRDefault="00147603" w:rsidP="00147603">
      <w:pPr>
        <w:pStyle w:val="Paragrafi0"/>
      </w:pPr>
    </w:p>
    <w:p w:rsidR="00147603" w:rsidRPr="00777DCC" w:rsidRDefault="00147603" w:rsidP="00147603">
      <w:pPr>
        <w:pStyle w:val="Paragrafi0"/>
      </w:pPr>
      <w:r w:rsidRPr="00777DCC">
        <w:t>Bankat janë të detyruara të kryejnë rishikimin dhe miratimin e rregulloreve dhe procedurave të brendshme për vlerësimin dhe monitorimin e pozicioneve të hapura valutore në përputhje m</w:t>
      </w:r>
      <w:r>
        <w:t>e kërkesat e kësaj rregulloreje</w:t>
      </w:r>
      <w:r w:rsidRPr="00777DCC">
        <w:t xml:space="preserve"> jo më vonë se 3 (tre) muaj pas hyrjes në fuqi të saj.</w:t>
      </w:r>
    </w:p>
    <w:p w:rsidR="00147603" w:rsidRPr="00777DCC" w:rsidRDefault="00147603" w:rsidP="00147603">
      <w:pPr>
        <w:pStyle w:val="Paragrafi0"/>
      </w:pPr>
    </w:p>
    <w:p w:rsidR="00147603" w:rsidRPr="00865B6A" w:rsidRDefault="00147603" w:rsidP="00147603">
      <w:pPr>
        <w:pStyle w:val="Akti"/>
        <w:keepNext w:val="0"/>
        <w:rPr>
          <w:lang w:val="en-US"/>
        </w:rPr>
      </w:pPr>
    </w:p>
    <w:p w:rsidR="00147603" w:rsidRPr="00865B6A" w:rsidRDefault="00147603" w:rsidP="00147603">
      <w:pPr>
        <w:pStyle w:val="Akti"/>
        <w:keepNext w:val="0"/>
        <w:rPr>
          <w:lang w:val="en-US"/>
        </w:rPr>
      </w:pPr>
    </w:p>
    <w:p w:rsidR="00147603" w:rsidRPr="00865B6A" w:rsidRDefault="00147603" w:rsidP="00147603">
      <w:pPr>
        <w:pStyle w:val="Akti"/>
        <w:keepNext w:val="0"/>
        <w:rPr>
          <w:lang w:val="en-US"/>
        </w:rPr>
        <w:sectPr w:rsidR="00147603" w:rsidRPr="00865B6A" w:rsidSect="00147603">
          <w:footerReference w:type="default" r:id="rId7"/>
          <w:pgSz w:w="11907" w:h="16840" w:code="9"/>
          <w:pgMar w:top="1418" w:right="1418" w:bottom="1418" w:left="1418" w:header="1304" w:footer="1134" w:gutter="0"/>
          <w:cols w:space="720"/>
          <w:docGrid w:linePitch="360"/>
        </w:sectPr>
      </w:pPr>
    </w:p>
    <w:tbl>
      <w:tblPr>
        <w:tblW w:w="5019" w:type="pct"/>
        <w:tblLook w:val="0000" w:firstRow="0" w:lastRow="0" w:firstColumn="0" w:lastColumn="0" w:noHBand="0" w:noVBand="0"/>
      </w:tblPr>
      <w:tblGrid>
        <w:gridCol w:w="8955"/>
        <w:gridCol w:w="799"/>
        <w:gridCol w:w="995"/>
        <w:gridCol w:w="629"/>
        <w:gridCol w:w="679"/>
        <w:gridCol w:w="1213"/>
      </w:tblGrid>
      <w:tr w:rsidR="00147603" w:rsidRPr="00147603" w:rsidTr="00147603">
        <w:trPr>
          <w:trHeight w:val="139"/>
        </w:trPr>
        <w:tc>
          <w:tcPr>
            <w:tcW w:w="3374" w:type="pct"/>
            <w:tcBorders>
              <w:top w:val="nil"/>
              <w:left w:val="nil"/>
              <w:bottom w:val="nil"/>
              <w:right w:val="nil"/>
            </w:tcBorders>
            <w:noWrap/>
            <w:vAlign w:val="bottom"/>
          </w:tcPr>
          <w:p w:rsidR="00147603" w:rsidRPr="00147603" w:rsidRDefault="00147603" w:rsidP="00147603">
            <w:pPr>
              <w:pStyle w:val="Tabele"/>
              <w:rPr>
                <w:sz w:val="12"/>
              </w:rPr>
            </w:pPr>
            <w:r w:rsidRPr="00147603">
              <w:rPr>
                <w:sz w:val="12"/>
              </w:rPr>
              <w:t>Formulari 1</w:t>
            </w:r>
          </w:p>
        </w:tc>
        <w:tc>
          <w:tcPr>
            <w:tcW w:w="301" w:type="pct"/>
            <w:tcBorders>
              <w:top w:val="nil"/>
              <w:left w:val="nil"/>
              <w:bottom w:val="nil"/>
              <w:right w:val="nil"/>
            </w:tcBorders>
            <w:noWrap/>
            <w:vAlign w:val="bottom"/>
          </w:tcPr>
          <w:p w:rsidR="00147603" w:rsidRPr="00147603" w:rsidRDefault="00147603" w:rsidP="00147603">
            <w:pPr>
              <w:pStyle w:val="Tabele"/>
              <w:rPr>
                <w:sz w:val="12"/>
              </w:rPr>
            </w:pPr>
          </w:p>
        </w:tc>
        <w:tc>
          <w:tcPr>
            <w:tcW w:w="375" w:type="pct"/>
            <w:tcBorders>
              <w:top w:val="nil"/>
              <w:left w:val="nil"/>
              <w:bottom w:val="nil"/>
              <w:right w:val="nil"/>
            </w:tcBorders>
            <w:noWrap/>
            <w:vAlign w:val="bottom"/>
          </w:tcPr>
          <w:p w:rsidR="00147603" w:rsidRPr="00147603" w:rsidRDefault="00147603" w:rsidP="00147603">
            <w:pPr>
              <w:pStyle w:val="Tabele"/>
              <w:rPr>
                <w:sz w:val="12"/>
              </w:rPr>
            </w:pPr>
          </w:p>
        </w:tc>
        <w:tc>
          <w:tcPr>
            <w:tcW w:w="237" w:type="pct"/>
            <w:tcBorders>
              <w:top w:val="nil"/>
              <w:left w:val="nil"/>
              <w:bottom w:val="nil"/>
              <w:right w:val="nil"/>
            </w:tcBorders>
            <w:noWrap/>
            <w:vAlign w:val="bottom"/>
          </w:tcPr>
          <w:p w:rsidR="00147603" w:rsidRPr="00147603" w:rsidRDefault="00147603" w:rsidP="00147603">
            <w:pPr>
              <w:pStyle w:val="Tabele"/>
              <w:rPr>
                <w:sz w:val="12"/>
              </w:rPr>
            </w:pP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nil"/>
              <w:bottom w:val="nil"/>
              <w:right w:val="nil"/>
            </w:tcBorders>
            <w:noWrap/>
            <w:vAlign w:val="bottom"/>
          </w:tcPr>
          <w:p w:rsidR="00147603" w:rsidRPr="00147603" w:rsidRDefault="00147603" w:rsidP="00147603">
            <w:pPr>
              <w:pStyle w:val="Tabele"/>
              <w:rPr>
                <w:sz w:val="12"/>
              </w:rPr>
            </w:pPr>
          </w:p>
        </w:tc>
      </w:tr>
      <w:tr w:rsidR="00147603" w:rsidRPr="00147603" w:rsidTr="00147603">
        <w:trPr>
          <w:trHeight w:val="139"/>
        </w:trPr>
        <w:tc>
          <w:tcPr>
            <w:tcW w:w="3374" w:type="pct"/>
            <w:tcBorders>
              <w:top w:val="single" w:sz="8" w:space="0" w:color="auto"/>
              <w:left w:val="single" w:sz="8" w:space="0" w:color="auto"/>
              <w:bottom w:val="nil"/>
              <w:right w:val="single" w:sz="8" w:space="0" w:color="auto"/>
            </w:tcBorders>
            <w:shd w:val="clear" w:color="auto" w:fill="C0C0C0"/>
            <w:noWrap/>
            <w:vAlign w:val="bottom"/>
          </w:tcPr>
          <w:p w:rsidR="00147603" w:rsidRPr="00147603" w:rsidRDefault="00147603" w:rsidP="00147603">
            <w:pPr>
              <w:pStyle w:val="Tabele"/>
              <w:rPr>
                <w:sz w:val="12"/>
              </w:rPr>
            </w:pPr>
            <w:r w:rsidRPr="00147603">
              <w:rPr>
                <w:sz w:val="12"/>
              </w:rPr>
              <w:t>POZICIONI SPOT NË VALUTË</w:t>
            </w:r>
          </w:p>
        </w:tc>
        <w:tc>
          <w:tcPr>
            <w:tcW w:w="301" w:type="pct"/>
            <w:vMerge w:val="restart"/>
            <w:tcBorders>
              <w:top w:val="single" w:sz="8" w:space="0" w:color="auto"/>
              <w:left w:val="single" w:sz="8" w:space="0" w:color="auto"/>
              <w:bottom w:val="single" w:sz="8" w:space="0" w:color="000000"/>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USD </w:t>
            </w:r>
          </w:p>
        </w:tc>
        <w:tc>
          <w:tcPr>
            <w:tcW w:w="375" w:type="pct"/>
            <w:vMerge w:val="restart"/>
            <w:tcBorders>
              <w:top w:val="single" w:sz="8" w:space="0" w:color="auto"/>
              <w:left w:val="single" w:sz="4" w:space="0" w:color="auto"/>
              <w:bottom w:val="single" w:sz="8" w:space="0" w:color="000000"/>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EURO </w:t>
            </w:r>
          </w:p>
        </w:tc>
        <w:tc>
          <w:tcPr>
            <w:tcW w:w="237" w:type="pct"/>
            <w:vMerge w:val="restart"/>
            <w:tcBorders>
              <w:top w:val="single" w:sz="8" w:space="0" w:color="auto"/>
              <w:left w:val="single" w:sz="4" w:space="0" w:color="auto"/>
              <w:bottom w:val="single" w:sz="8" w:space="0" w:color="000000"/>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 </w:t>
            </w:r>
          </w:p>
        </w:tc>
        <w:tc>
          <w:tcPr>
            <w:tcW w:w="256" w:type="pct"/>
            <w:vMerge w:val="restart"/>
            <w:tcBorders>
              <w:top w:val="single" w:sz="8" w:space="0" w:color="auto"/>
              <w:left w:val="nil"/>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AR </w:t>
            </w:r>
          </w:p>
        </w:tc>
        <w:tc>
          <w:tcPr>
            <w:tcW w:w="457"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TOTALI </w:t>
            </w:r>
          </w:p>
        </w:tc>
      </w:tr>
      <w:tr w:rsidR="00147603" w:rsidRPr="00147603" w:rsidTr="00147603">
        <w:trPr>
          <w:trHeight w:val="139"/>
        </w:trPr>
        <w:tc>
          <w:tcPr>
            <w:tcW w:w="3374" w:type="pct"/>
            <w:tcBorders>
              <w:top w:val="single" w:sz="4" w:space="0" w:color="auto"/>
              <w:left w:val="single" w:sz="8" w:space="0" w:color="auto"/>
              <w:bottom w:val="single" w:sz="8" w:space="0" w:color="auto"/>
              <w:right w:val="single" w:sz="8" w:space="0" w:color="auto"/>
            </w:tcBorders>
            <w:shd w:val="clear" w:color="auto" w:fill="C0C0C0"/>
            <w:noWrap/>
            <w:vAlign w:val="bottom"/>
          </w:tcPr>
          <w:p w:rsidR="00147603" w:rsidRPr="00147603" w:rsidRDefault="00147603" w:rsidP="00147603">
            <w:pPr>
              <w:pStyle w:val="Tabele"/>
              <w:rPr>
                <w:sz w:val="12"/>
              </w:rPr>
            </w:pPr>
            <w:r w:rsidRPr="00147603">
              <w:rPr>
                <w:sz w:val="12"/>
              </w:rPr>
              <w:t>A.  A k t i v i</w:t>
            </w:r>
          </w:p>
        </w:tc>
        <w:tc>
          <w:tcPr>
            <w:tcW w:w="301" w:type="pct"/>
            <w:vMerge/>
            <w:tcBorders>
              <w:top w:val="single" w:sz="8" w:space="0" w:color="auto"/>
              <w:left w:val="single" w:sz="8" w:space="0" w:color="auto"/>
              <w:bottom w:val="single" w:sz="8" w:space="0" w:color="000000"/>
              <w:right w:val="single" w:sz="4" w:space="0" w:color="auto"/>
            </w:tcBorders>
            <w:vAlign w:val="center"/>
          </w:tcPr>
          <w:p w:rsidR="00147603" w:rsidRPr="00147603" w:rsidRDefault="00147603" w:rsidP="00147603">
            <w:pPr>
              <w:pStyle w:val="Tabele"/>
              <w:rPr>
                <w:sz w:val="12"/>
              </w:rPr>
            </w:pPr>
          </w:p>
        </w:tc>
        <w:tc>
          <w:tcPr>
            <w:tcW w:w="375" w:type="pct"/>
            <w:vMerge/>
            <w:tcBorders>
              <w:top w:val="single" w:sz="8" w:space="0" w:color="auto"/>
              <w:left w:val="single" w:sz="4" w:space="0" w:color="auto"/>
              <w:bottom w:val="single" w:sz="8" w:space="0" w:color="000000"/>
              <w:right w:val="single" w:sz="4" w:space="0" w:color="auto"/>
            </w:tcBorders>
            <w:vAlign w:val="center"/>
          </w:tcPr>
          <w:p w:rsidR="00147603" w:rsidRPr="00147603" w:rsidRDefault="00147603" w:rsidP="00147603">
            <w:pPr>
              <w:pStyle w:val="Tabele"/>
              <w:rPr>
                <w:sz w:val="12"/>
              </w:rPr>
            </w:pPr>
          </w:p>
        </w:tc>
        <w:tc>
          <w:tcPr>
            <w:tcW w:w="237" w:type="pct"/>
            <w:vMerge/>
            <w:tcBorders>
              <w:top w:val="single" w:sz="8" w:space="0" w:color="auto"/>
              <w:left w:val="single" w:sz="4" w:space="0" w:color="auto"/>
              <w:bottom w:val="single" w:sz="8" w:space="0" w:color="000000"/>
              <w:right w:val="single" w:sz="4" w:space="0" w:color="auto"/>
            </w:tcBorders>
            <w:vAlign w:val="center"/>
          </w:tcPr>
          <w:p w:rsidR="00147603" w:rsidRPr="00147603" w:rsidRDefault="00147603" w:rsidP="00147603">
            <w:pPr>
              <w:pStyle w:val="Tabele"/>
              <w:rPr>
                <w:sz w:val="12"/>
              </w:rPr>
            </w:pPr>
          </w:p>
        </w:tc>
        <w:tc>
          <w:tcPr>
            <w:tcW w:w="256" w:type="pct"/>
            <w:vMerge/>
            <w:tcBorders>
              <w:top w:val="single" w:sz="8" w:space="0" w:color="auto"/>
              <w:left w:val="nil"/>
              <w:bottom w:val="single" w:sz="8" w:space="0" w:color="000000"/>
              <w:right w:val="single" w:sz="8" w:space="0" w:color="auto"/>
            </w:tcBorders>
            <w:vAlign w:val="center"/>
          </w:tcPr>
          <w:p w:rsidR="00147603" w:rsidRPr="00147603" w:rsidRDefault="00147603" w:rsidP="00147603">
            <w:pPr>
              <w:pStyle w:val="Tabele"/>
              <w:rPr>
                <w:sz w:val="12"/>
              </w:rPr>
            </w:pPr>
          </w:p>
        </w:tc>
        <w:tc>
          <w:tcPr>
            <w:tcW w:w="457" w:type="pct"/>
            <w:vMerge/>
            <w:tcBorders>
              <w:top w:val="single" w:sz="8" w:space="0" w:color="auto"/>
              <w:left w:val="single" w:sz="8" w:space="0" w:color="auto"/>
              <w:bottom w:val="single" w:sz="8" w:space="0" w:color="000000"/>
              <w:right w:val="single" w:sz="8" w:space="0" w:color="auto"/>
            </w:tcBorders>
            <w:vAlign w:val="center"/>
          </w:tcPr>
          <w:p w:rsidR="00147603" w:rsidRPr="00147603" w:rsidRDefault="00147603" w:rsidP="00147603">
            <w:pPr>
              <w:pStyle w:val="Tabele"/>
              <w:rPr>
                <w:sz w:val="12"/>
              </w:rPr>
            </w:pP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1. Arka dhe Banka Qendrore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2. Bono thesari dhe bono të tjera të pranueshme për rifinancim me Bankën Qendrore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vAlign w:val="bottom"/>
          </w:tcPr>
          <w:p w:rsidR="00147603" w:rsidRPr="00147603" w:rsidRDefault="00147603" w:rsidP="00147603">
            <w:pPr>
              <w:pStyle w:val="Tabele"/>
              <w:rPr>
                <w:sz w:val="12"/>
                <w:lang w:val="it-IT"/>
              </w:rPr>
            </w:pPr>
            <w:r w:rsidRPr="00147603">
              <w:rPr>
                <w:sz w:val="12"/>
                <w:lang w:val="it-IT"/>
              </w:rPr>
              <w:t>3. Llogari rrjedhëse në banka, institucione krediti dhe institucione të tjera financiare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vAlign w:val="bottom"/>
          </w:tcPr>
          <w:p w:rsidR="00147603" w:rsidRPr="00147603" w:rsidRDefault="00147603" w:rsidP="00147603">
            <w:pPr>
              <w:pStyle w:val="Tabele"/>
              <w:rPr>
                <w:sz w:val="12"/>
                <w:lang w:val="it-IT"/>
              </w:rPr>
            </w:pPr>
            <w:r w:rsidRPr="00147603">
              <w:rPr>
                <w:sz w:val="12"/>
                <w:lang w:val="it-IT"/>
              </w:rPr>
              <w:t>4. Depozita në banka, institucione krediti dhe institucione të tjera financiare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pa afat</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me afat</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vAlign w:val="bottom"/>
          </w:tcPr>
          <w:p w:rsidR="00147603" w:rsidRPr="00147603" w:rsidRDefault="00147603" w:rsidP="00147603">
            <w:pPr>
              <w:pStyle w:val="Tabele"/>
              <w:rPr>
                <w:sz w:val="12"/>
              </w:rPr>
            </w:pPr>
            <w:r w:rsidRPr="00147603">
              <w:rPr>
                <w:sz w:val="12"/>
              </w:rPr>
              <w:t>5. Huadhënie bankave, institucioneve të kreditit dhe institucioneve të tjera financiare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vAlign w:val="bottom"/>
          </w:tcPr>
          <w:p w:rsidR="00147603" w:rsidRPr="00147603" w:rsidRDefault="00147603" w:rsidP="00147603">
            <w:pPr>
              <w:pStyle w:val="Tabele"/>
              <w:rPr>
                <w:sz w:val="12"/>
                <w:lang w:val="it-IT"/>
              </w:rPr>
            </w:pPr>
            <w:r w:rsidRPr="00147603">
              <w:rPr>
                <w:sz w:val="12"/>
                <w:lang w:val="it-IT"/>
              </w:rPr>
              <w:t>6. Të tjera me bankat, institucionet e kreditit dhe institucione të tjera financiare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7. Hua dhe paradhënie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afatshkurtër</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afatmesme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afatgjatë</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minus provigjonet për kreditë</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8. Detyrime të klientëve për llogaritë rrjedhëse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9. Bono dhe letra të tjera me vlerë me të ardhura fikse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10. Bono dhe letra të tjera me vlerë me të ardhura të ndryshueshme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11. Interesa pjesëmarrës</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xml:space="preserve">në banka dhe institucione financiare </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në të tjera</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vAlign w:val="bottom"/>
          </w:tcPr>
          <w:p w:rsidR="00147603" w:rsidRPr="00147603" w:rsidRDefault="00147603" w:rsidP="00147603">
            <w:pPr>
              <w:pStyle w:val="Tabele"/>
              <w:rPr>
                <w:sz w:val="12"/>
                <w:lang w:val="it-IT"/>
              </w:rPr>
            </w:pPr>
            <w:r w:rsidRPr="00147603">
              <w:rPr>
                <w:sz w:val="12"/>
                <w:lang w:val="it-IT"/>
              </w:rPr>
              <w:t>12. Mjete të qëndrueshme të patrupëzuara (neto) (minus amortizimin)</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vAlign w:val="bottom"/>
          </w:tcPr>
          <w:p w:rsidR="00147603" w:rsidRPr="00147603" w:rsidRDefault="00147603" w:rsidP="00147603">
            <w:pPr>
              <w:pStyle w:val="Tabele"/>
              <w:rPr>
                <w:sz w:val="12"/>
                <w:lang w:val="it-IT"/>
              </w:rPr>
            </w:pPr>
            <w:r w:rsidRPr="00147603">
              <w:rPr>
                <w:sz w:val="12"/>
                <w:lang w:val="it-IT"/>
              </w:rPr>
              <w:t>13. Mjete të qëndrueshme të trupëzuara (neto) (minus amortizimin)</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14. Të tjera aktive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single" w:sz="4" w:space="0" w:color="auto"/>
              <w:left w:val="single" w:sz="8" w:space="0" w:color="auto"/>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T o t a l i   i   A k t i v i t</w:t>
            </w:r>
          </w:p>
        </w:tc>
        <w:tc>
          <w:tcPr>
            <w:tcW w:w="301" w:type="pct"/>
            <w:tcBorders>
              <w:top w:val="single" w:sz="4"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single" w:sz="4"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single" w:sz="4"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single" w:sz="4"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7" w:type="pct"/>
            <w:tcBorders>
              <w:top w:val="single" w:sz="4" w:space="0" w:color="auto"/>
              <w:left w:val="nil"/>
              <w:bottom w:val="single" w:sz="4" w:space="0" w:color="auto"/>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xml:space="preserve"> 15. Transaksione valutore- blerje valute spot</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7" w:type="pct"/>
            <w:tcBorders>
              <w:top w:val="nil"/>
              <w:left w:val="nil"/>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single" w:sz="8" w:space="0" w:color="auto"/>
              <w:left w:val="single" w:sz="8" w:space="0" w:color="auto"/>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Pozicioni Spot në A k t i v (Totali i aktivit dhe i transaksioneve valutore -blerje valute spot)</w:t>
            </w:r>
          </w:p>
        </w:tc>
        <w:tc>
          <w:tcPr>
            <w:tcW w:w="301" w:type="pct"/>
            <w:tcBorders>
              <w:top w:val="single" w:sz="8" w:space="0" w:color="auto"/>
              <w:left w:val="single" w:sz="8" w:space="0" w:color="auto"/>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7" w:type="pct"/>
            <w:tcBorders>
              <w:top w:val="single" w:sz="8" w:space="0" w:color="auto"/>
              <w:left w:val="nil"/>
              <w:bottom w:val="single" w:sz="4" w:space="0" w:color="auto"/>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single" w:sz="8" w:space="0" w:color="auto"/>
              <w:right w:val="nil"/>
            </w:tcBorders>
            <w:noWrap/>
            <w:vAlign w:val="bottom"/>
          </w:tcPr>
          <w:p w:rsidR="00147603" w:rsidRPr="00147603" w:rsidRDefault="00147603" w:rsidP="00147603">
            <w:pPr>
              <w:pStyle w:val="Tabele"/>
              <w:rPr>
                <w:sz w:val="12"/>
                <w:lang w:val="it-IT"/>
              </w:rPr>
            </w:pPr>
            <w:r w:rsidRPr="00147603">
              <w:rPr>
                <w:sz w:val="12"/>
                <w:lang w:val="it-IT"/>
              </w:rPr>
              <w:t>Pozicioni Spot në A k t i v  (kundërvlera në milionë lekë)</w:t>
            </w:r>
          </w:p>
        </w:tc>
        <w:tc>
          <w:tcPr>
            <w:tcW w:w="301" w:type="pct"/>
            <w:tcBorders>
              <w:top w:val="nil"/>
              <w:left w:val="single" w:sz="8" w:space="0" w:color="auto"/>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single" w:sz="8"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457" w:type="pct"/>
            <w:tcBorders>
              <w:top w:val="nil"/>
              <w:left w:val="single" w:sz="4" w:space="0" w:color="auto"/>
              <w:bottom w:val="single" w:sz="8" w:space="0" w:color="auto"/>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92"/>
        </w:trPr>
        <w:tc>
          <w:tcPr>
            <w:tcW w:w="3374"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B. Pasivi</w:t>
            </w:r>
          </w:p>
        </w:tc>
        <w:tc>
          <w:tcPr>
            <w:tcW w:w="301" w:type="pct"/>
            <w:vMerge w:val="restart"/>
            <w:tcBorders>
              <w:top w:val="single" w:sz="8" w:space="0" w:color="auto"/>
              <w:left w:val="single" w:sz="8" w:space="0" w:color="auto"/>
              <w:bottom w:val="single" w:sz="8" w:space="0" w:color="000000"/>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USD </w:t>
            </w:r>
          </w:p>
        </w:tc>
        <w:tc>
          <w:tcPr>
            <w:tcW w:w="375" w:type="pct"/>
            <w:vMerge w:val="restart"/>
            <w:tcBorders>
              <w:top w:val="single" w:sz="8" w:space="0" w:color="auto"/>
              <w:left w:val="single" w:sz="8" w:space="0" w:color="auto"/>
              <w:bottom w:val="single" w:sz="8" w:space="0" w:color="000000"/>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EURO </w:t>
            </w:r>
          </w:p>
        </w:tc>
        <w:tc>
          <w:tcPr>
            <w:tcW w:w="237" w:type="pct"/>
            <w:vMerge w:val="restart"/>
            <w:tcBorders>
              <w:top w:val="single" w:sz="8" w:space="0" w:color="auto"/>
              <w:left w:val="single" w:sz="8" w:space="0" w:color="auto"/>
              <w:bottom w:val="single" w:sz="8" w:space="0" w:color="000000"/>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 </w:t>
            </w:r>
          </w:p>
        </w:tc>
        <w:tc>
          <w:tcPr>
            <w:tcW w:w="256" w:type="pct"/>
            <w:vMerge w:val="restart"/>
            <w:tcBorders>
              <w:top w:val="single" w:sz="8" w:space="0" w:color="auto"/>
              <w:left w:val="single" w:sz="8" w:space="0" w:color="auto"/>
              <w:bottom w:val="single" w:sz="8" w:space="0" w:color="000000"/>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AR </w:t>
            </w:r>
          </w:p>
        </w:tc>
        <w:tc>
          <w:tcPr>
            <w:tcW w:w="457" w:type="pct"/>
            <w:vMerge w:val="restart"/>
            <w:tcBorders>
              <w:top w:val="single" w:sz="8" w:space="0" w:color="auto"/>
              <w:left w:val="single" w:sz="8" w:space="0" w:color="auto"/>
              <w:bottom w:val="single" w:sz="8" w:space="0" w:color="000000"/>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TOTALI </w:t>
            </w:r>
          </w:p>
        </w:tc>
      </w:tr>
      <w:tr w:rsidR="00147603" w:rsidRPr="00147603" w:rsidTr="00147603">
        <w:trPr>
          <w:trHeight w:val="192"/>
        </w:trPr>
        <w:tc>
          <w:tcPr>
            <w:tcW w:w="3374" w:type="pct"/>
            <w:vMerge/>
            <w:tcBorders>
              <w:top w:val="single" w:sz="8" w:space="0" w:color="auto"/>
              <w:left w:val="single" w:sz="8" w:space="0" w:color="auto"/>
              <w:bottom w:val="single" w:sz="8" w:space="0" w:color="000000"/>
              <w:right w:val="single" w:sz="8" w:space="0" w:color="auto"/>
            </w:tcBorders>
            <w:vAlign w:val="center"/>
          </w:tcPr>
          <w:p w:rsidR="00147603" w:rsidRPr="00147603" w:rsidRDefault="00147603" w:rsidP="00147603">
            <w:pPr>
              <w:pStyle w:val="Tabele"/>
              <w:rPr>
                <w:sz w:val="12"/>
              </w:rPr>
            </w:pPr>
          </w:p>
        </w:tc>
        <w:tc>
          <w:tcPr>
            <w:tcW w:w="301" w:type="pct"/>
            <w:vMerge/>
            <w:tcBorders>
              <w:top w:val="single" w:sz="8" w:space="0" w:color="auto"/>
              <w:left w:val="single" w:sz="8" w:space="0" w:color="auto"/>
              <w:bottom w:val="single" w:sz="8" w:space="0" w:color="000000"/>
              <w:right w:val="single" w:sz="4" w:space="0" w:color="auto"/>
            </w:tcBorders>
            <w:vAlign w:val="center"/>
          </w:tcPr>
          <w:p w:rsidR="00147603" w:rsidRPr="00147603" w:rsidRDefault="00147603" w:rsidP="00147603">
            <w:pPr>
              <w:pStyle w:val="Tabele"/>
              <w:rPr>
                <w:sz w:val="12"/>
              </w:rPr>
            </w:pPr>
          </w:p>
        </w:tc>
        <w:tc>
          <w:tcPr>
            <w:tcW w:w="375" w:type="pct"/>
            <w:vMerge/>
            <w:tcBorders>
              <w:top w:val="single" w:sz="8" w:space="0" w:color="auto"/>
              <w:left w:val="single" w:sz="8" w:space="0" w:color="auto"/>
              <w:bottom w:val="single" w:sz="8" w:space="0" w:color="000000"/>
              <w:right w:val="single" w:sz="4" w:space="0" w:color="auto"/>
            </w:tcBorders>
            <w:vAlign w:val="center"/>
          </w:tcPr>
          <w:p w:rsidR="00147603" w:rsidRPr="00147603" w:rsidRDefault="00147603" w:rsidP="00147603">
            <w:pPr>
              <w:pStyle w:val="Tabele"/>
              <w:rPr>
                <w:sz w:val="12"/>
              </w:rPr>
            </w:pPr>
          </w:p>
        </w:tc>
        <w:tc>
          <w:tcPr>
            <w:tcW w:w="237" w:type="pct"/>
            <w:vMerge/>
            <w:tcBorders>
              <w:top w:val="single" w:sz="8" w:space="0" w:color="auto"/>
              <w:left w:val="single" w:sz="8" w:space="0" w:color="auto"/>
              <w:bottom w:val="single" w:sz="8" w:space="0" w:color="000000"/>
              <w:right w:val="single" w:sz="4" w:space="0" w:color="auto"/>
            </w:tcBorders>
            <w:vAlign w:val="center"/>
          </w:tcPr>
          <w:p w:rsidR="00147603" w:rsidRPr="00147603" w:rsidRDefault="00147603" w:rsidP="00147603">
            <w:pPr>
              <w:pStyle w:val="Tabele"/>
              <w:rPr>
                <w:sz w:val="12"/>
              </w:rPr>
            </w:pPr>
          </w:p>
        </w:tc>
        <w:tc>
          <w:tcPr>
            <w:tcW w:w="256" w:type="pct"/>
            <w:vMerge/>
            <w:tcBorders>
              <w:top w:val="single" w:sz="8" w:space="0" w:color="auto"/>
              <w:left w:val="single" w:sz="8" w:space="0" w:color="auto"/>
              <w:bottom w:val="single" w:sz="8" w:space="0" w:color="000000"/>
              <w:right w:val="single" w:sz="4" w:space="0" w:color="auto"/>
            </w:tcBorders>
            <w:vAlign w:val="center"/>
          </w:tcPr>
          <w:p w:rsidR="00147603" w:rsidRPr="00147603" w:rsidRDefault="00147603" w:rsidP="00147603">
            <w:pPr>
              <w:pStyle w:val="Tabele"/>
              <w:rPr>
                <w:sz w:val="12"/>
              </w:rPr>
            </w:pPr>
          </w:p>
        </w:tc>
        <w:tc>
          <w:tcPr>
            <w:tcW w:w="457" w:type="pct"/>
            <w:vMerge/>
            <w:tcBorders>
              <w:top w:val="single" w:sz="8" w:space="0" w:color="auto"/>
              <w:left w:val="single" w:sz="8" w:space="0" w:color="auto"/>
              <w:bottom w:val="single" w:sz="8" w:space="0" w:color="000000"/>
              <w:right w:val="single" w:sz="4" w:space="0" w:color="auto"/>
            </w:tcBorders>
            <w:vAlign w:val="center"/>
          </w:tcPr>
          <w:p w:rsidR="00147603" w:rsidRPr="00147603" w:rsidRDefault="00147603" w:rsidP="00147603">
            <w:pPr>
              <w:pStyle w:val="Tabele"/>
              <w:rPr>
                <w:sz w:val="12"/>
              </w:rPr>
            </w:pP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xml:space="preserve">1. </w:t>
            </w:r>
            <w:smartTag w:uri="urn:schemas-microsoft-com:office:smarttags" w:element="place">
              <w:r w:rsidRPr="00147603">
                <w:rPr>
                  <w:sz w:val="12"/>
                </w:rPr>
                <w:t>Banka</w:t>
              </w:r>
            </w:smartTag>
            <w:r w:rsidRPr="00147603">
              <w:rPr>
                <w:sz w:val="12"/>
              </w:rPr>
              <w:t xml:space="preserve"> Qendrore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7" w:type="pct"/>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vAlign w:val="bottom"/>
          </w:tcPr>
          <w:p w:rsidR="00147603" w:rsidRPr="00147603" w:rsidRDefault="00147603" w:rsidP="00147603">
            <w:pPr>
              <w:pStyle w:val="Tabele"/>
              <w:rPr>
                <w:sz w:val="12"/>
                <w:lang w:val="it-IT"/>
              </w:rPr>
            </w:pPr>
            <w:r w:rsidRPr="00147603">
              <w:rPr>
                <w:sz w:val="12"/>
                <w:lang w:val="it-IT"/>
              </w:rPr>
              <w:t>2. Llogari rrjedhëse nga bankat, institucionet e kreditit dhe institucionet e tjera financiare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7" w:type="pct"/>
            <w:tcBorders>
              <w:top w:val="nil"/>
              <w:left w:val="nil"/>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vAlign w:val="bottom"/>
          </w:tcPr>
          <w:p w:rsidR="00147603" w:rsidRPr="00147603" w:rsidRDefault="00147603" w:rsidP="00147603">
            <w:pPr>
              <w:pStyle w:val="Tabele"/>
              <w:rPr>
                <w:sz w:val="12"/>
                <w:lang w:val="it-IT"/>
              </w:rPr>
            </w:pPr>
            <w:r w:rsidRPr="00147603">
              <w:rPr>
                <w:sz w:val="12"/>
                <w:lang w:val="it-IT"/>
              </w:rPr>
              <w:t>3. Llogari rrjedhëse në banka, institucione krediti dhe institucione të tjera financiare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7" w:type="pct"/>
            <w:tcBorders>
              <w:top w:val="nil"/>
              <w:left w:val="nil"/>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vAlign w:val="bottom"/>
          </w:tcPr>
          <w:p w:rsidR="00147603" w:rsidRPr="00147603" w:rsidRDefault="00147603" w:rsidP="00147603">
            <w:pPr>
              <w:pStyle w:val="Tabele"/>
              <w:rPr>
                <w:sz w:val="12"/>
                <w:lang w:val="it-IT"/>
              </w:rPr>
            </w:pPr>
            <w:r w:rsidRPr="00147603">
              <w:rPr>
                <w:sz w:val="12"/>
                <w:lang w:val="it-IT"/>
              </w:rPr>
              <w:t>4. Depozita nga bankat, institucionet e kreditit dhe institucionet e tjera financiare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7" w:type="pct"/>
            <w:tcBorders>
              <w:top w:val="nil"/>
              <w:left w:val="nil"/>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pa afat</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7" w:type="pct"/>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me afat</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7" w:type="pct"/>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vAlign w:val="bottom"/>
          </w:tcPr>
          <w:p w:rsidR="00147603" w:rsidRPr="00147603" w:rsidRDefault="00147603" w:rsidP="00147603">
            <w:pPr>
              <w:pStyle w:val="Tabele"/>
              <w:rPr>
                <w:sz w:val="12"/>
                <w:lang w:val="it-IT"/>
              </w:rPr>
            </w:pPr>
            <w:r w:rsidRPr="00147603">
              <w:rPr>
                <w:sz w:val="12"/>
                <w:lang w:val="it-IT"/>
              </w:rPr>
              <w:t>5. Hua marrë nga bankat, institucione krediti dhe institucione të tjera financiare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7" w:type="pct"/>
            <w:tcBorders>
              <w:top w:val="nil"/>
              <w:left w:val="nil"/>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6. Detyrime ndaj klientëve për llogaritë rrjedhëse dhe depozitat</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7" w:type="pct"/>
            <w:tcBorders>
              <w:top w:val="nil"/>
              <w:left w:val="nil"/>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depozita</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7" w:type="pct"/>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7. Detyrime ndaj Qeverisë Shqiptare dhe administratës publike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7" w:type="pct"/>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8. Detyrime nga bonot dhe letra të tjera me vlerë</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7" w:type="pct"/>
            <w:tcBorders>
              <w:top w:val="nil"/>
              <w:left w:val="nil"/>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minus provigjonet për kreditë</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7" w:type="pct"/>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9. Ndihma dhe financime publiku</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7" w:type="pct"/>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10. Fonde rezervë specifike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7" w:type="pct"/>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11. Borxhi i varur</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7" w:type="pct"/>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12. Kapitali i aksionerëve</w:t>
            </w:r>
          </w:p>
        </w:tc>
        <w:tc>
          <w:tcPr>
            <w:tcW w:w="301" w:type="pct"/>
            <w:tcBorders>
              <w:top w:val="nil"/>
              <w:left w:val="nil"/>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7" w:type="pct"/>
            <w:tcBorders>
              <w:top w:val="nil"/>
              <w:left w:val="nil"/>
              <w:bottom w:val="single" w:sz="4" w:space="0" w:color="auto"/>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single" w:sz="4" w:space="0" w:color="auto"/>
              <w:left w:val="single" w:sz="4"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kapitali i paguar</w:t>
            </w:r>
          </w:p>
        </w:tc>
        <w:tc>
          <w:tcPr>
            <w:tcW w:w="301" w:type="pct"/>
            <w:tcBorders>
              <w:top w:val="single" w:sz="4" w:space="0" w:color="auto"/>
              <w:left w:val="single" w:sz="4"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single" w:sz="4" w:space="0" w:color="auto"/>
              <w:left w:val="single" w:sz="4"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single" w:sz="4" w:space="0" w:color="auto"/>
              <w:left w:val="single" w:sz="4"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single" w:sz="4" w:space="0" w:color="auto"/>
              <w:left w:val="single" w:sz="4"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7" w:type="pct"/>
            <w:tcBorders>
              <w:top w:val="single" w:sz="4" w:space="0" w:color="auto"/>
              <w:left w:val="single" w:sz="4"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single" w:sz="4" w:space="0" w:color="auto"/>
              <w:left w:val="single" w:sz="4"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primet</w:t>
            </w:r>
          </w:p>
        </w:tc>
        <w:tc>
          <w:tcPr>
            <w:tcW w:w="301" w:type="pct"/>
            <w:tcBorders>
              <w:top w:val="single" w:sz="4" w:space="0" w:color="auto"/>
              <w:left w:val="single" w:sz="4"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single" w:sz="4" w:space="0" w:color="auto"/>
              <w:left w:val="single" w:sz="4"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single" w:sz="4" w:space="0" w:color="auto"/>
              <w:left w:val="single" w:sz="4"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single" w:sz="4" w:space="0" w:color="auto"/>
              <w:left w:val="single" w:sz="4"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7" w:type="pct"/>
            <w:tcBorders>
              <w:top w:val="single" w:sz="4" w:space="0" w:color="auto"/>
              <w:left w:val="single" w:sz="4"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single" w:sz="4" w:space="0" w:color="auto"/>
              <w:left w:val="single" w:sz="4"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13. Të tjera detyrime</w:t>
            </w:r>
          </w:p>
        </w:tc>
        <w:tc>
          <w:tcPr>
            <w:tcW w:w="301" w:type="pct"/>
            <w:tcBorders>
              <w:top w:val="single" w:sz="4" w:space="0" w:color="auto"/>
              <w:left w:val="single" w:sz="4"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single" w:sz="4" w:space="0" w:color="auto"/>
              <w:left w:val="single" w:sz="4"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single" w:sz="4" w:space="0" w:color="auto"/>
              <w:left w:val="single" w:sz="4"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single" w:sz="4" w:space="0" w:color="auto"/>
              <w:left w:val="single" w:sz="4"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7" w:type="pct"/>
            <w:tcBorders>
              <w:top w:val="single" w:sz="4" w:space="0" w:color="auto"/>
              <w:left w:val="single" w:sz="4"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single" w:sz="4" w:space="0" w:color="auto"/>
              <w:left w:val="single" w:sz="8" w:space="0" w:color="auto"/>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T o t a l i   i   Pa s i v i t</w:t>
            </w:r>
          </w:p>
        </w:tc>
        <w:tc>
          <w:tcPr>
            <w:tcW w:w="301" w:type="pct"/>
            <w:tcBorders>
              <w:top w:val="single" w:sz="4"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single" w:sz="4"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single" w:sz="4"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single" w:sz="4"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7" w:type="pct"/>
            <w:tcBorders>
              <w:top w:val="single" w:sz="4" w:space="0" w:color="auto"/>
              <w:left w:val="nil"/>
              <w:bottom w:val="single" w:sz="4" w:space="0" w:color="auto"/>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14. Transaksione valutore - shitje valute spot</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7" w:type="pct"/>
            <w:tcBorders>
              <w:top w:val="nil"/>
              <w:left w:val="nil"/>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single" w:sz="8" w:space="0" w:color="auto"/>
              <w:left w:val="single" w:sz="8" w:space="0" w:color="auto"/>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Pozicioni Spot në Pasi v (Totali i pasivit dhe i transaksioneve valutore -shitje valute spot)</w:t>
            </w:r>
          </w:p>
        </w:tc>
        <w:tc>
          <w:tcPr>
            <w:tcW w:w="301"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7" w:type="pct"/>
            <w:tcBorders>
              <w:top w:val="single" w:sz="8" w:space="0" w:color="auto"/>
              <w:left w:val="nil"/>
              <w:bottom w:val="single" w:sz="4" w:space="0" w:color="auto"/>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Pozicioni spot në Pa s i v  (kundërvlera në lekë)</w:t>
            </w:r>
          </w:p>
        </w:tc>
        <w:tc>
          <w:tcPr>
            <w:tcW w:w="301"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7" w:type="pct"/>
            <w:tcBorders>
              <w:top w:val="nil"/>
              <w:left w:val="nil"/>
              <w:bottom w:val="single" w:sz="8" w:space="0" w:color="auto"/>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301"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375"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237"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256"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457" w:type="pct"/>
            <w:tcBorders>
              <w:top w:val="nil"/>
              <w:left w:val="nil"/>
              <w:bottom w:val="nil"/>
              <w:right w:val="nil"/>
            </w:tcBorders>
            <w:noWrap/>
            <w:vAlign w:val="bottom"/>
          </w:tcPr>
          <w:p w:rsidR="00147603" w:rsidRPr="00147603" w:rsidRDefault="00147603" w:rsidP="00147603">
            <w:pPr>
              <w:pStyle w:val="Tabele"/>
              <w:rPr>
                <w:sz w:val="12"/>
                <w:lang w:val="it-IT"/>
              </w:rPr>
            </w:pPr>
          </w:p>
        </w:tc>
      </w:tr>
      <w:tr w:rsidR="00147603" w:rsidRPr="00147603" w:rsidTr="00147603">
        <w:trPr>
          <w:trHeight w:val="139"/>
        </w:trPr>
        <w:tc>
          <w:tcPr>
            <w:tcW w:w="3374" w:type="pct"/>
            <w:tcBorders>
              <w:top w:val="nil"/>
              <w:left w:val="nil"/>
              <w:bottom w:val="nil"/>
              <w:right w:val="nil"/>
            </w:tcBorders>
            <w:noWrap/>
            <w:vAlign w:val="bottom"/>
          </w:tcPr>
          <w:p w:rsidR="00147603" w:rsidRPr="00147603" w:rsidRDefault="00147603" w:rsidP="00147603">
            <w:pPr>
              <w:pStyle w:val="Tabele"/>
              <w:rPr>
                <w:sz w:val="12"/>
              </w:rPr>
            </w:pPr>
            <w:r w:rsidRPr="00147603">
              <w:rPr>
                <w:sz w:val="12"/>
              </w:rPr>
              <w:t>Formulari 2</w:t>
            </w:r>
          </w:p>
        </w:tc>
        <w:tc>
          <w:tcPr>
            <w:tcW w:w="301" w:type="pct"/>
            <w:tcBorders>
              <w:top w:val="nil"/>
              <w:left w:val="nil"/>
              <w:bottom w:val="nil"/>
              <w:right w:val="nil"/>
            </w:tcBorders>
            <w:noWrap/>
            <w:vAlign w:val="bottom"/>
          </w:tcPr>
          <w:p w:rsidR="00147603" w:rsidRPr="00147603" w:rsidRDefault="00147603" w:rsidP="00147603">
            <w:pPr>
              <w:pStyle w:val="Tabele"/>
              <w:rPr>
                <w:sz w:val="12"/>
              </w:rPr>
            </w:pPr>
          </w:p>
        </w:tc>
        <w:tc>
          <w:tcPr>
            <w:tcW w:w="375" w:type="pct"/>
            <w:tcBorders>
              <w:top w:val="nil"/>
              <w:left w:val="nil"/>
              <w:bottom w:val="nil"/>
              <w:right w:val="nil"/>
            </w:tcBorders>
            <w:noWrap/>
            <w:vAlign w:val="bottom"/>
          </w:tcPr>
          <w:p w:rsidR="00147603" w:rsidRPr="00147603" w:rsidRDefault="00147603" w:rsidP="00147603">
            <w:pPr>
              <w:pStyle w:val="Tabele"/>
              <w:rPr>
                <w:sz w:val="12"/>
              </w:rPr>
            </w:pPr>
          </w:p>
        </w:tc>
        <w:tc>
          <w:tcPr>
            <w:tcW w:w="237" w:type="pct"/>
            <w:tcBorders>
              <w:top w:val="nil"/>
              <w:left w:val="nil"/>
              <w:bottom w:val="nil"/>
              <w:right w:val="nil"/>
            </w:tcBorders>
            <w:noWrap/>
            <w:vAlign w:val="bottom"/>
          </w:tcPr>
          <w:p w:rsidR="00147603" w:rsidRPr="00147603" w:rsidRDefault="00147603" w:rsidP="00147603">
            <w:pPr>
              <w:pStyle w:val="Tabele"/>
              <w:rPr>
                <w:sz w:val="12"/>
              </w:rPr>
            </w:pP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nil"/>
              <w:bottom w:val="nil"/>
              <w:right w:val="nil"/>
            </w:tcBorders>
            <w:noWrap/>
            <w:vAlign w:val="bottom"/>
          </w:tcPr>
          <w:p w:rsidR="00147603" w:rsidRPr="00147603" w:rsidRDefault="00147603" w:rsidP="00147603">
            <w:pPr>
              <w:pStyle w:val="Tabele"/>
              <w:rPr>
                <w:sz w:val="12"/>
              </w:rPr>
            </w:pPr>
          </w:p>
        </w:tc>
      </w:tr>
      <w:tr w:rsidR="00147603" w:rsidRPr="00147603" w:rsidTr="00147603">
        <w:trPr>
          <w:trHeight w:val="139"/>
        </w:trPr>
        <w:tc>
          <w:tcPr>
            <w:tcW w:w="3374" w:type="pct"/>
            <w:tcBorders>
              <w:top w:val="single" w:sz="8" w:space="0" w:color="auto"/>
              <w:left w:val="single" w:sz="8" w:space="0" w:color="auto"/>
              <w:bottom w:val="nil"/>
              <w:right w:val="nil"/>
            </w:tcBorders>
            <w:shd w:val="clear" w:color="auto" w:fill="C0C0C0"/>
            <w:noWrap/>
            <w:vAlign w:val="bottom"/>
          </w:tcPr>
          <w:p w:rsidR="00147603" w:rsidRPr="00147603" w:rsidRDefault="00147603" w:rsidP="00147603">
            <w:pPr>
              <w:pStyle w:val="Tabele"/>
              <w:rPr>
                <w:sz w:val="12"/>
              </w:rPr>
            </w:pPr>
          </w:p>
        </w:tc>
        <w:tc>
          <w:tcPr>
            <w:tcW w:w="301" w:type="pct"/>
            <w:tcBorders>
              <w:top w:val="single" w:sz="8" w:space="0" w:color="auto"/>
              <w:left w:val="single" w:sz="8" w:space="0" w:color="auto"/>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p>
        </w:tc>
        <w:tc>
          <w:tcPr>
            <w:tcW w:w="375" w:type="pct"/>
            <w:tcBorders>
              <w:top w:val="single" w:sz="8" w:space="0" w:color="auto"/>
              <w:left w:val="single" w:sz="8" w:space="0" w:color="auto"/>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p>
        </w:tc>
        <w:tc>
          <w:tcPr>
            <w:tcW w:w="237" w:type="pct"/>
            <w:tcBorders>
              <w:top w:val="single" w:sz="8" w:space="0" w:color="auto"/>
              <w:left w:val="single" w:sz="8" w:space="0" w:color="auto"/>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p>
        </w:tc>
        <w:tc>
          <w:tcPr>
            <w:tcW w:w="256" w:type="pct"/>
            <w:tcBorders>
              <w:top w:val="single" w:sz="8" w:space="0" w:color="auto"/>
              <w:left w:val="single" w:sz="8" w:space="0" w:color="auto"/>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p>
        </w:tc>
        <w:tc>
          <w:tcPr>
            <w:tcW w:w="457" w:type="pct"/>
            <w:tcBorders>
              <w:top w:val="single" w:sz="8" w:space="0" w:color="auto"/>
              <w:left w:val="nil"/>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p>
        </w:tc>
      </w:tr>
      <w:tr w:rsidR="00147603" w:rsidRPr="00147603" w:rsidTr="00147603">
        <w:trPr>
          <w:trHeight w:val="139"/>
        </w:trPr>
        <w:tc>
          <w:tcPr>
            <w:tcW w:w="3374" w:type="pct"/>
            <w:tcBorders>
              <w:top w:val="single" w:sz="8" w:space="0" w:color="auto"/>
              <w:left w:val="single" w:sz="8" w:space="0" w:color="auto"/>
              <w:bottom w:val="nil"/>
              <w:right w:val="nil"/>
            </w:tcBorders>
            <w:shd w:val="clear" w:color="auto" w:fill="C0C0C0"/>
            <w:noWrap/>
            <w:vAlign w:val="bottom"/>
          </w:tcPr>
          <w:p w:rsidR="00147603" w:rsidRPr="00147603" w:rsidRDefault="00147603" w:rsidP="00147603">
            <w:pPr>
              <w:pStyle w:val="Tabele"/>
              <w:rPr>
                <w:sz w:val="12"/>
              </w:rPr>
            </w:pPr>
            <w:r w:rsidRPr="00147603">
              <w:rPr>
                <w:sz w:val="12"/>
              </w:rPr>
              <w:t>POZICIONI FORWARD NË VALUTË</w:t>
            </w:r>
          </w:p>
        </w:tc>
        <w:tc>
          <w:tcPr>
            <w:tcW w:w="301"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USD </w:t>
            </w:r>
          </w:p>
        </w:tc>
        <w:tc>
          <w:tcPr>
            <w:tcW w:w="375"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EURO </w:t>
            </w:r>
          </w:p>
        </w:tc>
        <w:tc>
          <w:tcPr>
            <w:tcW w:w="237"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 </w:t>
            </w:r>
          </w:p>
        </w:tc>
        <w:tc>
          <w:tcPr>
            <w:tcW w:w="256"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AR </w:t>
            </w:r>
          </w:p>
        </w:tc>
        <w:tc>
          <w:tcPr>
            <w:tcW w:w="457" w:type="pct"/>
            <w:vMerge w:val="restart"/>
            <w:tcBorders>
              <w:top w:val="single" w:sz="8" w:space="0" w:color="auto"/>
              <w:left w:val="nil"/>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TOTALI </w:t>
            </w:r>
          </w:p>
        </w:tc>
      </w:tr>
      <w:tr w:rsidR="00147603" w:rsidRPr="00147603" w:rsidTr="00147603">
        <w:trPr>
          <w:trHeight w:val="139"/>
        </w:trPr>
        <w:tc>
          <w:tcPr>
            <w:tcW w:w="3374" w:type="pct"/>
            <w:tcBorders>
              <w:top w:val="single" w:sz="4" w:space="0" w:color="auto"/>
              <w:left w:val="single" w:sz="8" w:space="0" w:color="auto"/>
              <w:bottom w:val="single" w:sz="8" w:space="0" w:color="auto"/>
              <w:right w:val="nil"/>
            </w:tcBorders>
            <w:shd w:val="clear" w:color="auto" w:fill="C0C0C0"/>
            <w:noWrap/>
            <w:vAlign w:val="bottom"/>
          </w:tcPr>
          <w:p w:rsidR="00147603" w:rsidRPr="00147603" w:rsidRDefault="00147603" w:rsidP="00147603">
            <w:pPr>
              <w:pStyle w:val="Tabele"/>
              <w:rPr>
                <w:sz w:val="12"/>
                <w:lang w:val="it-IT"/>
              </w:rPr>
            </w:pPr>
            <w:r w:rsidRPr="00147603">
              <w:rPr>
                <w:sz w:val="12"/>
                <w:lang w:val="it-IT"/>
              </w:rPr>
              <w:t>C.  Pozicioni në blerje (LONG)</w:t>
            </w:r>
          </w:p>
        </w:tc>
        <w:tc>
          <w:tcPr>
            <w:tcW w:w="301" w:type="pct"/>
            <w:vMerge/>
            <w:tcBorders>
              <w:top w:val="single" w:sz="8" w:space="0" w:color="auto"/>
              <w:left w:val="single" w:sz="8" w:space="0" w:color="auto"/>
              <w:bottom w:val="single" w:sz="8" w:space="0" w:color="000000"/>
              <w:right w:val="single" w:sz="8" w:space="0" w:color="auto"/>
            </w:tcBorders>
            <w:vAlign w:val="center"/>
          </w:tcPr>
          <w:p w:rsidR="00147603" w:rsidRPr="00147603" w:rsidRDefault="00147603" w:rsidP="00147603">
            <w:pPr>
              <w:pStyle w:val="Tabele"/>
              <w:rPr>
                <w:sz w:val="12"/>
                <w:lang w:val="it-IT"/>
              </w:rPr>
            </w:pPr>
          </w:p>
        </w:tc>
        <w:tc>
          <w:tcPr>
            <w:tcW w:w="375" w:type="pct"/>
            <w:vMerge/>
            <w:tcBorders>
              <w:top w:val="single" w:sz="8" w:space="0" w:color="auto"/>
              <w:left w:val="single" w:sz="8" w:space="0" w:color="auto"/>
              <w:bottom w:val="single" w:sz="8" w:space="0" w:color="000000"/>
              <w:right w:val="single" w:sz="8" w:space="0" w:color="auto"/>
            </w:tcBorders>
            <w:vAlign w:val="center"/>
          </w:tcPr>
          <w:p w:rsidR="00147603" w:rsidRPr="00147603" w:rsidRDefault="00147603" w:rsidP="00147603">
            <w:pPr>
              <w:pStyle w:val="Tabele"/>
              <w:rPr>
                <w:sz w:val="12"/>
                <w:lang w:val="it-IT"/>
              </w:rPr>
            </w:pPr>
          </w:p>
        </w:tc>
        <w:tc>
          <w:tcPr>
            <w:tcW w:w="237" w:type="pct"/>
            <w:vMerge/>
            <w:tcBorders>
              <w:top w:val="single" w:sz="8" w:space="0" w:color="auto"/>
              <w:left w:val="single" w:sz="8" w:space="0" w:color="auto"/>
              <w:bottom w:val="single" w:sz="8" w:space="0" w:color="000000"/>
              <w:right w:val="single" w:sz="8" w:space="0" w:color="auto"/>
            </w:tcBorders>
            <w:vAlign w:val="center"/>
          </w:tcPr>
          <w:p w:rsidR="00147603" w:rsidRPr="00147603" w:rsidRDefault="00147603" w:rsidP="00147603">
            <w:pPr>
              <w:pStyle w:val="Tabele"/>
              <w:rPr>
                <w:sz w:val="12"/>
                <w:lang w:val="it-IT"/>
              </w:rPr>
            </w:pPr>
          </w:p>
        </w:tc>
        <w:tc>
          <w:tcPr>
            <w:tcW w:w="256" w:type="pct"/>
            <w:vMerge/>
            <w:tcBorders>
              <w:top w:val="single" w:sz="8" w:space="0" w:color="auto"/>
              <w:left w:val="single" w:sz="8" w:space="0" w:color="auto"/>
              <w:bottom w:val="single" w:sz="8" w:space="0" w:color="000000"/>
              <w:right w:val="single" w:sz="8" w:space="0" w:color="auto"/>
            </w:tcBorders>
            <w:vAlign w:val="center"/>
          </w:tcPr>
          <w:p w:rsidR="00147603" w:rsidRPr="00147603" w:rsidRDefault="00147603" w:rsidP="00147603">
            <w:pPr>
              <w:pStyle w:val="Tabele"/>
              <w:rPr>
                <w:sz w:val="12"/>
                <w:lang w:val="it-IT"/>
              </w:rPr>
            </w:pPr>
          </w:p>
        </w:tc>
        <w:tc>
          <w:tcPr>
            <w:tcW w:w="457" w:type="pct"/>
            <w:vMerge/>
            <w:tcBorders>
              <w:top w:val="single" w:sz="8" w:space="0" w:color="auto"/>
              <w:left w:val="nil"/>
              <w:bottom w:val="single" w:sz="8" w:space="0" w:color="000000"/>
              <w:right w:val="single" w:sz="8" w:space="0" w:color="auto"/>
            </w:tcBorders>
            <w:vAlign w:val="center"/>
          </w:tcPr>
          <w:p w:rsidR="00147603" w:rsidRPr="00147603" w:rsidRDefault="00147603" w:rsidP="00147603">
            <w:pPr>
              <w:pStyle w:val="Tabele"/>
              <w:rPr>
                <w:sz w:val="12"/>
                <w:lang w:val="it-IT"/>
              </w:rPr>
            </w:pP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1. Transaksione valutore - blerje valute  forward</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2. Transaksione valutore - blerje valute future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vAlign w:val="bottom"/>
          </w:tcPr>
          <w:p w:rsidR="00147603" w:rsidRPr="00147603" w:rsidRDefault="00147603" w:rsidP="00147603">
            <w:pPr>
              <w:pStyle w:val="Tabele"/>
              <w:rPr>
                <w:sz w:val="12"/>
                <w:lang w:val="it-IT"/>
              </w:rPr>
            </w:pPr>
            <w:r w:rsidRPr="00147603">
              <w:rPr>
                <w:sz w:val="12"/>
                <w:lang w:val="it-IT"/>
              </w:rPr>
              <w:t>3. Transaksione valutore - kryegjëja sipas marrëveshjeve swap (pjesa e papërfshirë në pozicionin spot)</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vAlign w:val="bottom"/>
          </w:tcPr>
          <w:p w:rsidR="00147603" w:rsidRPr="00147603" w:rsidRDefault="00147603" w:rsidP="00147603">
            <w:pPr>
              <w:pStyle w:val="Tabele"/>
              <w:rPr>
                <w:sz w:val="12"/>
              </w:rPr>
            </w:pPr>
            <w:r w:rsidRPr="00147603">
              <w:rPr>
                <w:sz w:val="12"/>
              </w:rPr>
              <w:t>4. Garancitë sipas përcaktimit të rregullores</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vAlign w:val="bottom"/>
          </w:tcPr>
          <w:p w:rsidR="00147603" w:rsidRPr="00147603" w:rsidRDefault="00147603" w:rsidP="00147603">
            <w:pPr>
              <w:pStyle w:val="Tabele"/>
              <w:rPr>
                <w:sz w:val="12"/>
              </w:rPr>
            </w:pPr>
            <w:r w:rsidRPr="00147603">
              <w:rPr>
                <w:sz w:val="12"/>
              </w:rPr>
              <w:t>5. Letër kreditë sipas përcaktimit të rregullores</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single" w:sz="8" w:space="0" w:color="auto"/>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xml:space="preserve"> Pozicioni forward në blerje (LONG)</w:t>
            </w:r>
          </w:p>
        </w:tc>
        <w:tc>
          <w:tcPr>
            <w:tcW w:w="301"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single" w:sz="8" w:space="0" w:color="auto"/>
              <w:left w:val="nil"/>
              <w:bottom w:val="single" w:sz="4" w:space="0" w:color="auto"/>
              <w:right w:val="nil"/>
            </w:tcBorders>
            <w:noWrap/>
            <w:vAlign w:val="bottom"/>
          </w:tcPr>
          <w:p w:rsidR="00147603" w:rsidRPr="00147603" w:rsidRDefault="00147603" w:rsidP="00147603">
            <w:pPr>
              <w:pStyle w:val="Tabele"/>
              <w:rPr>
                <w:sz w:val="12"/>
              </w:rPr>
            </w:pPr>
            <w:r w:rsidRPr="00147603">
              <w:rPr>
                <w:sz w:val="12"/>
              </w:rPr>
              <w:t> </w:t>
            </w:r>
          </w:p>
        </w:tc>
        <w:tc>
          <w:tcPr>
            <w:tcW w:w="457" w:type="pct"/>
            <w:tcBorders>
              <w:top w:val="single" w:sz="8" w:space="0" w:color="auto"/>
              <w:left w:val="single" w:sz="4" w:space="0" w:color="auto"/>
              <w:bottom w:val="single" w:sz="4" w:space="0" w:color="auto"/>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single" w:sz="4" w:space="0" w:color="auto"/>
              <w:left w:val="single" w:sz="8" w:space="0" w:color="auto"/>
              <w:bottom w:val="single" w:sz="8" w:space="0" w:color="auto"/>
              <w:right w:val="single" w:sz="4" w:space="0" w:color="auto"/>
            </w:tcBorders>
            <w:noWrap/>
            <w:vAlign w:val="bottom"/>
          </w:tcPr>
          <w:p w:rsidR="00147603" w:rsidRPr="00147603" w:rsidRDefault="00147603" w:rsidP="00147603">
            <w:pPr>
              <w:pStyle w:val="Tabele"/>
              <w:rPr>
                <w:sz w:val="12"/>
              </w:rPr>
            </w:pPr>
            <w:r w:rsidRPr="00147603">
              <w:rPr>
                <w:sz w:val="12"/>
              </w:rPr>
              <w:t xml:space="preserve"> Pozicioni forward  në blerje (LONG)  (kundërvlera në milionë lekë)</w:t>
            </w:r>
          </w:p>
        </w:tc>
        <w:tc>
          <w:tcPr>
            <w:tcW w:w="301"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single" w:sz="8" w:space="0" w:color="auto"/>
              <w:right w:val="nil"/>
            </w:tcBorders>
            <w:noWrap/>
            <w:vAlign w:val="bottom"/>
          </w:tcPr>
          <w:p w:rsidR="00147603" w:rsidRPr="00147603" w:rsidRDefault="00147603" w:rsidP="00147603">
            <w:pPr>
              <w:pStyle w:val="Tabele"/>
              <w:rPr>
                <w:sz w:val="12"/>
              </w:rPr>
            </w:pPr>
            <w:r w:rsidRPr="00147603">
              <w:rPr>
                <w:sz w:val="12"/>
              </w:rPr>
              <w:t> </w:t>
            </w:r>
          </w:p>
        </w:tc>
        <w:tc>
          <w:tcPr>
            <w:tcW w:w="457" w:type="pct"/>
            <w:tcBorders>
              <w:top w:val="nil"/>
              <w:left w:val="single" w:sz="4" w:space="0" w:color="auto"/>
              <w:bottom w:val="single" w:sz="8" w:space="0" w:color="auto"/>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92"/>
        </w:trPr>
        <w:tc>
          <w:tcPr>
            <w:tcW w:w="3374" w:type="pct"/>
            <w:vMerge w:val="restart"/>
            <w:tcBorders>
              <w:top w:val="single" w:sz="8" w:space="0" w:color="auto"/>
              <w:left w:val="single" w:sz="8" w:space="0" w:color="auto"/>
              <w:bottom w:val="single" w:sz="8" w:space="0" w:color="000000"/>
              <w:right w:val="nil"/>
            </w:tcBorders>
            <w:shd w:val="clear" w:color="auto" w:fill="C0C0C0"/>
            <w:noWrap/>
            <w:vAlign w:val="center"/>
          </w:tcPr>
          <w:p w:rsidR="00147603" w:rsidRPr="00147603" w:rsidRDefault="00147603" w:rsidP="00147603">
            <w:pPr>
              <w:pStyle w:val="Tabele"/>
              <w:rPr>
                <w:sz w:val="12"/>
                <w:lang w:val="it-IT"/>
              </w:rPr>
            </w:pPr>
            <w:r w:rsidRPr="00147603">
              <w:rPr>
                <w:sz w:val="12"/>
                <w:lang w:val="it-IT"/>
              </w:rPr>
              <w:t>D.  Pozicioni ne shitje  (SHORT)</w:t>
            </w:r>
          </w:p>
        </w:tc>
        <w:tc>
          <w:tcPr>
            <w:tcW w:w="301"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lang w:val="it-IT"/>
              </w:rPr>
              <w:t xml:space="preserve"> </w:t>
            </w:r>
            <w:r w:rsidRPr="00147603">
              <w:rPr>
                <w:sz w:val="12"/>
              </w:rPr>
              <w:t xml:space="preserve">USD </w:t>
            </w:r>
          </w:p>
        </w:tc>
        <w:tc>
          <w:tcPr>
            <w:tcW w:w="375"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EURO </w:t>
            </w:r>
          </w:p>
        </w:tc>
        <w:tc>
          <w:tcPr>
            <w:tcW w:w="237"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 </w:t>
            </w:r>
          </w:p>
        </w:tc>
        <w:tc>
          <w:tcPr>
            <w:tcW w:w="256" w:type="pct"/>
            <w:vMerge w:val="restart"/>
            <w:tcBorders>
              <w:top w:val="single" w:sz="8" w:space="0" w:color="auto"/>
              <w:left w:val="single" w:sz="8" w:space="0" w:color="auto"/>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AR </w:t>
            </w:r>
          </w:p>
        </w:tc>
        <w:tc>
          <w:tcPr>
            <w:tcW w:w="457" w:type="pct"/>
            <w:vMerge w:val="restart"/>
            <w:tcBorders>
              <w:top w:val="single" w:sz="8" w:space="0" w:color="auto"/>
              <w:left w:val="nil"/>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TOTALI </w:t>
            </w:r>
          </w:p>
        </w:tc>
      </w:tr>
      <w:tr w:rsidR="00147603" w:rsidRPr="00147603" w:rsidTr="00147603">
        <w:trPr>
          <w:trHeight w:val="192"/>
        </w:trPr>
        <w:tc>
          <w:tcPr>
            <w:tcW w:w="3374" w:type="pct"/>
            <w:vMerge/>
            <w:tcBorders>
              <w:top w:val="single" w:sz="8" w:space="0" w:color="auto"/>
              <w:left w:val="single" w:sz="8" w:space="0" w:color="auto"/>
              <w:bottom w:val="single" w:sz="8" w:space="0" w:color="000000"/>
              <w:right w:val="nil"/>
            </w:tcBorders>
            <w:vAlign w:val="center"/>
          </w:tcPr>
          <w:p w:rsidR="00147603" w:rsidRPr="00147603" w:rsidRDefault="00147603" w:rsidP="00147603">
            <w:pPr>
              <w:pStyle w:val="Tabele"/>
              <w:rPr>
                <w:sz w:val="12"/>
              </w:rPr>
            </w:pPr>
          </w:p>
        </w:tc>
        <w:tc>
          <w:tcPr>
            <w:tcW w:w="301" w:type="pct"/>
            <w:vMerge/>
            <w:tcBorders>
              <w:top w:val="single" w:sz="8" w:space="0" w:color="auto"/>
              <w:left w:val="single" w:sz="8" w:space="0" w:color="auto"/>
              <w:bottom w:val="single" w:sz="8" w:space="0" w:color="000000"/>
              <w:right w:val="single" w:sz="8" w:space="0" w:color="auto"/>
            </w:tcBorders>
            <w:vAlign w:val="center"/>
          </w:tcPr>
          <w:p w:rsidR="00147603" w:rsidRPr="00147603" w:rsidRDefault="00147603" w:rsidP="00147603">
            <w:pPr>
              <w:pStyle w:val="Tabele"/>
              <w:rPr>
                <w:sz w:val="12"/>
              </w:rPr>
            </w:pPr>
          </w:p>
        </w:tc>
        <w:tc>
          <w:tcPr>
            <w:tcW w:w="375" w:type="pct"/>
            <w:vMerge/>
            <w:tcBorders>
              <w:top w:val="single" w:sz="8" w:space="0" w:color="auto"/>
              <w:left w:val="single" w:sz="8" w:space="0" w:color="auto"/>
              <w:bottom w:val="single" w:sz="8" w:space="0" w:color="000000"/>
              <w:right w:val="single" w:sz="8" w:space="0" w:color="auto"/>
            </w:tcBorders>
            <w:vAlign w:val="center"/>
          </w:tcPr>
          <w:p w:rsidR="00147603" w:rsidRPr="00147603" w:rsidRDefault="00147603" w:rsidP="00147603">
            <w:pPr>
              <w:pStyle w:val="Tabele"/>
              <w:rPr>
                <w:sz w:val="12"/>
              </w:rPr>
            </w:pPr>
          </w:p>
        </w:tc>
        <w:tc>
          <w:tcPr>
            <w:tcW w:w="237" w:type="pct"/>
            <w:vMerge/>
            <w:tcBorders>
              <w:top w:val="single" w:sz="8" w:space="0" w:color="auto"/>
              <w:left w:val="single" w:sz="8" w:space="0" w:color="auto"/>
              <w:bottom w:val="single" w:sz="8" w:space="0" w:color="000000"/>
              <w:right w:val="single" w:sz="8" w:space="0" w:color="auto"/>
            </w:tcBorders>
            <w:vAlign w:val="center"/>
          </w:tcPr>
          <w:p w:rsidR="00147603" w:rsidRPr="00147603" w:rsidRDefault="00147603" w:rsidP="00147603">
            <w:pPr>
              <w:pStyle w:val="Tabele"/>
              <w:rPr>
                <w:sz w:val="12"/>
              </w:rPr>
            </w:pPr>
          </w:p>
        </w:tc>
        <w:tc>
          <w:tcPr>
            <w:tcW w:w="256" w:type="pct"/>
            <w:vMerge/>
            <w:tcBorders>
              <w:top w:val="single" w:sz="8" w:space="0" w:color="auto"/>
              <w:left w:val="single" w:sz="8" w:space="0" w:color="auto"/>
              <w:bottom w:val="single" w:sz="8" w:space="0" w:color="000000"/>
              <w:right w:val="single" w:sz="8" w:space="0" w:color="auto"/>
            </w:tcBorders>
            <w:vAlign w:val="center"/>
          </w:tcPr>
          <w:p w:rsidR="00147603" w:rsidRPr="00147603" w:rsidRDefault="00147603" w:rsidP="00147603">
            <w:pPr>
              <w:pStyle w:val="Tabele"/>
              <w:rPr>
                <w:sz w:val="12"/>
              </w:rPr>
            </w:pPr>
          </w:p>
        </w:tc>
        <w:tc>
          <w:tcPr>
            <w:tcW w:w="457" w:type="pct"/>
            <w:vMerge/>
            <w:tcBorders>
              <w:top w:val="single" w:sz="8" w:space="0" w:color="auto"/>
              <w:left w:val="nil"/>
              <w:bottom w:val="single" w:sz="8" w:space="0" w:color="000000"/>
              <w:right w:val="single" w:sz="8" w:space="0" w:color="auto"/>
            </w:tcBorders>
            <w:vAlign w:val="center"/>
          </w:tcPr>
          <w:p w:rsidR="00147603" w:rsidRPr="00147603" w:rsidRDefault="00147603" w:rsidP="00147603">
            <w:pPr>
              <w:pStyle w:val="Tabele"/>
              <w:rPr>
                <w:sz w:val="12"/>
              </w:rPr>
            </w:pP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1. Transaksione valutore - shitje valute  forward</w:t>
            </w:r>
          </w:p>
        </w:tc>
        <w:tc>
          <w:tcPr>
            <w:tcW w:w="301" w:type="pct"/>
            <w:tcBorders>
              <w:top w:val="single" w:sz="4" w:space="0" w:color="auto"/>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2. Transaksione valutore - shitje valute future</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vAlign w:val="bottom"/>
          </w:tcPr>
          <w:p w:rsidR="00147603" w:rsidRPr="00147603" w:rsidRDefault="00147603" w:rsidP="00147603">
            <w:pPr>
              <w:pStyle w:val="Tabele"/>
              <w:rPr>
                <w:sz w:val="12"/>
                <w:lang w:val="it-IT"/>
              </w:rPr>
            </w:pPr>
            <w:r w:rsidRPr="00147603">
              <w:rPr>
                <w:sz w:val="12"/>
                <w:lang w:val="it-IT"/>
              </w:rPr>
              <w:t>3. Transaksione valutore - kryegjëja sipas marrëveshjeve swap (pjesa e papërfshirë në pozicionin spot)</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trPr>
        <w:tc>
          <w:tcPr>
            <w:tcW w:w="3374" w:type="pct"/>
            <w:tcBorders>
              <w:top w:val="nil"/>
              <w:left w:val="single" w:sz="8" w:space="0" w:color="auto"/>
              <w:bottom w:val="nil"/>
              <w:right w:val="single" w:sz="4" w:space="0" w:color="auto"/>
            </w:tcBorders>
            <w:vAlign w:val="bottom"/>
          </w:tcPr>
          <w:p w:rsidR="00147603" w:rsidRPr="00147603" w:rsidRDefault="00147603" w:rsidP="00147603">
            <w:pPr>
              <w:pStyle w:val="Tabele"/>
              <w:rPr>
                <w:sz w:val="12"/>
              </w:rPr>
            </w:pPr>
            <w:r w:rsidRPr="00147603">
              <w:rPr>
                <w:sz w:val="12"/>
              </w:rPr>
              <w:t>4. Garancitë sipas përcaktimit të rregullores</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vAlign w:val="bottom"/>
          </w:tcPr>
          <w:p w:rsidR="00147603" w:rsidRPr="00147603" w:rsidRDefault="00147603" w:rsidP="00147603">
            <w:pPr>
              <w:pStyle w:val="Tabele"/>
              <w:rPr>
                <w:sz w:val="12"/>
              </w:rPr>
            </w:pPr>
            <w:r w:rsidRPr="00147603">
              <w:rPr>
                <w:sz w:val="12"/>
              </w:rPr>
              <w:t>5. Letër kreditë sipas përcaktimit të rregullores</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single" w:sz="8" w:space="0" w:color="auto"/>
              <w:left w:val="single" w:sz="8"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xml:space="preserve"> Pozicioni forward në shitje (SHORT)</w:t>
            </w:r>
          </w:p>
        </w:tc>
        <w:tc>
          <w:tcPr>
            <w:tcW w:w="301"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single" w:sz="8" w:space="0" w:color="auto"/>
              <w:left w:val="nil"/>
              <w:bottom w:val="single" w:sz="4" w:space="0" w:color="auto"/>
              <w:right w:val="nil"/>
            </w:tcBorders>
            <w:noWrap/>
            <w:vAlign w:val="bottom"/>
          </w:tcPr>
          <w:p w:rsidR="00147603" w:rsidRPr="00147603" w:rsidRDefault="00147603" w:rsidP="00147603">
            <w:pPr>
              <w:pStyle w:val="Tabele"/>
              <w:rPr>
                <w:sz w:val="12"/>
              </w:rPr>
            </w:pPr>
            <w:r w:rsidRPr="00147603">
              <w:rPr>
                <w:sz w:val="12"/>
              </w:rPr>
              <w:t> </w:t>
            </w:r>
          </w:p>
        </w:tc>
        <w:tc>
          <w:tcPr>
            <w:tcW w:w="457" w:type="pct"/>
            <w:tcBorders>
              <w:top w:val="single" w:sz="8" w:space="0" w:color="auto"/>
              <w:left w:val="single" w:sz="4" w:space="0" w:color="auto"/>
              <w:bottom w:val="single" w:sz="4" w:space="0" w:color="auto"/>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single" w:sz="8" w:space="0" w:color="auto"/>
              <w:right w:val="single" w:sz="4" w:space="0" w:color="auto"/>
            </w:tcBorders>
            <w:noWrap/>
            <w:vAlign w:val="bottom"/>
          </w:tcPr>
          <w:p w:rsidR="00147603" w:rsidRPr="00147603" w:rsidRDefault="00147603" w:rsidP="00147603">
            <w:pPr>
              <w:pStyle w:val="Tabele"/>
              <w:rPr>
                <w:sz w:val="12"/>
              </w:rPr>
            </w:pPr>
            <w:r w:rsidRPr="00147603">
              <w:rPr>
                <w:sz w:val="12"/>
              </w:rPr>
              <w:t xml:space="preserve"> Pozicioni forward  në shitje (SHORT)   (kundërvlera në milionë lekë)</w:t>
            </w:r>
          </w:p>
        </w:tc>
        <w:tc>
          <w:tcPr>
            <w:tcW w:w="301"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single" w:sz="8" w:space="0" w:color="auto"/>
              <w:right w:val="nil"/>
            </w:tcBorders>
            <w:noWrap/>
            <w:vAlign w:val="bottom"/>
          </w:tcPr>
          <w:p w:rsidR="00147603" w:rsidRPr="00147603" w:rsidRDefault="00147603" w:rsidP="00147603">
            <w:pPr>
              <w:pStyle w:val="Tabele"/>
              <w:rPr>
                <w:sz w:val="12"/>
              </w:rPr>
            </w:pPr>
            <w:r w:rsidRPr="00147603">
              <w:rPr>
                <w:sz w:val="12"/>
              </w:rPr>
              <w:t> </w:t>
            </w:r>
          </w:p>
        </w:tc>
        <w:tc>
          <w:tcPr>
            <w:tcW w:w="457" w:type="pct"/>
            <w:tcBorders>
              <w:top w:val="nil"/>
              <w:left w:val="single" w:sz="4" w:space="0" w:color="auto"/>
              <w:bottom w:val="single" w:sz="8" w:space="0" w:color="auto"/>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nil"/>
              <w:bottom w:val="nil"/>
              <w:right w:val="nil"/>
            </w:tcBorders>
            <w:noWrap/>
            <w:vAlign w:val="bottom"/>
          </w:tcPr>
          <w:p w:rsidR="00147603" w:rsidRPr="00147603" w:rsidRDefault="00147603" w:rsidP="00147603">
            <w:pPr>
              <w:pStyle w:val="Tabele"/>
              <w:rPr>
                <w:sz w:val="12"/>
              </w:rPr>
            </w:pPr>
          </w:p>
        </w:tc>
        <w:tc>
          <w:tcPr>
            <w:tcW w:w="301" w:type="pct"/>
            <w:tcBorders>
              <w:top w:val="nil"/>
              <w:left w:val="nil"/>
              <w:bottom w:val="nil"/>
              <w:right w:val="nil"/>
            </w:tcBorders>
            <w:noWrap/>
            <w:vAlign w:val="bottom"/>
          </w:tcPr>
          <w:p w:rsidR="00147603" w:rsidRPr="00147603" w:rsidRDefault="00147603" w:rsidP="00147603">
            <w:pPr>
              <w:pStyle w:val="Tabele"/>
              <w:rPr>
                <w:sz w:val="12"/>
              </w:rPr>
            </w:pPr>
          </w:p>
        </w:tc>
        <w:tc>
          <w:tcPr>
            <w:tcW w:w="375" w:type="pct"/>
            <w:tcBorders>
              <w:top w:val="nil"/>
              <w:left w:val="nil"/>
              <w:bottom w:val="nil"/>
              <w:right w:val="nil"/>
            </w:tcBorders>
            <w:noWrap/>
            <w:vAlign w:val="bottom"/>
          </w:tcPr>
          <w:p w:rsidR="00147603" w:rsidRPr="00147603" w:rsidRDefault="00147603" w:rsidP="00147603">
            <w:pPr>
              <w:pStyle w:val="Tabele"/>
              <w:rPr>
                <w:sz w:val="12"/>
              </w:rPr>
            </w:pPr>
          </w:p>
        </w:tc>
        <w:tc>
          <w:tcPr>
            <w:tcW w:w="237" w:type="pct"/>
            <w:tcBorders>
              <w:top w:val="nil"/>
              <w:left w:val="nil"/>
              <w:bottom w:val="nil"/>
              <w:right w:val="nil"/>
            </w:tcBorders>
            <w:noWrap/>
            <w:vAlign w:val="bottom"/>
          </w:tcPr>
          <w:p w:rsidR="00147603" w:rsidRPr="00147603" w:rsidRDefault="00147603" w:rsidP="00147603">
            <w:pPr>
              <w:pStyle w:val="Tabele"/>
              <w:rPr>
                <w:sz w:val="12"/>
              </w:rPr>
            </w:pP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nil"/>
              <w:bottom w:val="nil"/>
              <w:right w:val="nil"/>
            </w:tcBorders>
            <w:noWrap/>
            <w:vAlign w:val="bottom"/>
          </w:tcPr>
          <w:p w:rsidR="00147603" w:rsidRPr="00147603" w:rsidRDefault="00147603" w:rsidP="00147603">
            <w:pPr>
              <w:pStyle w:val="Tabele"/>
              <w:rPr>
                <w:sz w:val="12"/>
              </w:rPr>
            </w:pPr>
          </w:p>
        </w:tc>
      </w:tr>
      <w:tr w:rsidR="00147603" w:rsidRPr="00147603" w:rsidTr="00147603">
        <w:trPr>
          <w:trHeight w:val="139"/>
        </w:trPr>
        <w:tc>
          <w:tcPr>
            <w:tcW w:w="3374" w:type="pct"/>
            <w:tcBorders>
              <w:top w:val="nil"/>
              <w:left w:val="nil"/>
              <w:bottom w:val="nil"/>
              <w:right w:val="nil"/>
            </w:tcBorders>
            <w:noWrap/>
            <w:vAlign w:val="bottom"/>
          </w:tcPr>
          <w:p w:rsidR="00147603" w:rsidRPr="00147603" w:rsidRDefault="00147603" w:rsidP="00147603">
            <w:pPr>
              <w:pStyle w:val="Tabele"/>
              <w:rPr>
                <w:sz w:val="12"/>
              </w:rPr>
            </w:pPr>
            <w:r w:rsidRPr="00147603">
              <w:rPr>
                <w:sz w:val="12"/>
              </w:rPr>
              <w:t>Formulari 3</w:t>
            </w:r>
          </w:p>
        </w:tc>
        <w:tc>
          <w:tcPr>
            <w:tcW w:w="301" w:type="pct"/>
            <w:tcBorders>
              <w:top w:val="nil"/>
              <w:left w:val="nil"/>
              <w:bottom w:val="nil"/>
              <w:right w:val="nil"/>
            </w:tcBorders>
            <w:noWrap/>
            <w:vAlign w:val="bottom"/>
          </w:tcPr>
          <w:p w:rsidR="00147603" w:rsidRPr="00147603" w:rsidRDefault="00147603" w:rsidP="00147603">
            <w:pPr>
              <w:pStyle w:val="Tabele"/>
              <w:rPr>
                <w:sz w:val="12"/>
              </w:rPr>
            </w:pPr>
          </w:p>
        </w:tc>
        <w:tc>
          <w:tcPr>
            <w:tcW w:w="375" w:type="pct"/>
            <w:tcBorders>
              <w:top w:val="nil"/>
              <w:left w:val="nil"/>
              <w:bottom w:val="nil"/>
              <w:right w:val="nil"/>
            </w:tcBorders>
            <w:noWrap/>
            <w:vAlign w:val="bottom"/>
          </w:tcPr>
          <w:p w:rsidR="00147603" w:rsidRPr="00147603" w:rsidRDefault="00147603" w:rsidP="00147603">
            <w:pPr>
              <w:pStyle w:val="Tabele"/>
              <w:rPr>
                <w:sz w:val="12"/>
              </w:rPr>
            </w:pPr>
          </w:p>
        </w:tc>
        <w:tc>
          <w:tcPr>
            <w:tcW w:w="237" w:type="pct"/>
            <w:tcBorders>
              <w:top w:val="nil"/>
              <w:left w:val="nil"/>
              <w:bottom w:val="nil"/>
              <w:right w:val="nil"/>
            </w:tcBorders>
            <w:noWrap/>
            <w:vAlign w:val="bottom"/>
          </w:tcPr>
          <w:p w:rsidR="00147603" w:rsidRPr="00147603" w:rsidRDefault="00147603" w:rsidP="00147603">
            <w:pPr>
              <w:pStyle w:val="Tabele"/>
              <w:rPr>
                <w:sz w:val="12"/>
              </w:rPr>
            </w:pP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nil"/>
              <w:bottom w:val="nil"/>
              <w:right w:val="nil"/>
            </w:tcBorders>
            <w:noWrap/>
            <w:vAlign w:val="bottom"/>
          </w:tcPr>
          <w:p w:rsidR="00147603" w:rsidRPr="00147603" w:rsidRDefault="00147603" w:rsidP="00147603">
            <w:pPr>
              <w:pStyle w:val="Tabele"/>
              <w:rPr>
                <w:sz w:val="12"/>
              </w:rPr>
            </w:pPr>
          </w:p>
        </w:tc>
      </w:tr>
      <w:tr w:rsidR="00147603" w:rsidRPr="00147603" w:rsidTr="00147603">
        <w:trPr>
          <w:trHeight w:val="139"/>
        </w:trPr>
        <w:tc>
          <w:tcPr>
            <w:tcW w:w="3374" w:type="pct"/>
            <w:tcBorders>
              <w:top w:val="nil"/>
              <w:left w:val="nil"/>
              <w:bottom w:val="nil"/>
              <w:right w:val="nil"/>
            </w:tcBorders>
            <w:noWrap/>
            <w:vAlign w:val="bottom"/>
          </w:tcPr>
          <w:p w:rsidR="00147603" w:rsidRPr="00147603" w:rsidRDefault="00147603" w:rsidP="00147603">
            <w:pPr>
              <w:pStyle w:val="Tabele"/>
              <w:rPr>
                <w:sz w:val="12"/>
              </w:rPr>
            </w:pPr>
          </w:p>
        </w:tc>
        <w:tc>
          <w:tcPr>
            <w:tcW w:w="301" w:type="pct"/>
            <w:tcBorders>
              <w:top w:val="nil"/>
              <w:left w:val="nil"/>
              <w:bottom w:val="nil"/>
              <w:right w:val="nil"/>
            </w:tcBorders>
            <w:noWrap/>
            <w:vAlign w:val="bottom"/>
          </w:tcPr>
          <w:p w:rsidR="00147603" w:rsidRPr="00147603" w:rsidRDefault="00147603" w:rsidP="00147603">
            <w:pPr>
              <w:pStyle w:val="Tabele"/>
              <w:rPr>
                <w:sz w:val="12"/>
              </w:rPr>
            </w:pPr>
          </w:p>
        </w:tc>
        <w:tc>
          <w:tcPr>
            <w:tcW w:w="375" w:type="pct"/>
            <w:tcBorders>
              <w:top w:val="nil"/>
              <w:left w:val="nil"/>
              <w:bottom w:val="nil"/>
              <w:right w:val="nil"/>
            </w:tcBorders>
            <w:noWrap/>
            <w:vAlign w:val="bottom"/>
          </w:tcPr>
          <w:p w:rsidR="00147603" w:rsidRPr="00147603" w:rsidRDefault="00147603" w:rsidP="00147603">
            <w:pPr>
              <w:pStyle w:val="Tabele"/>
              <w:rPr>
                <w:sz w:val="12"/>
              </w:rPr>
            </w:pPr>
          </w:p>
        </w:tc>
        <w:tc>
          <w:tcPr>
            <w:tcW w:w="237" w:type="pct"/>
            <w:tcBorders>
              <w:top w:val="nil"/>
              <w:left w:val="nil"/>
              <w:bottom w:val="nil"/>
              <w:right w:val="nil"/>
            </w:tcBorders>
            <w:noWrap/>
            <w:vAlign w:val="bottom"/>
          </w:tcPr>
          <w:p w:rsidR="00147603" w:rsidRPr="00147603" w:rsidRDefault="00147603" w:rsidP="00147603">
            <w:pPr>
              <w:pStyle w:val="Tabele"/>
              <w:rPr>
                <w:sz w:val="12"/>
              </w:rPr>
            </w:pP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nil"/>
              <w:bottom w:val="nil"/>
              <w:right w:val="nil"/>
            </w:tcBorders>
            <w:noWrap/>
            <w:vAlign w:val="bottom"/>
          </w:tcPr>
          <w:p w:rsidR="00147603" w:rsidRPr="00147603" w:rsidRDefault="00147603" w:rsidP="00147603">
            <w:pPr>
              <w:pStyle w:val="Tabele"/>
              <w:rPr>
                <w:sz w:val="12"/>
              </w:rPr>
            </w:pPr>
          </w:p>
        </w:tc>
      </w:tr>
      <w:tr w:rsidR="00147603" w:rsidRPr="00147603" w:rsidTr="00147603">
        <w:trPr>
          <w:trHeight w:val="139"/>
        </w:trPr>
        <w:tc>
          <w:tcPr>
            <w:tcW w:w="3374" w:type="pct"/>
            <w:tcBorders>
              <w:top w:val="single" w:sz="8" w:space="0" w:color="auto"/>
              <w:left w:val="single" w:sz="8" w:space="0" w:color="auto"/>
              <w:bottom w:val="single" w:sz="8" w:space="0" w:color="auto"/>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POZICIONI  NETO  I  OPSIONEVE</w:t>
            </w:r>
          </w:p>
        </w:tc>
        <w:tc>
          <w:tcPr>
            <w:tcW w:w="301" w:type="pct"/>
            <w:tcBorders>
              <w:top w:val="single" w:sz="8" w:space="0" w:color="auto"/>
              <w:left w:val="single" w:sz="8" w:space="0" w:color="auto"/>
              <w:bottom w:val="single" w:sz="8" w:space="0" w:color="auto"/>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USD </w:t>
            </w:r>
          </w:p>
        </w:tc>
        <w:tc>
          <w:tcPr>
            <w:tcW w:w="375" w:type="pct"/>
            <w:tcBorders>
              <w:top w:val="single" w:sz="8" w:space="0" w:color="auto"/>
              <w:left w:val="nil"/>
              <w:bottom w:val="single" w:sz="8" w:space="0" w:color="auto"/>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EURO </w:t>
            </w:r>
          </w:p>
        </w:tc>
        <w:tc>
          <w:tcPr>
            <w:tcW w:w="237" w:type="pct"/>
            <w:tcBorders>
              <w:top w:val="single" w:sz="8" w:space="0" w:color="auto"/>
              <w:left w:val="nil"/>
              <w:bottom w:val="single" w:sz="8" w:space="0" w:color="auto"/>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 </w:t>
            </w:r>
          </w:p>
        </w:tc>
        <w:tc>
          <w:tcPr>
            <w:tcW w:w="256" w:type="pct"/>
            <w:tcBorders>
              <w:top w:val="single" w:sz="8" w:space="0" w:color="auto"/>
              <w:left w:val="nil"/>
              <w:bottom w:val="single" w:sz="8" w:space="0" w:color="auto"/>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AR </w:t>
            </w:r>
          </w:p>
        </w:tc>
        <w:tc>
          <w:tcPr>
            <w:tcW w:w="457" w:type="pct"/>
            <w:tcBorders>
              <w:top w:val="single" w:sz="8" w:space="0" w:color="auto"/>
              <w:left w:val="nil"/>
              <w:bottom w:val="single" w:sz="8" w:space="0" w:color="auto"/>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TOTALI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1. Blerje opsioni CALL</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2. Shitje opsioni PUT</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vAlign w:val="bottom"/>
          </w:tcPr>
          <w:p w:rsidR="00147603" w:rsidRPr="00147603" w:rsidRDefault="00147603" w:rsidP="00147603">
            <w:pPr>
              <w:pStyle w:val="Tabele"/>
              <w:rPr>
                <w:sz w:val="12"/>
              </w:rPr>
            </w:pPr>
            <w:r w:rsidRPr="00147603">
              <w:rPr>
                <w:sz w:val="12"/>
              </w:rPr>
              <w:t>3. Shitje opsioni CALL</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nil"/>
              <w:right w:val="single" w:sz="4" w:space="0" w:color="auto"/>
            </w:tcBorders>
            <w:vAlign w:val="bottom"/>
          </w:tcPr>
          <w:p w:rsidR="00147603" w:rsidRPr="00147603" w:rsidRDefault="00147603" w:rsidP="00147603">
            <w:pPr>
              <w:pStyle w:val="Tabele"/>
              <w:rPr>
                <w:sz w:val="12"/>
              </w:rPr>
            </w:pPr>
            <w:r w:rsidRPr="00147603">
              <w:rPr>
                <w:sz w:val="12"/>
              </w:rPr>
              <w:t>4. Blerje opsioni PUT</w:t>
            </w:r>
          </w:p>
        </w:tc>
        <w:tc>
          <w:tcPr>
            <w:tcW w:w="301"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nil"/>
              <w:left w:val="nil"/>
              <w:bottom w:val="nil"/>
              <w:right w:val="nil"/>
            </w:tcBorders>
            <w:noWrap/>
            <w:vAlign w:val="bottom"/>
          </w:tcPr>
          <w:p w:rsidR="00147603" w:rsidRPr="00147603" w:rsidRDefault="00147603" w:rsidP="00147603">
            <w:pPr>
              <w:pStyle w:val="Tabele"/>
              <w:rPr>
                <w:sz w:val="12"/>
              </w:rPr>
            </w:pPr>
          </w:p>
        </w:tc>
        <w:tc>
          <w:tcPr>
            <w:tcW w:w="457"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single" w:sz="8" w:space="0" w:color="auto"/>
              <w:left w:val="single" w:sz="8"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Pozicioni neto i opsioneve (1+2)-(3+4)</w:t>
            </w:r>
          </w:p>
        </w:tc>
        <w:tc>
          <w:tcPr>
            <w:tcW w:w="301"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75"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37"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256" w:type="pct"/>
            <w:tcBorders>
              <w:top w:val="single" w:sz="8" w:space="0" w:color="auto"/>
              <w:left w:val="nil"/>
              <w:bottom w:val="single" w:sz="4" w:space="0" w:color="auto"/>
              <w:right w:val="nil"/>
            </w:tcBorders>
            <w:noWrap/>
            <w:vAlign w:val="bottom"/>
          </w:tcPr>
          <w:p w:rsidR="00147603" w:rsidRPr="00147603" w:rsidRDefault="00147603" w:rsidP="00147603">
            <w:pPr>
              <w:pStyle w:val="Tabele"/>
              <w:rPr>
                <w:sz w:val="12"/>
              </w:rPr>
            </w:pPr>
            <w:r w:rsidRPr="00147603">
              <w:rPr>
                <w:sz w:val="12"/>
              </w:rPr>
              <w:t> </w:t>
            </w:r>
          </w:p>
        </w:tc>
        <w:tc>
          <w:tcPr>
            <w:tcW w:w="457" w:type="pct"/>
            <w:tcBorders>
              <w:top w:val="single" w:sz="8" w:space="0" w:color="auto"/>
              <w:left w:val="single" w:sz="4" w:space="0" w:color="auto"/>
              <w:bottom w:val="single" w:sz="4" w:space="0" w:color="auto"/>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trPr>
        <w:tc>
          <w:tcPr>
            <w:tcW w:w="3374" w:type="pct"/>
            <w:tcBorders>
              <w:top w:val="nil"/>
              <w:left w:val="single" w:sz="8" w:space="0" w:color="auto"/>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Pozicioni neto i opsioneve  (kundëvlera në milionë lekë)</w:t>
            </w:r>
          </w:p>
        </w:tc>
        <w:tc>
          <w:tcPr>
            <w:tcW w:w="301"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75"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37"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256" w:type="pct"/>
            <w:tcBorders>
              <w:top w:val="nil"/>
              <w:left w:val="nil"/>
              <w:bottom w:val="single" w:sz="8"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457" w:type="pct"/>
            <w:tcBorders>
              <w:top w:val="nil"/>
              <w:left w:val="single" w:sz="4" w:space="0" w:color="auto"/>
              <w:bottom w:val="single" w:sz="8" w:space="0" w:color="auto"/>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bl>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sectPr w:rsidR="00147603" w:rsidSect="00147603">
          <w:pgSz w:w="15840" w:h="12240" w:orient="landscape" w:code="1"/>
          <w:pgMar w:top="1418" w:right="1418" w:bottom="1418" w:left="1418" w:header="1304" w:footer="1134" w:gutter="0"/>
          <w:cols w:space="720"/>
          <w:docGrid w:linePitch="360"/>
        </w:sectPr>
      </w:pPr>
    </w:p>
    <w:tbl>
      <w:tblPr>
        <w:tblW w:w="0" w:type="auto"/>
        <w:jc w:val="center"/>
        <w:tblLook w:val="0000" w:firstRow="0" w:lastRow="0" w:firstColumn="0" w:lastColumn="0" w:noHBand="0" w:noVBand="0"/>
      </w:tblPr>
      <w:tblGrid>
        <w:gridCol w:w="2983"/>
        <w:gridCol w:w="537"/>
        <w:gridCol w:w="94"/>
        <w:gridCol w:w="515"/>
        <w:gridCol w:w="476"/>
        <w:gridCol w:w="475"/>
        <w:gridCol w:w="799"/>
        <w:gridCol w:w="598"/>
        <w:gridCol w:w="596"/>
        <w:gridCol w:w="477"/>
        <w:gridCol w:w="531"/>
        <w:gridCol w:w="775"/>
      </w:tblGrid>
      <w:tr w:rsidR="00147603" w:rsidRPr="00147603" w:rsidTr="00147603">
        <w:trPr>
          <w:trHeight w:val="139"/>
          <w:jc w:val="center"/>
        </w:trPr>
        <w:tc>
          <w:tcPr>
            <w:tcW w:w="0" w:type="auto"/>
            <w:tcBorders>
              <w:top w:val="nil"/>
              <w:left w:val="nil"/>
              <w:bottom w:val="nil"/>
              <w:right w:val="nil"/>
            </w:tcBorders>
            <w:noWrap/>
            <w:vAlign w:val="bottom"/>
          </w:tcPr>
          <w:p w:rsidR="00147603" w:rsidRPr="00147603" w:rsidRDefault="00147603" w:rsidP="00147603">
            <w:pPr>
              <w:pStyle w:val="Tabele"/>
              <w:rPr>
                <w:sz w:val="12"/>
              </w:rPr>
            </w:pPr>
            <w:r w:rsidRPr="00147603">
              <w:rPr>
                <w:sz w:val="12"/>
              </w:rPr>
              <w:t>Formulari 4</w:t>
            </w:r>
          </w:p>
        </w:tc>
        <w:tc>
          <w:tcPr>
            <w:tcW w:w="0" w:type="auto"/>
            <w:gridSpan w:val="2"/>
            <w:tcBorders>
              <w:top w:val="nil"/>
              <w:left w:val="nil"/>
              <w:bottom w:val="nil"/>
              <w:right w:val="nil"/>
            </w:tcBorders>
            <w:noWrap/>
            <w:vAlign w:val="bottom"/>
          </w:tcPr>
          <w:p w:rsidR="00147603" w:rsidRPr="00147603" w:rsidRDefault="00147603" w:rsidP="00147603">
            <w:pPr>
              <w:pStyle w:val="Tabele"/>
              <w:rPr>
                <w:sz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rPr>
            </w:pPr>
          </w:p>
        </w:tc>
      </w:tr>
      <w:tr w:rsidR="00147603" w:rsidRPr="00147603" w:rsidTr="00147603">
        <w:trPr>
          <w:trHeight w:val="139"/>
          <w:jc w:val="center"/>
        </w:trPr>
        <w:tc>
          <w:tcPr>
            <w:tcW w:w="0" w:type="auto"/>
            <w:tcBorders>
              <w:top w:val="nil"/>
              <w:left w:val="nil"/>
              <w:bottom w:val="nil"/>
              <w:right w:val="nil"/>
            </w:tcBorders>
            <w:noWrap/>
            <w:vAlign w:val="bottom"/>
          </w:tcPr>
          <w:p w:rsidR="00147603" w:rsidRPr="00147603" w:rsidRDefault="00147603" w:rsidP="00147603">
            <w:pPr>
              <w:pStyle w:val="Tabele"/>
              <w:rPr>
                <w:sz w:val="12"/>
              </w:rPr>
            </w:pPr>
          </w:p>
        </w:tc>
        <w:tc>
          <w:tcPr>
            <w:tcW w:w="0" w:type="auto"/>
            <w:gridSpan w:val="2"/>
            <w:tcBorders>
              <w:top w:val="nil"/>
              <w:left w:val="nil"/>
              <w:bottom w:val="nil"/>
              <w:right w:val="nil"/>
            </w:tcBorders>
            <w:noWrap/>
            <w:vAlign w:val="bottom"/>
          </w:tcPr>
          <w:p w:rsidR="00147603" w:rsidRPr="00147603" w:rsidRDefault="00147603" w:rsidP="00147603">
            <w:pPr>
              <w:pStyle w:val="Tabele"/>
              <w:rPr>
                <w:sz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rPr>
            </w:pPr>
          </w:p>
        </w:tc>
      </w:tr>
      <w:tr w:rsidR="00147603" w:rsidRPr="00147603" w:rsidTr="00147603">
        <w:trPr>
          <w:trHeight w:val="139"/>
          <w:jc w:val="center"/>
        </w:trPr>
        <w:tc>
          <w:tcPr>
            <w:tcW w:w="0" w:type="auto"/>
            <w:tcBorders>
              <w:top w:val="single" w:sz="8" w:space="0" w:color="auto"/>
              <w:left w:val="single" w:sz="8" w:space="0" w:color="auto"/>
              <w:bottom w:val="nil"/>
              <w:right w:val="nil"/>
            </w:tcBorders>
            <w:shd w:val="clear" w:color="auto" w:fill="C0C0C0"/>
            <w:noWrap/>
            <w:vAlign w:val="center"/>
          </w:tcPr>
          <w:p w:rsidR="00147603" w:rsidRPr="00147603" w:rsidRDefault="00147603" w:rsidP="00147603">
            <w:pPr>
              <w:pStyle w:val="Tabele"/>
              <w:rPr>
                <w:sz w:val="12"/>
              </w:rPr>
            </w:pPr>
            <w:r w:rsidRPr="00147603">
              <w:rPr>
                <w:sz w:val="12"/>
              </w:rPr>
              <w:t>POZICIONET E HAPURA VALUTORE</w:t>
            </w:r>
          </w:p>
        </w:tc>
        <w:tc>
          <w:tcPr>
            <w:tcW w:w="0" w:type="auto"/>
            <w:gridSpan w:val="3"/>
            <w:tcBorders>
              <w:top w:val="single" w:sz="8" w:space="0" w:color="auto"/>
              <w:left w:val="single" w:sz="8" w:space="0" w:color="auto"/>
              <w:bottom w:val="single" w:sz="8" w:space="0" w:color="auto"/>
              <w:right w:val="single" w:sz="8" w:space="0" w:color="000000"/>
            </w:tcBorders>
            <w:shd w:val="clear" w:color="auto" w:fill="C0C0C0"/>
            <w:noWrap/>
            <w:vAlign w:val="center"/>
          </w:tcPr>
          <w:p w:rsidR="00147603" w:rsidRPr="00147603" w:rsidRDefault="00147603" w:rsidP="00147603">
            <w:pPr>
              <w:pStyle w:val="Tabele"/>
              <w:rPr>
                <w:sz w:val="12"/>
              </w:rPr>
            </w:pPr>
            <w:r w:rsidRPr="00147603">
              <w:rPr>
                <w:sz w:val="12"/>
              </w:rPr>
              <w:t xml:space="preserve">   Pozicioni SPOT </w:t>
            </w:r>
          </w:p>
        </w:tc>
        <w:tc>
          <w:tcPr>
            <w:tcW w:w="0" w:type="auto"/>
            <w:gridSpan w:val="2"/>
            <w:tcBorders>
              <w:top w:val="single" w:sz="8" w:space="0" w:color="auto"/>
              <w:left w:val="nil"/>
              <w:bottom w:val="single" w:sz="8" w:space="0" w:color="auto"/>
              <w:right w:val="single" w:sz="8" w:space="0" w:color="000000"/>
            </w:tcBorders>
            <w:shd w:val="clear" w:color="auto" w:fill="C0C0C0"/>
            <w:noWrap/>
            <w:vAlign w:val="center"/>
          </w:tcPr>
          <w:p w:rsidR="00147603" w:rsidRPr="00147603" w:rsidRDefault="00147603" w:rsidP="00147603">
            <w:pPr>
              <w:pStyle w:val="Tabele"/>
              <w:rPr>
                <w:sz w:val="12"/>
              </w:rPr>
            </w:pPr>
            <w:r w:rsidRPr="00147603">
              <w:rPr>
                <w:sz w:val="12"/>
              </w:rPr>
              <w:t xml:space="preserve"> Pozicioni FORWARD </w:t>
            </w:r>
          </w:p>
        </w:tc>
        <w:tc>
          <w:tcPr>
            <w:tcW w:w="0" w:type="auto"/>
            <w:tcBorders>
              <w:top w:val="single" w:sz="8" w:space="0" w:color="auto"/>
              <w:left w:val="nil"/>
              <w:bottom w:val="nil"/>
              <w:right w:val="single" w:sz="8" w:space="0" w:color="auto"/>
            </w:tcBorders>
            <w:shd w:val="clear" w:color="auto" w:fill="C0C0C0"/>
            <w:vAlign w:val="center"/>
          </w:tcPr>
          <w:p w:rsidR="00147603" w:rsidRPr="00147603" w:rsidRDefault="00147603" w:rsidP="00147603">
            <w:pPr>
              <w:pStyle w:val="Tabele"/>
              <w:rPr>
                <w:sz w:val="12"/>
                <w:lang w:val="it-IT"/>
              </w:rPr>
            </w:pPr>
            <w:r w:rsidRPr="00147603">
              <w:rPr>
                <w:sz w:val="12"/>
                <w:lang w:val="it-IT"/>
              </w:rPr>
              <w:t xml:space="preserve"> Pozicioni neto i hapur valutor </w:t>
            </w:r>
          </w:p>
        </w:tc>
        <w:tc>
          <w:tcPr>
            <w:tcW w:w="0" w:type="auto"/>
            <w:tcBorders>
              <w:top w:val="single" w:sz="8" w:space="0" w:color="auto"/>
              <w:left w:val="nil"/>
              <w:bottom w:val="nil"/>
              <w:right w:val="single" w:sz="8" w:space="0" w:color="auto"/>
            </w:tcBorders>
            <w:shd w:val="clear" w:color="auto" w:fill="C0C0C0"/>
            <w:vAlign w:val="center"/>
          </w:tcPr>
          <w:p w:rsidR="00147603" w:rsidRPr="00147603" w:rsidRDefault="00147603" w:rsidP="00147603">
            <w:pPr>
              <w:pStyle w:val="Tabele"/>
              <w:rPr>
                <w:sz w:val="12"/>
              </w:rPr>
            </w:pPr>
            <w:r w:rsidRPr="00147603">
              <w:rPr>
                <w:sz w:val="12"/>
                <w:lang w:val="it-IT"/>
              </w:rPr>
              <w:t xml:space="preserve"> </w:t>
            </w:r>
            <w:r w:rsidRPr="00147603">
              <w:rPr>
                <w:sz w:val="12"/>
              </w:rPr>
              <w:t xml:space="preserve">Pozicioni neto  </w:t>
            </w:r>
          </w:p>
        </w:tc>
        <w:tc>
          <w:tcPr>
            <w:tcW w:w="0" w:type="auto"/>
            <w:tcBorders>
              <w:top w:val="single" w:sz="8" w:space="0" w:color="auto"/>
              <w:left w:val="nil"/>
              <w:bottom w:val="nil"/>
              <w:right w:val="single" w:sz="8" w:space="0" w:color="auto"/>
            </w:tcBorders>
            <w:shd w:val="clear" w:color="auto" w:fill="C0C0C0"/>
            <w:vAlign w:val="center"/>
          </w:tcPr>
          <w:p w:rsidR="00147603" w:rsidRPr="00147603" w:rsidRDefault="00147603" w:rsidP="00147603">
            <w:pPr>
              <w:pStyle w:val="Tabele"/>
              <w:rPr>
                <w:sz w:val="12"/>
                <w:lang w:val="it-IT"/>
              </w:rPr>
            </w:pPr>
            <w:r w:rsidRPr="00147603">
              <w:rPr>
                <w:sz w:val="12"/>
                <w:lang w:val="it-IT"/>
              </w:rPr>
              <w:t xml:space="preserve"> Pozicioni neto i hapur valutor </w:t>
            </w:r>
          </w:p>
        </w:tc>
        <w:tc>
          <w:tcPr>
            <w:tcW w:w="0" w:type="auto"/>
            <w:tcBorders>
              <w:top w:val="single" w:sz="8" w:space="0" w:color="auto"/>
              <w:left w:val="nil"/>
              <w:bottom w:val="nil"/>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Kursi </w:t>
            </w:r>
          </w:p>
        </w:tc>
        <w:tc>
          <w:tcPr>
            <w:tcW w:w="0" w:type="auto"/>
            <w:tcBorders>
              <w:top w:val="single" w:sz="8" w:space="0" w:color="auto"/>
              <w:left w:val="nil"/>
              <w:bottom w:val="nil"/>
              <w:right w:val="single" w:sz="8" w:space="0" w:color="auto"/>
            </w:tcBorders>
            <w:shd w:val="clear" w:color="auto" w:fill="C0C0C0"/>
            <w:vAlign w:val="center"/>
          </w:tcPr>
          <w:p w:rsidR="00147603" w:rsidRPr="00147603" w:rsidRDefault="00147603" w:rsidP="00147603">
            <w:pPr>
              <w:pStyle w:val="Tabele"/>
              <w:rPr>
                <w:sz w:val="12"/>
              </w:rPr>
            </w:pPr>
            <w:r w:rsidRPr="00147603">
              <w:rPr>
                <w:sz w:val="12"/>
              </w:rPr>
              <w:t>Ekuivalenti në</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C0C0C0"/>
            <w:vAlign w:val="center"/>
          </w:tcPr>
          <w:p w:rsidR="00147603" w:rsidRPr="00147603" w:rsidRDefault="00147603" w:rsidP="00147603">
            <w:pPr>
              <w:pStyle w:val="Tabele"/>
              <w:rPr>
                <w:sz w:val="12"/>
                <w:lang w:val="it-IT"/>
              </w:rPr>
            </w:pPr>
            <w:r w:rsidRPr="00147603">
              <w:rPr>
                <w:sz w:val="12"/>
                <w:lang w:val="it-IT"/>
              </w:rPr>
              <w:t>Pozicioni neto i hapur valutor në lek    /  Kapitalit rregullator</w:t>
            </w:r>
          </w:p>
        </w:tc>
      </w:tr>
      <w:tr w:rsidR="00147603" w:rsidRPr="00147603" w:rsidTr="00147603">
        <w:trPr>
          <w:trHeight w:val="139"/>
          <w:jc w:val="center"/>
        </w:trPr>
        <w:tc>
          <w:tcPr>
            <w:tcW w:w="0" w:type="auto"/>
            <w:vMerge w:val="restart"/>
            <w:tcBorders>
              <w:top w:val="nil"/>
              <w:left w:val="single" w:sz="8" w:space="0" w:color="auto"/>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Monedha</w:t>
            </w:r>
          </w:p>
        </w:tc>
        <w:tc>
          <w:tcPr>
            <w:tcW w:w="0" w:type="auto"/>
            <w:vMerge w:val="restart"/>
            <w:tcBorders>
              <w:top w:val="nil"/>
              <w:left w:val="single" w:sz="8" w:space="0" w:color="auto"/>
              <w:bottom w:val="single" w:sz="8" w:space="0" w:color="000000"/>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Mjetet </w:t>
            </w:r>
          </w:p>
        </w:tc>
        <w:tc>
          <w:tcPr>
            <w:tcW w:w="0" w:type="auto"/>
            <w:gridSpan w:val="2"/>
            <w:vMerge w:val="restart"/>
            <w:tcBorders>
              <w:top w:val="nil"/>
              <w:left w:val="single" w:sz="4" w:space="0" w:color="auto"/>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Detyrimet </w:t>
            </w:r>
          </w:p>
        </w:tc>
        <w:tc>
          <w:tcPr>
            <w:tcW w:w="0" w:type="auto"/>
            <w:tcBorders>
              <w:top w:val="nil"/>
              <w:left w:val="nil"/>
              <w:bottom w:val="nil"/>
              <w:right w:val="single" w:sz="4" w:space="0" w:color="auto"/>
            </w:tcBorders>
            <w:shd w:val="clear" w:color="auto" w:fill="C0C0C0"/>
            <w:vAlign w:val="center"/>
          </w:tcPr>
          <w:p w:rsidR="00147603" w:rsidRPr="00147603" w:rsidRDefault="00147603" w:rsidP="00147603">
            <w:pPr>
              <w:pStyle w:val="Tabele"/>
              <w:rPr>
                <w:sz w:val="12"/>
              </w:rPr>
            </w:pPr>
            <w:r w:rsidRPr="00147603">
              <w:rPr>
                <w:sz w:val="12"/>
              </w:rPr>
              <w:t xml:space="preserve"> Pozicioni në blerje </w:t>
            </w:r>
          </w:p>
        </w:tc>
        <w:tc>
          <w:tcPr>
            <w:tcW w:w="0" w:type="auto"/>
            <w:tcBorders>
              <w:top w:val="nil"/>
              <w:left w:val="nil"/>
              <w:bottom w:val="nil"/>
              <w:right w:val="single" w:sz="8" w:space="0" w:color="auto"/>
            </w:tcBorders>
            <w:shd w:val="clear" w:color="auto" w:fill="C0C0C0"/>
            <w:vAlign w:val="center"/>
          </w:tcPr>
          <w:p w:rsidR="00147603" w:rsidRPr="00147603" w:rsidRDefault="00147603" w:rsidP="00147603">
            <w:pPr>
              <w:pStyle w:val="Tabele"/>
              <w:rPr>
                <w:sz w:val="12"/>
              </w:rPr>
            </w:pPr>
            <w:r w:rsidRPr="00147603">
              <w:rPr>
                <w:sz w:val="12"/>
              </w:rPr>
              <w:t xml:space="preserve"> Pozicioni në shitje </w:t>
            </w:r>
          </w:p>
        </w:tc>
        <w:tc>
          <w:tcPr>
            <w:tcW w:w="0" w:type="auto"/>
            <w:vMerge w:val="restart"/>
            <w:tcBorders>
              <w:top w:val="nil"/>
              <w:left w:val="single" w:sz="8" w:space="0" w:color="auto"/>
              <w:bottom w:val="single" w:sz="8" w:space="0" w:color="000000"/>
              <w:right w:val="single" w:sz="8" w:space="0" w:color="auto"/>
            </w:tcBorders>
            <w:shd w:val="clear" w:color="auto" w:fill="C0C0C0"/>
            <w:vAlign w:val="center"/>
          </w:tcPr>
          <w:p w:rsidR="00147603" w:rsidRPr="00147603" w:rsidRDefault="00147603" w:rsidP="00147603">
            <w:pPr>
              <w:pStyle w:val="Tabele"/>
              <w:rPr>
                <w:sz w:val="12"/>
              </w:rPr>
            </w:pPr>
            <w:r w:rsidRPr="00147603">
              <w:rPr>
                <w:sz w:val="12"/>
              </w:rPr>
              <w:t xml:space="preserve"> (pa përfshirë OPSIONET) </w:t>
            </w:r>
          </w:p>
        </w:tc>
        <w:tc>
          <w:tcPr>
            <w:tcW w:w="0" w:type="auto"/>
            <w:tcBorders>
              <w:top w:val="nil"/>
              <w:left w:val="nil"/>
              <w:bottom w:val="nil"/>
              <w:right w:val="single" w:sz="8" w:space="0" w:color="auto"/>
            </w:tcBorders>
            <w:shd w:val="clear" w:color="auto" w:fill="C0C0C0"/>
            <w:vAlign w:val="center"/>
          </w:tcPr>
          <w:p w:rsidR="00147603" w:rsidRPr="00147603" w:rsidRDefault="00147603" w:rsidP="00147603">
            <w:pPr>
              <w:pStyle w:val="Tabele"/>
              <w:rPr>
                <w:sz w:val="12"/>
              </w:rPr>
            </w:pPr>
            <w:r w:rsidRPr="00147603">
              <w:rPr>
                <w:sz w:val="12"/>
              </w:rPr>
              <w:t xml:space="preserve"> i </w:t>
            </w:r>
          </w:p>
        </w:tc>
        <w:tc>
          <w:tcPr>
            <w:tcW w:w="0" w:type="auto"/>
            <w:vMerge w:val="restart"/>
            <w:tcBorders>
              <w:top w:val="nil"/>
              <w:left w:val="single" w:sz="8" w:space="0" w:color="auto"/>
              <w:bottom w:val="single" w:sz="8" w:space="0" w:color="000000"/>
              <w:right w:val="single" w:sz="8" w:space="0" w:color="auto"/>
            </w:tcBorders>
            <w:shd w:val="clear" w:color="auto" w:fill="C0C0C0"/>
            <w:vAlign w:val="center"/>
          </w:tcPr>
          <w:p w:rsidR="00147603" w:rsidRPr="00147603" w:rsidRDefault="00147603" w:rsidP="00147603">
            <w:pPr>
              <w:pStyle w:val="Tabele"/>
              <w:rPr>
                <w:sz w:val="12"/>
              </w:rPr>
            </w:pPr>
            <w:r w:rsidRPr="00147603">
              <w:rPr>
                <w:sz w:val="12"/>
              </w:rPr>
              <w:t xml:space="preserve"> (duke përfshirë OPSIONET) </w:t>
            </w:r>
          </w:p>
        </w:tc>
        <w:tc>
          <w:tcPr>
            <w:tcW w:w="0" w:type="auto"/>
            <w:tcBorders>
              <w:top w:val="nil"/>
              <w:left w:val="nil"/>
              <w:bottom w:val="nil"/>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i</w:t>
            </w:r>
          </w:p>
        </w:tc>
        <w:tc>
          <w:tcPr>
            <w:tcW w:w="0" w:type="auto"/>
            <w:tcBorders>
              <w:top w:val="nil"/>
              <w:left w:val="nil"/>
              <w:bottom w:val="nil"/>
              <w:right w:val="single" w:sz="8" w:space="0" w:color="auto"/>
            </w:tcBorders>
            <w:shd w:val="clear" w:color="auto" w:fill="C0C0C0"/>
            <w:vAlign w:val="center"/>
          </w:tcPr>
          <w:p w:rsidR="00147603" w:rsidRPr="00147603" w:rsidRDefault="00147603" w:rsidP="00147603">
            <w:pPr>
              <w:pStyle w:val="Tabele"/>
              <w:rPr>
                <w:sz w:val="12"/>
              </w:rPr>
            </w:pPr>
            <w:r w:rsidRPr="00147603">
              <w:rPr>
                <w:sz w:val="12"/>
              </w:rPr>
              <w:t>Lek i pozicionit</w:t>
            </w:r>
          </w:p>
        </w:tc>
        <w:tc>
          <w:tcPr>
            <w:tcW w:w="0" w:type="auto"/>
            <w:vMerge/>
            <w:tcBorders>
              <w:top w:val="single" w:sz="8" w:space="0" w:color="auto"/>
              <w:left w:val="single" w:sz="8" w:space="0" w:color="auto"/>
              <w:bottom w:val="single" w:sz="8" w:space="0" w:color="000000"/>
              <w:right w:val="single" w:sz="8" w:space="0" w:color="auto"/>
            </w:tcBorders>
            <w:vAlign w:val="center"/>
          </w:tcPr>
          <w:p w:rsidR="00147603" w:rsidRPr="00147603" w:rsidRDefault="00147603" w:rsidP="00147603">
            <w:pPr>
              <w:pStyle w:val="Tabele"/>
              <w:rPr>
                <w:sz w:val="12"/>
              </w:rPr>
            </w:pPr>
          </w:p>
        </w:tc>
      </w:tr>
      <w:tr w:rsidR="00147603" w:rsidRPr="00147603" w:rsidTr="00147603">
        <w:trPr>
          <w:trHeight w:val="139"/>
          <w:jc w:val="center"/>
        </w:trPr>
        <w:tc>
          <w:tcPr>
            <w:tcW w:w="0" w:type="auto"/>
            <w:vMerge/>
            <w:tcBorders>
              <w:top w:val="nil"/>
              <w:left w:val="single" w:sz="8" w:space="0" w:color="auto"/>
              <w:bottom w:val="single" w:sz="8" w:space="0" w:color="000000"/>
              <w:right w:val="single" w:sz="8" w:space="0" w:color="auto"/>
            </w:tcBorders>
            <w:vAlign w:val="center"/>
          </w:tcPr>
          <w:p w:rsidR="00147603" w:rsidRPr="00147603" w:rsidRDefault="00147603" w:rsidP="00147603">
            <w:pPr>
              <w:pStyle w:val="Tabele"/>
              <w:rPr>
                <w:sz w:val="12"/>
              </w:rPr>
            </w:pPr>
          </w:p>
        </w:tc>
        <w:tc>
          <w:tcPr>
            <w:tcW w:w="0" w:type="auto"/>
            <w:vMerge/>
            <w:tcBorders>
              <w:top w:val="nil"/>
              <w:left w:val="single" w:sz="8" w:space="0" w:color="auto"/>
              <w:bottom w:val="single" w:sz="8" w:space="0" w:color="000000"/>
              <w:right w:val="single" w:sz="4" w:space="0" w:color="auto"/>
            </w:tcBorders>
            <w:vAlign w:val="center"/>
          </w:tcPr>
          <w:p w:rsidR="00147603" w:rsidRPr="00147603" w:rsidRDefault="00147603" w:rsidP="00147603">
            <w:pPr>
              <w:pStyle w:val="Tabele"/>
              <w:rPr>
                <w:sz w:val="12"/>
              </w:rPr>
            </w:pPr>
          </w:p>
        </w:tc>
        <w:tc>
          <w:tcPr>
            <w:tcW w:w="0" w:type="auto"/>
            <w:gridSpan w:val="2"/>
            <w:vMerge/>
            <w:tcBorders>
              <w:top w:val="nil"/>
              <w:left w:val="single" w:sz="4" w:space="0" w:color="auto"/>
              <w:bottom w:val="single" w:sz="8" w:space="0" w:color="000000"/>
              <w:right w:val="single" w:sz="8" w:space="0" w:color="auto"/>
            </w:tcBorders>
            <w:vAlign w:val="center"/>
          </w:tcPr>
          <w:p w:rsidR="00147603" w:rsidRPr="00147603" w:rsidRDefault="00147603" w:rsidP="00147603">
            <w:pPr>
              <w:pStyle w:val="Tabele"/>
              <w:rPr>
                <w:sz w:val="12"/>
              </w:rPr>
            </w:pPr>
          </w:p>
        </w:tc>
        <w:tc>
          <w:tcPr>
            <w:tcW w:w="0" w:type="auto"/>
            <w:tcBorders>
              <w:top w:val="nil"/>
              <w:left w:val="nil"/>
              <w:bottom w:val="single" w:sz="8" w:space="0" w:color="auto"/>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(long) </w:t>
            </w:r>
          </w:p>
        </w:tc>
        <w:tc>
          <w:tcPr>
            <w:tcW w:w="0" w:type="auto"/>
            <w:tcBorders>
              <w:top w:val="nil"/>
              <w:left w:val="nil"/>
              <w:bottom w:val="single" w:sz="8" w:space="0" w:color="auto"/>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(short) </w:t>
            </w:r>
          </w:p>
        </w:tc>
        <w:tc>
          <w:tcPr>
            <w:tcW w:w="0" w:type="auto"/>
            <w:vMerge/>
            <w:tcBorders>
              <w:top w:val="nil"/>
              <w:left w:val="single" w:sz="8" w:space="0" w:color="auto"/>
              <w:bottom w:val="single" w:sz="8" w:space="0" w:color="000000"/>
              <w:right w:val="single" w:sz="8" w:space="0" w:color="auto"/>
            </w:tcBorders>
            <w:vAlign w:val="center"/>
          </w:tcPr>
          <w:p w:rsidR="00147603" w:rsidRPr="00147603" w:rsidRDefault="00147603" w:rsidP="00147603">
            <w:pPr>
              <w:pStyle w:val="Tabele"/>
              <w:rPr>
                <w:sz w:val="12"/>
              </w:rPr>
            </w:pPr>
          </w:p>
        </w:tc>
        <w:tc>
          <w:tcPr>
            <w:tcW w:w="0" w:type="auto"/>
            <w:tcBorders>
              <w:top w:val="nil"/>
              <w:left w:val="nil"/>
              <w:bottom w:val="single" w:sz="8" w:space="0" w:color="auto"/>
              <w:right w:val="single" w:sz="8" w:space="0" w:color="auto"/>
            </w:tcBorders>
            <w:shd w:val="clear" w:color="auto" w:fill="C0C0C0"/>
            <w:vAlign w:val="center"/>
          </w:tcPr>
          <w:p w:rsidR="00147603" w:rsidRPr="00147603" w:rsidRDefault="00147603" w:rsidP="00147603">
            <w:pPr>
              <w:pStyle w:val="Tabele"/>
              <w:rPr>
                <w:sz w:val="12"/>
              </w:rPr>
            </w:pPr>
            <w:r w:rsidRPr="00147603">
              <w:rPr>
                <w:sz w:val="12"/>
              </w:rPr>
              <w:t xml:space="preserve"> OPSIONEVE </w:t>
            </w:r>
          </w:p>
        </w:tc>
        <w:tc>
          <w:tcPr>
            <w:tcW w:w="0" w:type="auto"/>
            <w:vMerge/>
            <w:tcBorders>
              <w:top w:val="nil"/>
              <w:left w:val="single" w:sz="8" w:space="0" w:color="auto"/>
              <w:bottom w:val="single" w:sz="8" w:space="0" w:color="000000"/>
              <w:right w:val="single" w:sz="8" w:space="0" w:color="auto"/>
            </w:tcBorders>
            <w:vAlign w:val="center"/>
          </w:tcPr>
          <w:p w:rsidR="00147603" w:rsidRPr="00147603" w:rsidRDefault="00147603" w:rsidP="00147603">
            <w:pPr>
              <w:pStyle w:val="Tabele"/>
              <w:rPr>
                <w:sz w:val="12"/>
              </w:rPr>
            </w:pPr>
          </w:p>
        </w:tc>
        <w:tc>
          <w:tcPr>
            <w:tcW w:w="0" w:type="auto"/>
            <w:tcBorders>
              <w:top w:val="nil"/>
              <w:left w:val="nil"/>
              <w:bottom w:val="single" w:sz="8" w:space="0" w:color="auto"/>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këmbimit</w:t>
            </w:r>
          </w:p>
        </w:tc>
        <w:tc>
          <w:tcPr>
            <w:tcW w:w="0" w:type="auto"/>
            <w:tcBorders>
              <w:top w:val="nil"/>
              <w:left w:val="nil"/>
              <w:bottom w:val="single" w:sz="8" w:space="0" w:color="auto"/>
              <w:right w:val="single" w:sz="8" w:space="0" w:color="auto"/>
            </w:tcBorders>
            <w:shd w:val="clear" w:color="auto" w:fill="C0C0C0"/>
            <w:vAlign w:val="center"/>
          </w:tcPr>
          <w:p w:rsidR="00147603" w:rsidRPr="00147603" w:rsidRDefault="00147603" w:rsidP="00147603">
            <w:pPr>
              <w:pStyle w:val="Tabele"/>
              <w:rPr>
                <w:sz w:val="12"/>
              </w:rPr>
            </w:pPr>
            <w:r w:rsidRPr="00147603">
              <w:rPr>
                <w:sz w:val="12"/>
              </w:rPr>
              <w:t>neto të hapur valutor</w:t>
            </w:r>
          </w:p>
        </w:tc>
        <w:tc>
          <w:tcPr>
            <w:tcW w:w="0" w:type="auto"/>
            <w:vMerge/>
            <w:tcBorders>
              <w:top w:val="single" w:sz="8" w:space="0" w:color="auto"/>
              <w:left w:val="single" w:sz="8" w:space="0" w:color="auto"/>
              <w:bottom w:val="single" w:sz="8" w:space="0" w:color="000000"/>
              <w:right w:val="single" w:sz="8" w:space="0" w:color="auto"/>
            </w:tcBorders>
            <w:vAlign w:val="center"/>
          </w:tcPr>
          <w:p w:rsidR="00147603" w:rsidRPr="00147603" w:rsidRDefault="00147603" w:rsidP="00147603">
            <w:pPr>
              <w:pStyle w:val="Tabele"/>
              <w:rPr>
                <w:sz w:val="12"/>
              </w:rPr>
            </w:pPr>
          </w:p>
        </w:tc>
      </w:tr>
      <w:tr w:rsidR="00147603" w:rsidRPr="00147603" w:rsidTr="00147603">
        <w:trPr>
          <w:trHeight w:val="139"/>
          <w:jc w:val="center"/>
        </w:trPr>
        <w:tc>
          <w:tcPr>
            <w:tcW w:w="0" w:type="auto"/>
            <w:tcBorders>
              <w:top w:val="nil"/>
              <w:left w:val="single" w:sz="8" w:space="0" w:color="auto"/>
              <w:bottom w:val="single" w:sz="4" w:space="0" w:color="auto"/>
              <w:right w:val="nil"/>
            </w:tcBorders>
            <w:noWrap/>
            <w:vAlign w:val="bottom"/>
          </w:tcPr>
          <w:p w:rsidR="00147603" w:rsidRPr="00147603" w:rsidRDefault="00147603" w:rsidP="00147603">
            <w:pPr>
              <w:pStyle w:val="Tabele"/>
              <w:rPr>
                <w:sz w:val="12"/>
              </w:rPr>
            </w:pPr>
            <w:r w:rsidRPr="00147603">
              <w:rPr>
                <w:sz w:val="12"/>
              </w:rPr>
              <w:t>(1)</w:t>
            </w:r>
          </w:p>
        </w:tc>
        <w:tc>
          <w:tcPr>
            <w:tcW w:w="0" w:type="auto"/>
            <w:tcBorders>
              <w:top w:val="nil"/>
              <w:left w:val="single" w:sz="8" w:space="0" w:color="auto"/>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(2)</w:t>
            </w:r>
          </w:p>
        </w:tc>
        <w:tc>
          <w:tcPr>
            <w:tcW w:w="0" w:type="auto"/>
            <w:gridSpan w:val="2"/>
            <w:tcBorders>
              <w:top w:val="nil"/>
              <w:left w:val="nil"/>
              <w:bottom w:val="single" w:sz="4" w:space="0" w:color="auto"/>
              <w:right w:val="single" w:sz="8" w:space="0" w:color="auto"/>
            </w:tcBorders>
            <w:noWrap/>
            <w:vAlign w:val="bottom"/>
          </w:tcPr>
          <w:p w:rsidR="00147603" w:rsidRPr="00147603" w:rsidRDefault="00147603" w:rsidP="00147603">
            <w:pPr>
              <w:pStyle w:val="Tabele"/>
              <w:rPr>
                <w:sz w:val="12"/>
              </w:rPr>
            </w:pPr>
            <w:r w:rsidRPr="00147603">
              <w:rPr>
                <w:sz w:val="12"/>
              </w:rPr>
              <w:t>(3)</w:t>
            </w:r>
          </w:p>
        </w:tc>
        <w:tc>
          <w:tcPr>
            <w:tcW w:w="0" w:type="auto"/>
            <w:tcBorders>
              <w:top w:val="nil"/>
              <w:left w:val="nil"/>
              <w:bottom w:val="single" w:sz="4" w:space="0" w:color="auto"/>
              <w:right w:val="single" w:sz="4" w:space="0" w:color="auto"/>
            </w:tcBorders>
            <w:noWrap/>
            <w:vAlign w:val="bottom"/>
          </w:tcPr>
          <w:p w:rsidR="00147603" w:rsidRPr="00147603" w:rsidRDefault="00147603" w:rsidP="00147603">
            <w:pPr>
              <w:pStyle w:val="Tabele"/>
              <w:rPr>
                <w:sz w:val="12"/>
              </w:rPr>
            </w:pPr>
            <w:r w:rsidRPr="00147603">
              <w:rPr>
                <w:sz w:val="12"/>
              </w:rPr>
              <w:t>(4)</w:t>
            </w:r>
          </w:p>
        </w:tc>
        <w:tc>
          <w:tcPr>
            <w:tcW w:w="0" w:type="auto"/>
            <w:tcBorders>
              <w:top w:val="nil"/>
              <w:left w:val="nil"/>
              <w:bottom w:val="single" w:sz="4" w:space="0" w:color="auto"/>
              <w:right w:val="single" w:sz="8" w:space="0" w:color="auto"/>
            </w:tcBorders>
            <w:noWrap/>
            <w:vAlign w:val="bottom"/>
          </w:tcPr>
          <w:p w:rsidR="00147603" w:rsidRPr="00147603" w:rsidRDefault="00147603" w:rsidP="00147603">
            <w:pPr>
              <w:pStyle w:val="Tabele"/>
              <w:rPr>
                <w:sz w:val="12"/>
              </w:rPr>
            </w:pPr>
            <w:r w:rsidRPr="00147603">
              <w:rPr>
                <w:sz w:val="12"/>
              </w:rPr>
              <w:t>(5)</w:t>
            </w:r>
          </w:p>
        </w:tc>
        <w:tc>
          <w:tcPr>
            <w:tcW w:w="0" w:type="auto"/>
            <w:tcBorders>
              <w:top w:val="nil"/>
              <w:left w:val="nil"/>
              <w:bottom w:val="single" w:sz="4" w:space="0" w:color="auto"/>
              <w:right w:val="single" w:sz="8" w:space="0" w:color="auto"/>
            </w:tcBorders>
            <w:noWrap/>
            <w:vAlign w:val="bottom"/>
          </w:tcPr>
          <w:p w:rsidR="00147603" w:rsidRPr="00147603" w:rsidRDefault="00147603" w:rsidP="00147603">
            <w:pPr>
              <w:pStyle w:val="Tabele"/>
              <w:rPr>
                <w:sz w:val="12"/>
              </w:rPr>
            </w:pPr>
            <w:r w:rsidRPr="00147603">
              <w:rPr>
                <w:sz w:val="12"/>
              </w:rPr>
              <w:t>(6)= (2)-(3)+(4)-(5)</w:t>
            </w:r>
          </w:p>
        </w:tc>
        <w:tc>
          <w:tcPr>
            <w:tcW w:w="0" w:type="auto"/>
            <w:tcBorders>
              <w:top w:val="nil"/>
              <w:left w:val="nil"/>
              <w:bottom w:val="single" w:sz="4" w:space="0" w:color="auto"/>
              <w:right w:val="single" w:sz="8" w:space="0" w:color="auto"/>
            </w:tcBorders>
            <w:noWrap/>
            <w:vAlign w:val="bottom"/>
          </w:tcPr>
          <w:p w:rsidR="00147603" w:rsidRPr="00147603" w:rsidRDefault="00147603" w:rsidP="00147603">
            <w:pPr>
              <w:pStyle w:val="Tabele"/>
              <w:rPr>
                <w:sz w:val="12"/>
              </w:rPr>
            </w:pPr>
            <w:r w:rsidRPr="00147603">
              <w:rPr>
                <w:sz w:val="12"/>
              </w:rPr>
              <w:t>(7)</w:t>
            </w:r>
          </w:p>
        </w:tc>
        <w:tc>
          <w:tcPr>
            <w:tcW w:w="0" w:type="auto"/>
            <w:tcBorders>
              <w:top w:val="nil"/>
              <w:left w:val="nil"/>
              <w:bottom w:val="single" w:sz="4" w:space="0" w:color="auto"/>
              <w:right w:val="single" w:sz="8" w:space="0" w:color="auto"/>
            </w:tcBorders>
            <w:noWrap/>
            <w:vAlign w:val="bottom"/>
          </w:tcPr>
          <w:p w:rsidR="00147603" w:rsidRPr="00147603" w:rsidRDefault="00147603" w:rsidP="00147603">
            <w:pPr>
              <w:pStyle w:val="Tabele"/>
              <w:rPr>
                <w:sz w:val="12"/>
              </w:rPr>
            </w:pPr>
            <w:r w:rsidRPr="00147603">
              <w:rPr>
                <w:sz w:val="12"/>
              </w:rPr>
              <w:t>(8)= (6)+(7)</w:t>
            </w:r>
          </w:p>
        </w:tc>
        <w:tc>
          <w:tcPr>
            <w:tcW w:w="0" w:type="auto"/>
            <w:tcBorders>
              <w:top w:val="nil"/>
              <w:left w:val="nil"/>
              <w:bottom w:val="single" w:sz="4" w:space="0" w:color="auto"/>
              <w:right w:val="single" w:sz="8" w:space="0" w:color="auto"/>
            </w:tcBorders>
            <w:noWrap/>
            <w:vAlign w:val="bottom"/>
          </w:tcPr>
          <w:p w:rsidR="00147603" w:rsidRPr="00147603" w:rsidRDefault="00147603" w:rsidP="00147603">
            <w:pPr>
              <w:pStyle w:val="Tabele"/>
              <w:rPr>
                <w:sz w:val="12"/>
              </w:rPr>
            </w:pPr>
            <w:r w:rsidRPr="00147603">
              <w:rPr>
                <w:sz w:val="12"/>
              </w:rPr>
              <w:t>(9)</w:t>
            </w:r>
          </w:p>
        </w:tc>
        <w:tc>
          <w:tcPr>
            <w:tcW w:w="0" w:type="auto"/>
            <w:tcBorders>
              <w:top w:val="nil"/>
              <w:left w:val="nil"/>
              <w:bottom w:val="single" w:sz="4" w:space="0" w:color="auto"/>
              <w:right w:val="single" w:sz="8" w:space="0" w:color="auto"/>
            </w:tcBorders>
            <w:noWrap/>
            <w:vAlign w:val="bottom"/>
          </w:tcPr>
          <w:p w:rsidR="00147603" w:rsidRPr="00147603" w:rsidRDefault="00147603" w:rsidP="00147603">
            <w:pPr>
              <w:pStyle w:val="Tabele"/>
              <w:rPr>
                <w:sz w:val="12"/>
              </w:rPr>
            </w:pPr>
            <w:r w:rsidRPr="00147603">
              <w:rPr>
                <w:sz w:val="12"/>
              </w:rPr>
              <w:t>(10)</w:t>
            </w:r>
          </w:p>
        </w:tc>
        <w:tc>
          <w:tcPr>
            <w:tcW w:w="0" w:type="auto"/>
            <w:tcBorders>
              <w:top w:val="nil"/>
              <w:left w:val="nil"/>
              <w:bottom w:val="single" w:sz="4" w:space="0" w:color="auto"/>
              <w:right w:val="single" w:sz="8" w:space="0" w:color="auto"/>
            </w:tcBorders>
            <w:noWrap/>
            <w:vAlign w:val="bottom"/>
          </w:tcPr>
          <w:p w:rsidR="00147603" w:rsidRPr="00147603" w:rsidRDefault="00147603" w:rsidP="00147603">
            <w:pPr>
              <w:pStyle w:val="Tabele"/>
              <w:rPr>
                <w:sz w:val="12"/>
              </w:rPr>
            </w:pPr>
            <w:r w:rsidRPr="00147603">
              <w:rPr>
                <w:sz w:val="12"/>
              </w:rPr>
              <w:t>(11)=(10)/(15)*100</w:t>
            </w:r>
          </w:p>
        </w:tc>
      </w:tr>
      <w:tr w:rsidR="00147603" w:rsidRPr="00147603" w:rsidTr="00147603">
        <w:trPr>
          <w:trHeight w:val="139"/>
          <w:jc w:val="center"/>
        </w:trPr>
        <w:tc>
          <w:tcPr>
            <w:tcW w:w="0" w:type="auto"/>
            <w:tcBorders>
              <w:top w:val="nil"/>
              <w:left w:val="single" w:sz="8" w:space="0" w:color="auto"/>
              <w:bottom w:val="nil"/>
              <w:right w:val="nil"/>
            </w:tcBorders>
            <w:noWrap/>
            <w:vAlign w:val="bottom"/>
          </w:tcPr>
          <w:p w:rsidR="00147603" w:rsidRPr="00147603" w:rsidRDefault="00147603" w:rsidP="00147603">
            <w:pPr>
              <w:pStyle w:val="Tabele"/>
              <w:rPr>
                <w:sz w:val="12"/>
              </w:rPr>
            </w:pPr>
            <w:r w:rsidRPr="00147603">
              <w:rPr>
                <w:sz w:val="12"/>
              </w:rPr>
              <w:t xml:space="preserve"> USD </w:t>
            </w:r>
          </w:p>
        </w:tc>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gridSpan w:val="2"/>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0" w:type="auto"/>
            <w:tcBorders>
              <w:top w:val="nil"/>
              <w:left w:val="single" w:sz="8" w:space="0" w:color="auto"/>
              <w:bottom w:val="nil"/>
              <w:right w:val="nil"/>
            </w:tcBorders>
            <w:noWrap/>
            <w:vAlign w:val="bottom"/>
          </w:tcPr>
          <w:p w:rsidR="00147603" w:rsidRPr="00147603" w:rsidRDefault="00147603" w:rsidP="00147603">
            <w:pPr>
              <w:pStyle w:val="Tabele"/>
              <w:rPr>
                <w:sz w:val="12"/>
              </w:rPr>
            </w:pPr>
            <w:r w:rsidRPr="00147603">
              <w:rPr>
                <w:sz w:val="12"/>
              </w:rPr>
              <w:t xml:space="preserve"> EURO </w:t>
            </w:r>
          </w:p>
        </w:tc>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gridSpan w:val="2"/>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0" w:type="auto"/>
            <w:tcBorders>
              <w:top w:val="nil"/>
              <w:left w:val="single" w:sz="8" w:space="0" w:color="auto"/>
              <w:bottom w:val="nil"/>
              <w:right w:val="nil"/>
            </w:tcBorders>
            <w:noWrap/>
            <w:vAlign w:val="bottom"/>
          </w:tcPr>
          <w:p w:rsidR="00147603" w:rsidRPr="00147603" w:rsidRDefault="00147603" w:rsidP="00147603">
            <w:pPr>
              <w:pStyle w:val="Tabele"/>
              <w:rPr>
                <w:sz w:val="12"/>
              </w:rPr>
            </w:pPr>
            <w:r w:rsidRPr="00147603">
              <w:rPr>
                <w:sz w:val="12"/>
              </w:rPr>
              <w:t xml:space="preserve"> GBP </w:t>
            </w:r>
          </w:p>
        </w:tc>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gridSpan w:val="2"/>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0" w:type="auto"/>
            <w:tcBorders>
              <w:top w:val="nil"/>
              <w:left w:val="single" w:sz="8" w:space="0" w:color="auto"/>
              <w:bottom w:val="nil"/>
              <w:right w:val="nil"/>
            </w:tcBorders>
            <w:noWrap/>
            <w:vAlign w:val="bottom"/>
          </w:tcPr>
          <w:p w:rsidR="00147603" w:rsidRPr="00147603" w:rsidRDefault="00147603" w:rsidP="00147603">
            <w:pPr>
              <w:pStyle w:val="Tabele"/>
              <w:rPr>
                <w:sz w:val="12"/>
              </w:rPr>
            </w:pPr>
            <w:r w:rsidRPr="00147603">
              <w:rPr>
                <w:sz w:val="12"/>
              </w:rPr>
              <w:t xml:space="preserve"> CHF </w:t>
            </w:r>
          </w:p>
        </w:tc>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gridSpan w:val="2"/>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0" w:type="auto"/>
            <w:tcBorders>
              <w:top w:val="nil"/>
              <w:left w:val="single" w:sz="8" w:space="0" w:color="auto"/>
              <w:bottom w:val="nil"/>
              <w:right w:val="nil"/>
            </w:tcBorders>
            <w:noWrap/>
            <w:vAlign w:val="bottom"/>
          </w:tcPr>
          <w:p w:rsidR="00147603" w:rsidRPr="00147603" w:rsidRDefault="00147603" w:rsidP="00147603">
            <w:pPr>
              <w:pStyle w:val="Tabele"/>
              <w:rPr>
                <w:sz w:val="12"/>
              </w:rPr>
            </w:pPr>
            <w:r w:rsidRPr="00147603">
              <w:rPr>
                <w:sz w:val="12"/>
              </w:rPr>
              <w:t xml:space="preserve"> CAD </w:t>
            </w:r>
          </w:p>
        </w:tc>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gridSpan w:val="2"/>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0" w:type="auto"/>
            <w:tcBorders>
              <w:top w:val="nil"/>
              <w:left w:val="single" w:sz="8" w:space="0" w:color="auto"/>
              <w:bottom w:val="nil"/>
              <w:right w:val="nil"/>
            </w:tcBorders>
            <w:noWrap/>
            <w:vAlign w:val="bottom"/>
          </w:tcPr>
          <w:p w:rsidR="00147603" w:rsidRPr="00147603" w:rsidRDefault="00147603" w:rsidP="00147603">
            <w:pPr>
              <w:pStyle w:val="Tabele"/>
              <w:rPr>
                <w:sz w:val="12"/>
              </w:rPr>
            </w:pPr>
            <w:r w:rsidRPr="00147603">
              <w:rPr>
                <w:sz w:val="12"/>
              </w:rPr>
              <w:t xml:space="preserve"> SEK </w:t>
            </w:r>
          </w:p>
        </w:tc>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gridSpan w:val="2"/>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0" w:type="auto"/>
            <w:tcBorders>
              <w:top w:val="nil"/>
              <w:left w:val="single" w:sz="8" w:space="0" w:color="auto"/>
              <w:bottom w:val="nil"/>
              <w:right w:val="nil"/>
            </w:tcBorders>
            <w:noWrap/>
            <w:vAlign w:val="bottom"/>
          </w:tcPr>
          <w:p w:rsidR="00147603" w:rsidRPr="00147603" w:rsidRDefault="00147603" w:rsidP="00147603">
            <w:pPr>
              <w:pStyle w:val="Tabele"/>
              <w:rPr>
                <w:sz w:val="12"/>
              </w:rPr>
            </w:pPr>
            <w:r w:rsidRPr="00147603">
              <w:rPr>
                <w:sz w:val="12"/>
              </w:rPr>
              <w:t xml:space="preserve"> AUD </w:t>
            </w:r>
          </w:p>
        </w:tc>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gridSpan w:val="2"/>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0" w:type="auto"/>
            <w:tcBorders>
              <w:top w:val="nil"/>
              <w:left w:val="single" w:sz="8" w:space="0" w:color="auto"/>
              <w:bottom w:val="nil"/>
              <w:right w:val="nil"/>
            </w:tcBorders>
            <w:noWrap/>
            <w:vAlign w:val="bottom"/>
          </w:tcPr>
          <w:p w:rsidR="00147603" w:rsidRPr="00147603" w:rsidRDefault="00147603" w:rsidP="00147603">
            <w:pPr>
              <w:pStyle w:val="Tabele"/>
              <w:rPr>
                <w:sz w:val="12"/>
              </w:rPr>
            </w:pPr>
            <w:r w:rsidRPr="00147603">
              <w:rPr>
                <w:sz w:val="12"/>
              </w:rPr>
              <w:t xml:space="preserve"> JPY </w:t>
            </w:r>
          </w:p>
        </w:tc>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gridSpan w:val="2"/>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0" w:type="auto"/>
            <w:tcBorders>
              <w:top w:val="nil"/>
              <w:left w:val="single" w:sz="8" w:space="0" w:color="auto"/>
              <w:bottom w:val="nil"/>
              <w:right w:val="nil"/>
            </w:tcBorders>
            <w:noWrap/>
            <w:vAlign w:val="bottom"/>
          </w:tcPr>
          <w:p w:rsidR="00147603" w:rsidRPr="00147603" w:rsidRDefault="00147603" w:rsidP="00147603">
            <w:pPr>
              <w:pStyle w:val="Tabele"/>
              <w:rPr>
                <w:sz w:val="12"/>
              </w:rPr>
            </w:pPr>
            <w:r w:rsidRPr="00147603">
              <w:rPr>
                <w:sz w:val="12"/>
              </w:rPr>
              <w:t xml:space="preserve"> DKK </w:t>
            </w:r>
          </w:p>
        </w:tc>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gridSpan w:val="2"/>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0" w:type="auto"/>
            <w:tcBorders>
              <w:top w:val="nil"/>
              <w:left w:val="single" w:sz="8" w:space="0" w:color="auto"/>
              <w:bottom w:val="nil"/>
              <w:right w:val="nil"/>
            </w:tcBorders>
            <w:noWrap/>
            <w:vAlign w:val="bottom"/>
          </w:tcPr>
          <w:p w:rsidR="00147603" w:rsidRPr="00147603" w:rsidRDefault="00147603" w:rsidP="00147603">
            <w:pPr>
              <w:pStyle w:val="Tabele"/>
              <w:rPr>
                <w:sz w:val="12"/>
              </w:rPr>
            </w:pPr>
            <w:r w:rsidRPr="00147603">
              <w:rPr>
                <w:sz w:val="12"/>
              </w:rPr>
              <w:t xml:space="preserve"> NOK </w:t>
            </w:r>
          </w:p>
        </w:tc>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gridSpan w:val="2"/>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0" w:type="auto"/>
            <w:tcBorders>
              <w:top w:val="nil"/>
              <w:left w:val="single" w:sz="8" w:space="0" w:color="auto"/>
              <w:bottom w:val="nil"/>
              <w:right w:val="nil"/>
            </w:tcBorders>
            <w:noWrap/>
            <w:vAlign w:val="bottom"/>
          </w:tcPr>
          <w:p w:rsidR="00147603" w:rsidRPr="00147603" w:rsidRDefault="00147603" w:rsidP="00147603">
            <w:pPr>
              <w:pStyle w:val="Tabele"/>
              <w:rPr>
                <w:sz w:val="12"/>
              </w:rPr>
            </w:pPr>
            <w:r w:rsidRPr="00147603">
              <w:rPr>
                <w:sz w:val="12"/>
              </w:rPr>
              <w:t xml:space="preserve"> TRY </w:t>
            </w:r>
          </w:p>
        </w:tc>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gridSpan w:val="2"/>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0" w:type="auto"/>
            <w:tcBorders>
              <w:top w:val="nil"/>
              <w:left w:val="single" w:sz="8" w:space="0" w:color="auto"/>
              <w:bottom w:val="nil"/>
              <w:right w:val="nil"/>
            </w:tcBorders>
            <w:noWrap/>
            <w:vAlign w:val="bottom"/>
          </w:tcPr>
          <w:p w:rsidR="00147603" w:rsidRPr="00147603" w:rsidRDefault="00147603" w:rsidP="00147603">
            <w:pPr>
              <w:pStyle w:val="Tabele"/>
              <w:rPr>
                <w:sz w:val="12"/>
              </w:rPr>
            </w:pPr>
            <w:r w:rsidRPr="00147603">
              <w:rPr>
                <w:sz w:val="12"/>
              </w:rPr>
              <w:t xml:space="preserve"> AR </w:t>
            </w:r>
          </w:p>
        </w:tc>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gridSpan w:val="2"/>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0" w:type="auto"/>
            <w:tcBorders>
              <w:top w:val="single" w:sz="8" w:space="0" w:color="auto"/>
              <w:left w:val="single" w:sz="8" w:space="0" w:color="auto"/>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xml:space="preserve"> 1. Pozicioni total neto i hapur valutor në blerje (12) </w:t>
            </w:r>
          </w:p>
        </w:tc>
        <w:tc>
          <w:tcPr>
            <w:tcW w:w="0" w:type="auto"/>
            <w:tcBorders>
              <w:top w:val="single" w:sz="8" w:space="0" w:color="auto"/>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gridSpan w:val="2"/>
            <w:tcBorders>
              <w:top w:val="single" w:sz="8" w:space="0" w:color="auto"/>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single" w:sz="8" w:space="0" w:color="auto"/>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single" w:sz="8" w:space="0" w:color="auto"/>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single" w:sz="8" w:space="0" w:color="auto"/>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single" w:sz="8" w:space="0" w:color="auto"/>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single" w:sz="8" w:space="0" w:color="auto"/>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single" w:sz="8" w:space="0" w:color="auto"/>
              <w:left w:val="nil"/>
              <w:bottom w:val="single" w:sz="4" w:space="0" w:color="auto"/>
              <w:right w:val="nil"/>
            </w:tcBorders>
            <w:noWrap/>
            <w:vAlign w:val="bottom"/>
          </w:tcPr>
          <w:p w:rsidR="00147603" w:rsidRPr="00147603" w:rsidRDefault="00147603" w:rsidP="00147603">
            <w:pPr>
              <w:pStyle w:val="Tabele"/>
              <w:rPr>
                <w:rFonts w:cs="Calibri"/>
                <w:sz w:val="12"/>
                <w:lang w:val="it-IT"/>
              </w:rPr>
            </w:pPr>
            <w:r w:rsidRPr="00147603">
              <w:rPr>
                <w:rFonts w:cs="Calibri"/>
                <w:sz w:val="12"/>
                <w:lang w:val="it-IT"/>
              </w:rPr>
              <w:t> </w:t>
            </w:r>
          </w:p>
        </w:tc>
        <w:tc>
          <w:tcPr>
            <w:tcW w:w="0" w:type="auto"/>
            <w:tcBorders>
              <w:top w:val="single" w:sz="8" w:space="0" w:color="auto"/>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single" w:sz="8" w:space="0" w:color="auto"/>
              <w:left w:val="single" w:sz="8" w:space="0" w:color="auto"/>
              <w:bottom w:val="single" w:sz="4" w:space="0" w:color="auto"/>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jc w:val="center"/>
        </w:trPr>
        <w:tc>
          <w:tcPr>
            <w:tcW w:w="0" w:type="auto"/>
            <w:tcBorders>
              <w:top w:val="nil"/>
              <w:left w:val="single" w:sz="8" w:space="0" w:color="auto"/>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xml:space="preserve"> 2. Pozicioni total neto i hapur valutor në shitje (13)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gridSpan w:val="2"/>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rFonts w:cs="Calibri"/>
                <w:sz w:val="12"/>
                <w:lang w:val="it-IT"/>
              </w:rPr>
            </w:pPr>
            <w:r w:rsidRPr="00147603">
              <w:rPr>
                <w:rFonts w:cs="Calibri"/>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single" w:sz="8" w:space="0" w:color="auto"/>
              <w:bottom w:val="single" w:sz="4" w:space="0" w:color="auto"/>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jc w:val="center"/>
        </w:trPr>
        <w:tc>
          <w:tcPr>
            <w:tcW w:w="0" w:type="auto"/>
            <w:tcBorders>
              <w:top w:val="nil"/>
              <w:left w:val="single" w:sz="8" w:space="0" w:color="auto"/>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xml:space="preserve"> 3. Pozicioni total neto i hapur valutor i bankës (14)= (12) nqs (12)&gt;(13); ose (13) nqs (13)&gt;(12)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gridSpan w:val="2"/>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rFonts w:cs="Calibri"/>
                <w:sz w:val="12"/>
                <w:lang w:val="it-IT"/>
              </w:rPr>
            </w:pPr>
            <w:r w:rsidRPr="00147603">
              <w:rPr>
                <w:rFonts w:cs="Calibri"/>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single" w:sz="8" w:space="0" w:color="auto"/>
              <w:bottom w:val="single" w:sz="4" w:space="0" w:color="auto"/>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jc w:val="center"/>
        </w:trPr>
        <w:tc>
          <w:tcPr>
            <w:tcW w:w="0" w:type="auto"/>
            <w:tcBorders>
              <w:top w:val="nil"/>
              <w:left w:val="single" w:sz="8" w:space="0" w:color="auto"/>
              <w:bottom w:val="single" w:sz="4" w:space="0" w:color="auto"/>
              <w:right w:val="nil"/>
            </w:tcBorders>
            <w:noWrap/>
            <w:vAlign w:val="bottom"/>
          </w:tcPr>
          <w:p w:rsidR="00147603" w:rsidRPr="00147603" w:rsidRDefault="00147603" w:rsidP="00147603">
            <w:pPr>
              <w:pStyle w:val="Tabele"/>
              <w:rPr>
                <w:sz w:val="12"/>
              </w:rPr>
            </w:pPr>
            <w:r w:rsidRPr="00147603">
              <w:rPr>
                <w:sz w:val="12"/>
                <w:lang w:val="it-IT"/>
              </w:rPr>
              <w:t xml:space="preserve"> </w:t>
            </w:r>
            <w:r w:rsidRPr="00147603">
              <w:rPr>
                <w:sz w:val="12"/>
              </w:rPr>
              <w:t xml:space="preserve">4. Kapitali rregullator (15)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rPr>
            </w:pPr>
            <w:r w:rsidRPr="00147603">
              <w:rPr>
                <w:sz w:val="12"/>
              </w:rPr>
              <w:t> </w:t>
            </w:r>
          </w:p>
        </w:tc>
        <w:tc>
          <w:tcPr>
            <w:tcW w:w="0" w:type="auto"/>
            <w:gridSpan w:val="2"/>
            <w:tcBorders>
              <w:top w:val="nil"/>
              <w:left w:val="nil"/>
              <w:bottom w:val="single" w:sz="4" w:space="0" w:color="auto"/>
              <w:right w:val="nil"/>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rFonts w:cs="Calibri"/>
                <w:sz w:val="12"/>
              </w:rPr>
            </w:pPr>
            <w:r w:rsidRPr="00147603">
              <w:rPr>
                <w:rFonts w:cs="Calibri"/>
                <w:sz w:val="12"/>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rPr>
            </w:pPr>
            <w:r w:rsidRPr="00147603">
              <w:rPr>
                <w:sz w:val="12"/>
              </w:rPr>
              <w:t> </w:t>
            </w:r>
          </w:p>
        </w:tc>
        <w:tc>
          <w:tcPr>
            <w:tcW w:w="0" w:type="auto"/>
            <w:tcBorders>
              <w:top w:val="nil"/>
              <w:left w:val="single" w:sz="8" w:space="0" w:color="auto"/>
              <w:bottom w:val="single" w:sz="4" w:space="0" w:color="auto"/>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0" w:type="auto"/>
            <w:tcBorders>
              <w:top w:val="nil"/>
              <w:left w:val="single" w:sz="8" w:space="0" w:color="auto"/>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xml:space="preserve"> 5. Pozicioni total neto i hapur valutor i bankës (14)/kapitalit rregullator (15)*100=&lt;(30%)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gridSpan w:val="2"/>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rFonts w:cs="Calibri"/>
                <w:sz w:val="12"/>
                <w:lang w:val="it-IT"/>
              </w:rPr>
            </w:pPr>
            <w:r w:rsidRPr="00147603">
              <w:rPr>
                <w:rFonts w:cs="Calibri"/>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single" w:sz="8" w:space="0" w:color="auto"/>
              <w:bottom w:val="single" w:sz="4" w:space="0" w:color="auto"/>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jc w:val="center"/>
        </w:trPr>
        <w:tc>
          <w:tcPr>
            <w:tcW w:w="0" w:type="auto"/>
            <w:tcBorders>
              <w:top w:val="nil"/>
              <w:left w:val="single" w:sz="8" w:space="0" w:color="auto"/>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xml:space="preserve"> Norma e miratuar për një monedhë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gridSpan w:val="2"/>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rFonts w:cs="Calibri"/>
                <w:sz w:val="12"/>
                <w:lang w:val="it-IT"/>
              </w:rPr>
            </w:pPr>
            <w:r w:rsidRPr="00147603">
              <w:rPr>
                <w:rFonts w:cs="Calibri"/>
                <w:sz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single" w:sz="8" w:space="0" w:color="auto"/>
              <w:bottom w:val="single" w:sz="4" w:space="0" w:color="auto"/>
              <w:right w:val="single" w:sz="8" w:space="0" w:color="auto"/>
            </w:tcBorders>
            <w:noWrap/>
            <w:vAlign w:val="bottom"/>
          </w:tcPr>
          <w:p w:rsidR="00147603" w:rsidRPr="00147603" w:rsidRDefault="00147603" w:rsidP="00147603">
            <w:pPr>
              <w:pStyle w:val="Tabele"/>
              <w:rPr>
                <w:sz w:val="12"/>
              </w:rPr>
            </w:pPr>
            <w:r w:rsidRPr="00147603">
              <w:rPr>
                <w:sz w:val="12"/>
              </w:rPr>
              <w:t>20%</w:t>
            </w:r>
          </w:p>
        </w:tc>
      </w:tr>
      <w:tr w:rsidR="00147603" w:rsidRPr="00147603" w:rsidTr="00147603">
        <w:trPr>
          <w:trHeight w:val="139"/>
          <w:jc w:val="center"/>
        </w:trPr>
        <w:tc>
          <w:tcPr>
            <w:tcW w:w="0" w:type="auto"/>
            <w:tcBorders>
              <w:top w:val="nil"/>
              <w:left w:val="single" w:sz="8" w:space="0" w:color="auto"/>
              <w:bottom w:val="single" w:sz="8" w:space="0" w:color="auto"/>
              <w:right w:val="nil"/>
            </w:tcBorders>
            <w:noWrap/>
            <w:vAlign w:val="bottom"/>
          </w:tcPr>
          <w:p w:rsidR="00147603" w:rsidRPr="00147603" w:rsidRDefault="00147603" w:rsidP="00147603">
            <w:pPr>
              <w:pStyle w:val="Tabele"/>
              <w:rPr>
                <w:sz w:val="12"/>
                <w:lang w:val="it-IT"/>
              </w:rPr>
            </w:pPr>
            <w:r w:rsidRPr="00147603">
              <w:rPr>
                <w:sz w:val="12"/>
                <w:lang w:val="it-IT"/>
              </w:rPr>
              <w:t xml:space="preserve"> Norma e miratuar për të gjitha monedhat së bashku </w:t>
            </w:r>
          </w:p>
        </w:tc>
        <w:tc>
          <w:tcPr>
            <w:tcW w:w="0" w:type="auto"/>
            <w:tcBorders>
              <w:top w:val="nil"/>
              <w:left w:val="nil"/>
              <w:bottom w:val="single" w:sz="8"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gridSpan w:val="2"/>
            <w:tcBorders>
              <w:top w:val="nil"/>
              <w:left w:val="nil"/>
              <w:bottom w:val="single" w:sz="8"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8"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8"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8"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8"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8"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nil"/>
              <w:bottom w:val="single" w:sz="8" w:space="0" w:color="auto"/>
              <w:right w:val="nil"/>
            </w:tcBorders>
            <w:noWrap/>
            <w:vAlign w:val="bottom"/>
          </w:tcPr>
          <w:p w:rsidR="00147603" w:rsidRPr="00147603" w:rsidRDefault="00147603" w:rsidP="00147603">
            <w:pPr>
              <w:pStyle w:val="Tabele"/>
              <w:rPr>
                <w:rFonts w:cs="Calibri"/>
                <w:sz w:val="12"/>
                <w:lang w:val="it-IT"/>
              </w:rPr>
            </w:pPr>
            <w:r w:rsidRPr="00147603">
              <w:rPr>
                <w:rFonts w:cs="Calibri"/>
                <w:sz w:val="12"/>
                <w:lang w:val="it-IT"/>
              </w:rPr>
              <w:t> </w:t>
            </w:r>
          </w:p>
        </w:tc>
        <w:tc>
          <w:tcPr>
            <w:tcW w:w="0" w:type="auto"/>
            <w:tcBorders>
              <w:top w:val="nil"/>
              <w:left w:val="nil"/>
              <w:bottom w:val="single" w:sz="8"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0" w:type="auto"/>
            <w:tcBorders>
              <w:top w:val="nil"/>
              <w:left w:val="single" w:sz="8" w:space="0" w:color="auto"/>
              <w:bottom w:val="single" w:sz="8" w:space="0" w:color="auto"/>
              <w:right w:val="single" w:sz="8" w:space="0" w:color="auto"/>
            </w:tcBorders>
            <w:noWrap/>
            <w:vAlign w:val="bottom"/>
          </w:tcPr>
          <w:p w:rsidR="00147603" w:rsidRPr="00147603" w:rsidRDefault="00147603" w:rsidP="00147603">
            <w:pPr>
              <w:pStyle w:val="Tabele"/>
              <w:rPr>
                <w:sz w:val="12"/>
              </w:rPr>
            </w:pPr>
            <w:r w:rsidRPr="00147603">
              <w:rPr>
                <w:sz w:val="12"/>
              </w:rPr>
              <w:t>30%</w:t>
            </w:r>
          </w:p>
        </w:tc>
      </w:tr>
    </w:tbl>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tbl>
      <w:tblPr>
        <w:tblW w:w="5000" w:type="pct"/>
        <w:jc w:val="center"/>
        <w:tblLook w:val="0000" w:firstRow="0" w:lastRow="0" w:firstColumn="0" w:lastColumn="0" w:noHBand="0" w:noVBand="0"/>
      </w:tblPr>
      <w:tblGrid>
        <w:gridCol w:w="5017"/>
        <w:gridCol w:w="957"/>
        <w:gridCol w:w="631"/>
        <w:gridCol w:w="751"/>
        <w:gridCol w:w="806"/>
        <w:gridCol w:w="694"/>
      </w:tblGrid>
      <w:tr w:rsidR="00147603" w:rsidRPr="00147603" w:rsidTr="00147603">
        <w:trPr>
          <w:trHeight w:val="139"/>
          <w:jc w:val="center"/>
        </w:trPr>
        <w:tc>
          <w:tcPr>
            <w:tcW w:w="2831" w:type="pct"/>
            <w:tcBorders>
              <w:top w:val="nil"/>
              <w:left w:val="nil"/>
              <w:bottom w:val="nil"/>
              <w:right w:val="nil"/>
            </w:tcBorders>
            <w:noWrap/>
            <w:vAlign w:val="bottom"/>
          </w:tcPr>
          <w:p w:rsidR="00147603" w:rsidRPr="00147603" w:rsidRDefault="00147603" w:rsidP="00147603">
            <w:pPr>
              <w:pStyle w:val="Tabele"/>
              <w:rPr>
                <w:sz w:val="12"/>
              </w:rPr>
            </w:pPr>
            <w:r w:rsidRPr="00147603">
              <w:rPr>
                <w:sz w:val="12"/>
              </w:rPr>
              <w:t>Formulari 5</w:t>
            </w:r>
          </w:p>
        </w:tc>
        <w:tc>
          <w:tcPr>
            <w:tcW w:w="540" w:type="pct"/>
            <w:tcBorders>
              <w:top w:val="nil"/>
              <w:left w:val="nil"/>
              <w:bottom w:val="nil"/>
              <w:right w:val="nil"/>
            </w:tcBorders>
            <w:noWrap/>
            <w:vAlign w:val="bottom"/>
          </w:tcPr>
          <w:p w:rsidR="00147603" w:rsidRPr="00147603" w:rsidRDefault="00147603" w:rsidP="00147603">
            <w:pPr>
              <w:pStyle w:val="Tabele"/>
              <w:rPr>
                <w:sz w:val="12"/>
              </w:rPr>
            </w:pPr>
          </w:p>
        </w:tc>
        <w:tc>
          <w:tcPr>
            <w:tcW w:w="356" w:type="pct"/>
            <w:tcBorders>
              <w:top w:val="nil"/>
              <w:left w:val="nil"/>
              <w:bottom w:val="nil"/>
              <w:right w:val="nil"/>
            </w:tcBorders>
            <w:noWrap/>
            <w:vAlign w:val="bottom"/>
          </w:tcPr>
          <w:p w:rsidR="00147603" w:rsidRPr="00147603" w:rsidRDefault="00147603" w:rsidP="00147603">
            <w:pPr>
              <w:pStyle w:val="Tabele"/>
              <w:rPr>
                <w:sz w:val="12"/>
              </w:rPr>
            </w:pPr>
          </w:p>
        </w:tc>
        <w:tc>
          <w:tcPr>
            <w:tcW w:w="424" w:type="pct"/>
            <w:tcBorders>
              <w:top w:val="nil"/>
              <w:left w:val="nil"/>
              <w:bottom w:val="nil"/>
              <w:right w:val="nil"/>
            </w:tcBorders>
            <w:noWrap/>
            <w:vAlign w:val="bottom"/>
          </w:tcPr>
          <w:p w:rsidR="00147603" w:rsidRPr="00147603" w:rsidRDefault="00147603" w:rsidP="00147603">
            <w:pPr>
              <w:pStyle w:val="Tabele"/>
              <w:rPr>
                <w:sz w:val="12"/>
              </w:rPr>
            </w:pPr>
          </w:p>
        </w:tc>
        <w:tc>
          <w:tcPr>
            <w:tcW w:w="455" w:type="pct"/>
            <w:tcBorders>
              <w:top w:val="nil"/>
              <w:left w:val="nil"/>
              <w:bottom w:val="nil"/>
              <w:right w:val="nil"/>
            </w:tcBorders>
            <w:noWrap/>
            <w:vAlign w:val="bottom"/>
          </w:tcPr>
          <w:p w:rsidR="00147603" w:rsidRPr="00147603" w:rsidRDefault="00147603" w:rsidP="00147603">
            <w:pPr>
              <w:pStyle w:val="Tabele"/>
              <w:rPr>
                <w:sz w:val="12"/>
              </w:rPr>
            </w:pPr>
          </w:p>
        </w:tc>
        <w:tc>
          <w:tcPr>
            <w:tcW w:w="392" w:type="pct"/>
            <w:tcBorders>
              <w:top w:val="nil"/>
              <w:left w:val="nil"/>
              <w:bottom w:val="nil"/>
              <w:right w:val="nil"/>
            </w:tcBorders>
            <w:noWrap/>
            <w:vAlign w:val="bottom"/>
          </w:tcPr>
          <w:p w:rsidR="00147603" w:rsidRPr="00147603" w:rsidRDefault="00147603" w:rsidP="00147603">
            <w:pPr>
              <w:pStyle w:val="Tabele"/>
              <w:rPr>
                <w:sz w:val="12"/>
              </w:rPr>
            </w:pPr>
          </w:p>
        </w:tc>
      </w:tr>
      <w:tr w:rsidR="00147603" w:rsidRPr="00147603" w:rsidTr="00147603">
        <w:trPr>
          <w:trHeight w:val="139"/>
          <w:jc w:val="center"/>
        </w:trPr>
        <w:tc>
          <w:tcPr>
            <w:tcW w:w="2831" w:type="pct"/>
            <w:tcBorders>
              <w:top w:val="nil"/>
              <w:left w:val="nil"/>
              <w:bottom w:val="nil"/>
              <w:right w:val="nil"/>
            </w:tcBorders>
            <w:noWrap/>
            <w:vAlign w:val="bottom"/>
          </w:tcPr>
          <w:p w:rsidR="00147603" w:rsidRPr="00147603" w:rsidRDefault="00147603" w:rsidP="00147603">
            <w:pPr>
              <w:pStyle w:val="Tabele"/>
              <w:rPr>
                <w:sz w:val="12"/>
              </w:rPr>
            </w:pPr>
          </w:p>
        </w:tc>
        <w:tc>
          <w:tcPr>
            <w:tcW w:w="540" w:type="pct"/>
            <w:tcBorders>
              <w:top w:val="nil"/>
              <w:left w:val="nil"/>
              <w:bottom w:val="nil"/>
              <w:right w:val="nil"/>
            </w:tcBorders>
            <w:noWrap/>
            <w:vAlign w:val="bottom"/>
          </w:tcPr>
          <w:p w:rsidR="00147603" w:rsidRPr="00147603" w:rsidRDefault="00147603" w:rsidP="00147603">
            <w:pPr>
              <w:pStyle w:val="Tabele"/>
              <w:rPr>
                <w:sz w:val="12"/>
              </w:rPr>
            </w:pPr>
          </w:p>
        </w:tc>
        <w:tc>
          <w:tcPr>
            <w:tcW w:w="356" w:type="pct"/>
            <w:tcBorders>
              <w:top w:val="nil"/>
              <w:left w:val="nil"/>
              <w:bottom w:val="nil"/>
              <w:right w:val="nil"/>
            </w:tcBorders>
            <w:noWrap/>
            <w:vAlign w:val="bottom"/>
          </w:tcPr>
          <w:p w:rsidR="00147603" w:rsidRPr="00147603" w:rsidRDefault="00147603" w:rsidP="00147603">
            <w:pPr>
              <w:pStyle w:val="Tabele"/>
              <w:rPr>
                <w:sz w:val="12"/>
              </w:rPr>
            </w:pPr>
          </w:p>
        </w:tc>
        <w:tc>
          <w:tcPr>
            <w:tcW w:w="424" w:type="pct"/>
            <w:tcBorders>
              <w:top w:val="nil"/>
              <w:left w:val="nil"/>
              <w:bottom w:val="nil"/>
              <w:right w:val="nil"/>
            </w:tcBorders>
            <w:noWrap/>
            <w:vAlign w:val="bottom"/>
          </w:tcPr>
          <w:p w:rsidR="00147603" w:rsidRPr="00147603" w:rsidRDefault="00147603" w:rsidP="00147603">
            <w:pPr>
              <w:pStyle w:val="Tabele"/>
              <w:rPr>
                <w:sz w:val="12"/>
              </w:rPr>
            </w:pPr>
          </w:p>
        </w:tc>
        <w:tc>
          <w:tcPr>
            <w:tcW w:w="455" w:type="pct"/>
            <w:tcBorders>
              <w:top w:val="nil"/>
              <w:left w:val="nil"/>
              <w:bottom w:val="nil"/>
              <w:right w:val="nil"/>
            </w:tcBorders>
            <w:noWrap/>
            <w:vAlign w:val="bottom"/>
          </w:tcPr>
          <w:p w:rsidR="00147603" w:rsidRPr="00147603" w:rsidRDefault="00147603" w:rsidP="00147603">
            <w:pPr>
              <w:pStyle w:val="Tabele"/>
              <w:rPr>
                <w:sz w:val="12"/>
              </w:rPr>
            </w:pPr>
          </w:p>
        </w:tc>
        <w:tc>
          <w:tcPr>
            <w:tcW w:w="392" w:type="pct"/>
            <w:tcBorders>
              <w:top w:val="nil"/>
              <w:left w:val="nil"/>
              <w:bottom w:val="nil"/>
              <w:right w:val="nil"/>
            </w:tcBorders>
            <w:noWrap/>
            <w:vAlign w:val="bottom"/>
          </w:tcPr>
          <w:p w:rsidR="00147603" w:rsidRPr="00147603" w:rsidRDefault="00147603" w:rsidP="00147603">
            <w:pPr>
              <w:pStyle w:val="Tabele"/>
              <w:rPr>
                <w:sz w:val="12"/>
              </w:rPr>
            </w:pPr>
          </w:p>
        </w:tc>
      </w:tr>
      <w:tr w:rsidR="00147603" w:rsidRPr="00147603" w:rsidTr="00147603">
        <w:trPr>
          <w:trHeight w:val="139"/>
          <w:jc w:val="center"/>
        </w:trPr>
        <w:tc>
          <w:tcPr>
            <w:tcW w:w="2831" w:type="pct"/>
            <w:tcBorders>
              <w:top w:val="single" w:sz="8" w:space="0" w:color="auto"/>
              <w:left w:val="single" w:sz="8" w:space="0" w:color="auto"/>
              <w:bottom w:val="nil"/>
              <w:right w:val="single" w:sz="8" w:space="0" w:color="auto"/>
            </w:tcBorders>
            <w:shd w:val="clear" w:color="auto" w:fill="C0C0C0"/>
            <w:noWrap/>
            <w:vAlign w:val="bottom"/>
          </w:tcPr>
          <w:p w:rsidR="00147603" w:rsidRPr="00147603" w:rsidRDefault="00147603" w:rsidP="00147603">
            <w:pPr>
              <w:pStyle w:val="Tabele"/>
              <w:rPr>
                <w:sz w:val="12"/>
              </w:rPr>
            </w:pPr>
            <w:r w:rsidRPr="00147603">
              <w:rPr>
                <w:sz w:val="12"/>
              </w:rPr>
              <w:t>Zërat jashtë bilancit (pa elementet e përfshira në pozicionet SPOT, FORWARD dhe Opsionet)</w:t>
            </w:r>
          </w:p>
        </w:tc>
        <w:tc>
          <w:tcPr>
            <w:tcW w:w="540" w:type="pct"/>
            <w:vMerge w:val="restart"/>
            <w:tcBorders>
              <w:top w:val="single" w:sz="8" w:space="0" w:color="auto"/>
              <w:left w:val="single" w:sz="8" w:space="0" w:color="auto"/>
              <w:bottom w:val="single" w:sz="8" w:space="0" w:color="000000"/>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USD </w:t>
            </w:r>
          </w:p>
        </w:tc>
        <w:tc>
          <w:tcPr>
            <w:tcW w:w="356" w:type="pct"/>
            <w:vMerge w:val="restart"/>
            <w:tcBorders>
              <w:top w:val="single" w:sz="8" w:space="0" w:color="auto"/>
              <w:left w:val="single" w:sz="4" w:space="0" w:color="auto"/>
              <w:bottom w:val="single" w:sz="8" w:space="0" w:color="000000"/>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EURO </w:t>
            </w:r>
          </w:p>
        </w:tc>
        <w:tc>
          <w:tcPr>
            <w:tcW w:w="424" w:type="pct"/>
            <w:vMerge w:val="restart"/>
            <w:tcBorders>
              <w:top w:val="single" w:sz="8" w:space="0" w:color="auto"/>
              <w:left w:val="single" w:sz="4" w:space="0" w:color="auto"/>
              <w:bottom w:val="single" w:sz="8" w:space="0" w:color="000000"/>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 </w:t>
            </w:r>
          </w:p>
        </w:tc>
        <w:tc>
          <w:tcPr>
            <w:tcW w:w="455" w:type="pct"/>
            <w:vMerge w:val="restart"/>
            <w:tcBorders>
              <w:top w:val="single" w:sz="8" w:space="0" w:color="auto"/>
              <w:left w:val="single" w:sz="4" w:space="0" w:color="auto"/>
              <w:bottom w:val="single" w:sz="8" w:space="0" w:color="000000"/>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AR </w:t>
            </w:r>
          </w:p>
        </w:tc>
        <w:tc>
          <w:tcPr>
            <w:tcW w:w="392" w:type="pct"/>
            <w:vMerge w:val="restart"/>
            <w:tcBorders>
              <w:top w:val="single" w:sz="8" w:space="0" w:color="auto"/>
              <w:left w:val="nil"/>
              <w:bottom w:val="single" w:sz="8" w:space="0" w:color="000000"/>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TOTALI </w:t>
            </w:r>
          </w:p>
        </w:tc>
      </w:tr>
      <w:tr w:rsidR="00147603" w:rsidRPr="00147603" w:rsidTr="00147603">
        <w:trPr>
          <w:trHeight w:val="139"/>
          <w:jc w:val="center"/>
        </w:trPr>
        <w:tc>
          <w:tcPr>
            <w:tcW w:w="2831" w:type="pct"/>
            <w:tcBorders>
              <w:top w:val="single" w:sz="4" w:space="0" w:color="auto"/>
              <w:left w:val="single" w:sz="8" w:space="0" w:color="auto"/>
              <w:bottom w:val="single" w:sz="8" w:space="0" w:color="auto"/>
              <w:right w:val="single" w:sz="8" w:space="0" w:color="auto"/>
            </w:tcBorders>
            <w:shd w:val="clear" w:color="auto" w:fill="C0C0C0"/>
            <w:noWrap/>
            <w:vAlign w:val="bottom"/>
          </w:tcPr>
          <w:p w:rsidR="00147603" w:rsidRPr="00147603" w:rsidRDefault="00147603" w:rsidP="00147603">
            <w:pPr>
              <w:pStyle w:val="Tabele"/>
              <w:rPr>
                <w:sz w:val="12"/>
              </w:rPr>
            </w:pPr>
            <w:r w:rsidRPr="00147603">
              <w:rPr>
                <w:sz w:val="12"/>
              </w:rPr>
              <w:t>F.  A k t i v i</w:t>
            </w:r>
          </w:p>
        </w:tc>
        <w:tc>
          <w:tcPr>
            <w:tcW w:w="540" w:type="pct"/>
            <w:vMerge/>
            <w:tcBorders>
              <w:top w:val="single" w:sz="8" w:space="0" w:color="auto"/>
              <w:left w:val="single" w:sz="8" w:space="0" w:color="auto"/>
              <w:bottom w:val="single" w:sz="8" w:space="0" w:color="000000"/>
              <w:right w:val="single" w:sz="4" w:space="0" w:color="auto"/>
            </w:tcBorders>
            <w:vAlign w:val="center"/>
          </w:tcPr>
          <w:p w:rsidR="00147603" w:rsidRPr="00147603" w:rsidRDefault="00147603" w:rsidP="00147603">
            <w:pPr>
              <w:pStyle w:val="Tabele"/>
              <w:rPr>
                <w:sz w:val="12"/>
              </w:rPr>
            </w:pPr>
          </w:p>
        </w:tc>
        <w:tc>
          <w:tcPr>
            <w:tcW w:w="356" w:type="pct"/>
            <w:vMerge/>
            <w:tcBorders>
              <w:top w:val="single" w:sz="8" w:space="0" w:color="auto"/>
              <w:left w:val="single" w:sz="4" w:space="0" w:color="auto"/>
              <w:bottom w:val="single" w:sz="8" w:space="0" w:color="000000"/>
              <w:right w:val="single" w:sz="4" w:space="0" w:color="auto"/>
            </w:tcBorders>
            <w:vAlign w:val="center"/>
          </w:tcPr>
          <w:p w:rsidR="00147603" w:rsidRPr="00147603" w:rsidRDefault="00147603" w:rsidP="00147603">
            <w:pPr>
              <w:pStyle w:val="Tabele"/>
              <w:rPr>
                <w:sz w:val="12"/>
              </w:rPr>
            </w:pPr>
          </w:p>
        </w:tc>
        <w:tc>
          <w:tcPr>
            <w:tcW w:w="424" w:type="pct"/>
            <w:vMerge/>
            <w:tcBorders>
              <w:top w:val="single" w:sz="8" w:space="0" w:color="auto"/>
              <w:left w:val="single" w:sz="4" w:space="0" w:color="auto"/>
              <w:bottom w:val="single" w:sz="8" w:space="0" w:color="000000"/>
              <w:right w:val="single" w:sz="4" w:space="0" w:color="auto"/>
            </w:tcBorders>
            <w:vAlign w:val="center"/>
          </w:tcPr>
          <w:p w:rsidR="00147603" w:rsidRPr="00147603" w:rsidRDefault="00147603" w:rsidP="00147603">
            <w:pPr>
              <w:pStyle w:val="Tabele"/>
              <w:rPr>
                <w:sz w:val="12"/>
              </w:rPr>
            </w:pPr>
          </w:p>
        </w:tc>
        <w:tc>
          <w:tcPr>
            <w:tcW w:w="455" w:type="pct"/>
            <w:vMerge/>
            <w:tcBorders>
              <w:top w:val="single" w:sz="8" w:space="0" w:color="auto"/>
              <w:left w:val="single" w:sz="4" w:space="0" w:color="auto"/>
              <w:bottom w:val="single" w:sz="8" w:space="0" w:color="000000"/>
              <w:right w:val="single" w:sz="4" w:space="0" w:color="auto"/>
            </w:tcBorders>
            <w:vAlign w:val="center"/>
          </w:tcPr>
          <w:p w:rsidR="00147603" w:rsidRPr="00147603" w:rsidRDefault="00147603" w:rsidP="00147603">
            <w:pPr>
              <w:pStyle w:val="Tabele"/>
              <w:rPr>
                <w:sz w:val="12"/>
              </w:rPr>
            </w:pPr>
          </w:p>
        </w:tc>
        <w:tc>
          <w:tcPr>
            <w:tcW w:w="392" w:type="pct"/>
            <w:vMerge/>
            <w:tcBorders>
              <w:top w:val="single" w:sz="8" w:space="0" w:color="auto"/>
              <w:left w:val="nil"/>
              <w:bottom w:val="single" w:sz="8" w:space="0" w:color="000000"/>
              <w:right w:val="single" w:sz="8" w:space="0" w:color="auto"/>
            </w:tcBorders>
            <w:vAlign w:val="center"/>
          </w:tcPr>
          <w:p w:rsidR="00147603" w:rsidRPr="00147603" w:rsidRDefault="00147603" w:rsidP="00147603">
            <w:pPr>
              <w:pStyle w:val="Tabele"/>
              <w:rPr>
                <w:sz w:val="12"/>
              </w:rPr>
            </w:pP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1. Angazhime financimi të dhëna</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92" w:type="pct"/>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xml:space="preserve">në favor të bankave dhe institucioneve financiare </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92" w:type="pct"/>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në favor të klientëve</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92" w:type="pct"/>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xml:space="preserve">2. Garanci të dhëna </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92" w:type="pct"/>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xml:space="preserve">në favor të bankave dhe institucioneve financiare </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92" w:type="pct"/>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në favor të klientëve</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92" w:type="pct"/>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3. Angazhime për letra me vlerë për t'u marrë</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92" w:type="pct"/>
            <w:tcBorders>
              <w:top w:val="nil"/>
              <w:left w:val="nil"/>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4. Letra me vlerë të dhëna si garanci për një kredi ose rifinancim</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92" w:type="pct"/>
            <w:tcBorders>
              <w:top w:val="nil"/>
              <w:left w:val="nil"/>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5. Letra me vlerë të marra hua</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92" w:type="pct"/>
            <w:tcBorders>
              <w:top w:val="nil"/>
              <w:left w:val="nil"/>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6. Angazhime të tjera</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5"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92" w:type="pct"/>
            <w:tcBorders>
              <w:top w:val="nil"/>
              <w:left w:val="nil"/>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7. Angazhime për instrumente financiare të dhëna</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5"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92" w:type="pct"/>
            <w:tcBorders>
              <w:top w:val="nil"/>
              <w:left w:val="nil"/>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jc w:val="center"/>
        </w:trPr>
        <w:tc>
          <w:tcPr>
            <w:tcW w:w="2831" w:type="pct"/>
            <w:tcBorders>
              <w:top w:val="single" w:sz="8" w:space="0" w:color="auto"/>
              <w:left w:val="single" w:sz="8" w:space="0" w:color="auto"/>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Totali i zërave jashtë bilancit të aktivit</w:t>
            </w:r>
          </w:p>
        </w:tc>
        <w:tc>
          <w:tcPr>
            <w:tcW w:w="540"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56"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24"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5"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92" w:type="pct"/>
            <w:tcBorders>
              <w:top w:val="single" w:sz="8" w:space="0" w:color="auto"/>
              <w:left w:val="nil"/>
              <w:bottom w:val="single" w:sz="4" w:space="0" w:color="auto"/>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jc w:val="center"/>
        </w:trPr>
        <w:tc>
          <w:tcPr>
            <w:tcW w:w="2831" w:type="pct"/>
            <w:tcBorders>
              <w:top w:val="nil"/>
              <w:left w:val="single" w:sz="8" w:space="0" w:color="auto"/>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Totali i zërave jashtë bilancit të aktivit (kundërvlera në milionë lekë)</w:t>
            </w:r>
          </w:p>
        </w:tc>
        <w:tc>
          <w:tcPr>
            <w:tcW w:w="540"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56"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24"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5"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92" w:type="pct"/>
            <w:tcBorders>
              <w:top w:val="nil"/>
              <w:left w:val="nil"/>
              <w:bottom w:val="single" w:sz="8" w:space="0" w:color="auto"/>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jc w:val="center"/>
        </w:trPr>
        <w:tc>
          <w:tcPr>
            <w:tcW w:w="2831" w:type="pct"/>
            <w:tcBorders>
              <w:top w:val="nil"/>
              <w:left w:val="nil"/>
              <w:bottom w:val="single" w:sz="8"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540"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356"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424"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455"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392" w:type="pct"/>
            <w:tcBorders>
              <w:top w:val="nil"/>
              <w:left w:val="nil"/>
              <w:bottom w:val="single" w:sz="8"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jc w:val="center"/>
        </w:trPr>
        <w:tc>
          <w:tcPr>
            <w:tcW w:w="2831" w:type="pct"/>
            <w:tcBorders>
              <w:top w:val="nil"/>
              <w:left w:val="single" w:sz="8" w:space="0" w:color="auto"/>
              <w:bottom w:val="single" w:sz="8" w:space="0" w:color="auto"/>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G.  P a s i v i</w:t>
            </w:r>
          </w:p>
        </w:tc>
        <w:tc>
          <w:tcPr>
            <w:tcW w:w="540" w:type="pct"/>
            <w:tcBorders>
              <w:top w:val="single" w:sz="8" w:space="0" w:color="auto"/>
              <w:left w:val="nil"/>
              <w:bottom w:val="single" w:sz="8" w:space="0" w:color="auto"/>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USD </w:t>
            </w:r>
          </w:p>
        </w:tc>
        <w:tc>
          <w:tcPr>
            <w:tcW w:w="356" w:type="pct"/>
            <w:tcBorders>
              <w:top w:val="single" w:sz="8" w:space="0" w:color="auto"/>
              <w:left w:val="nil"/>
              <w:bottom w:val="single" w:sz="8" w:space="0" w:color="auto"/>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EURO </w:t>
            </w:r>
          </w:p>
        </w:tc>
        <w:tc>
          <w:tcPr>
            <w:tcW w:w="424" w:type="pct"/>
            <w:tcBorders>
              <w:top w:val="single" w:sz="8" w:space="0" w:color="auto"/>
              <w:left w:val="nil"/>
              <w:bottom w:val="single" w:sz="8" w:space="0" w:color="auto"/>
              <w:right w:val="single" w:sz="4"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CHF </w:t>
            </w:r>
          </w:p>
        </w:tc>
        <w:tc>
          <w:tcPr>
            <w:tcW w:w="455" w:type="pct"/>
            <w:tcBorders>
              <w:top w:val="single" w:sz="8" w:space="0" w:color="auto"/>
              <w:left w:val="nil"/>
              <w:bottom w:val="single" w:sz="8" w:space="0" w:color="auto"/>
              <w:right w:val="nil"/>
            </w:tcBorders>
            <w:shd w:val="clear" w:color="auto" w:fill="C0C0C0"/>
            <w:noWrap/>
            <w:vAlign w:val="center"/>
          </w:tcPr>
          <w:p w:rsidR="00147603" w:rsidRPr="00147603" w:rsidRDefault="00147603" w:rsidP="00147603">
            <w:pPr>
              <w:pStyle w:val="Tabele"/>
              <w:rPr>
                <w:sz w:val="12"/>
              </w:rPr>
            </w:pPr>
            <w:r w:rsidRPr="00147603">
              <w:rPr>
                <w:sz w:val="12"/>
              </w:rPr>
              <w:t xml:space="preserve"> AR </w:t>
            </w:r>
          </w:p>
        </w:tc>
        <w:tc>
          <w:tcPr>
            <w:tcW w:w="392" w:type="pct"/>
            <w:tcBorders>
              <w:top w:val="nil"/>
              <w:left w:val="single" w:sz="4" w:space="0" w:color="auto"/>
              <w:bottom w:val="single" w:sz="8" w:space="0" w:color="auto"/>
              <w:right w:val="single" w:sz="8" w:space="0" w:color="auto"/>
            </w:tcBorders>
            <w:shd w:val="clear" w:color="auto" w:fill="C0C0C0"/>
            <w:noWrap/>
            <w:vAlign w:val="center"/>
          </w:tcPr>
          <w:p w:rsidR="00147603" w:rsidRPr="00147603" w:rsidRDefault="00147603" w:rsidP="00147603">
            <w:pPr>
              <w:pStyle w:val="Tabele"/>
              <w:rPr>
                <w:sz w:val="12"/>
              </w:rPr>
            </w:pPr>
            <w:r w:rsidRPr="00147603">
              <w:rPr>
                <w:sz w:val="12"/>
              </w:rPr>
              <w:t xml:space="preserve"> TOTALI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1. Angazhime financimi të marra</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5" w:type="pct"/>
            <w:tcBorders>
              <w:top w:val="nil"/>
              <w:left w:val="nil"/>
              <w:bottom w:val="nil"/>
              <w:right w:val="nil"/>
            </w:tcBorders>
            <w:noWrap/>
            <w:vAlign w:val="bottom"/>
          </w:tcPr>
          <w:p w:rsidR="00147603" w:rsidRPr="00147603" w:rsidRDefault="00147603" w:rsidP="00147603">
            <w:pPr>
              <w:pStyle w:val="Tabele"/>
              <w:rPr>
                <w:sz w:val="12"/>
              </w:rPr>
            </w:pPr>
          </w:p>
        </w:tc>
        <w:tc>
          <w:tcPr>
            <w:tcW w:w="392"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xml:space="preserve">nga bankat dhe institucionet e kreditit </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5" w:type="pct"/>
            <w:tcBorders>
              <w:top w:val="nil"/>
              <w:left w:val="nil"/>
              <w:bottom w:val="nil"/>
              <w:right w:val="nil"/>
            </w:tcBorders>
            <w:noWrap/>
            <w:vAlign w:val="bottom"/>
          </w:tcPr>
          <w:p w:rsidR="00147603" w:rsidRPr="00147603" w:rsidRDefault="00147603" w:rsidP="00147603">
            <w:pPr>
              <w:pStyle w:val="Tabele"/>
              <w:rPr>
                <w:sz w:val="12"/>
              </w:rPr>
            </w:pPr>
          </w:p>
        </w:tc>
        <w:tc>
          <w:tcPr>
            <w:tcW w:w="392"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nga klientët</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5" w:type="pct"/>
            <w:tcBorders>
              <w:top w:val="nil"/>
              <w:left w:val="nil"/>
              <w:bottom w:val="nil"/>
              <w:right w:val="nil"/>
            </w:tcBorders>
            <w:noWrap/>
            <w:vAlign w:val="bottom"/>
          </w:tcPr>
          <w:p w:rsidR="00147603" w:rsidRPr="00147603" w:rsidRDefault="00147603" w:rsidP="00147603">
            <w:pPr>
              <w:pStyle w:val="Tabele"/>
              <w:rPr>
                <w:sz w:val="12"/>
              </w:rPr>
            </w:pPr>
          </w:p>
        </w:tc>
        <w:tc>
          <w:tcPr>
            <w:tcW w:w="392"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xml:space="preserve">2. Garanci të marra </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5" w:type="pct"/>
            <w:tcBorders>
              <w:top w:val="nil"/>
              <w:left w:val="nil"/>
              <w:bottom w:val="nil"/>
              <w:right w:val="nil"/>
            </w:tcBorders>
            <w:noWrap/>
            <w:vAlign w:val="bottom"/>
          </w:tcPr>
          <w:p w:rsidR="00147603" w:rsidRPr="00147603" w:rsidRDefault="00147603" w:rsidP="00147603">
            <w:pPr>
              <w:pStyle w:val="Tabele"/>
              <w:rPr>
                <w:sz w:val="12"/>
              </w:rPr>
            </w:pPr>
          </w:p>
        </w:tc>
        <w:tc>
          <w:tcPr>
            <w:tcW w:w="392"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 xml:space="preserve">nga bankat dhe institucionet e kreditit </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5" w:type="pct"/>
            <w:tcBorders>
              <w:top w:val="nil"/>
              <w:left w:val="nil"/>
              <w:bottom w:val="nil"/>
              <w:right w:val="nil"/>
            </w:tcBorders>
            <w:noWrap/>
            <w:vAlign w:val="bottom"/>
          </w:tcPr>
          <w:p w:rsidR="00147603" w:rsidRPr="00147603" w:rsidRDefault="00147603" w:rsidP="00147603">
            <w:pPr>
              <w:pStyle w:val="Tabele"/>
              <w:rPr>
                <w:sz w:val="12"/>
              </w:rPr>
            </w:pPr>
          </w:p>
        </w:tc>
        <w:tc>
          <w:tcPr>
            <w:tcW w:w="392"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nga klientët</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5" w:type="pct"/>
            <w:tcBorders>
              <w:top w:val="nil"/>
              <w:left w:val="nil"/>
              <w:bottom w:val="nil"/>
              <w:right w:val="nil"/>
            </w:tcBorders>
            <w:noWrap/>
            <w:vAlign w:val="bottom"/>
          </w:tcPr>
          <w:p w:rsidR="00147603" w:rsidRPr="00147603" w:rsidRDefault="00147603" w:rsidP="00147603">
            <w:pPr>
              <w:pStyle w:val="Tabele"/>
              <w:rPr>
                <w:sz w:val="12"/>
              </w:rPr>
            </w:pPr>
          </w:p>
        </w:tc>
        <w:tc>
          <w:tcPr>
            <w:tcW w:w="392"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3. Angazhime për letra me vlerë për t'u dhënë</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5"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392"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4. Letra me vlerë të marra si garanci për një kredi ose rifinancim</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5"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392"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5. Letra me vlerë të dhëna hua</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5"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392"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rPr>
            </w:pPr>
            <w:r w:rsidRPr="00147603">
              <w:rPr>
                <w:sz w:val="12"/>
              </w:rPr>
              <w:t>6. Angazhime të tjera</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rPr>
            </w:pPr>
            <w:r w:rsidRPr="00147603">
              <w:rPr>
                <w:sz w:val="12"/>
              </w:rPr>
              <w:t> </w:t>
            </w:r>
          </w:p>
        </w:tc>
        <w:tc>
          <w:tcPr>
            <w:tcW w:w="455" w:type="pct"/>
            <w:tcBorders>
              <w:top w:val="nil"/>
              <w:left w:val="nil"/>
              <w:bottom w:val="nil"/>
              <w:right w:val="nil"/>
            </w:tcBorders>
            <w:noWrap/>
            <w:vAlign w:val="bottom"/>
          </w:tcPr>
          <w:p w:rsidR="00147603" w:rsidRPr="00147603" w:rsidRDefault="00147603" w:rsidP="00147603">
            <w:pPr>
              <w:pStyle w:val="Tabele"/>
              <w:rPr>
                <w:sz w:val="12"/>
              </w:rPr>
            </w:pPr>
          </w:p>
        </w:tc>
        <w:tc>
          <w:tcPr>
            <w:tcW w:w="392"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rPr>
            </w:pPr>
            <w:r w:rsidRPr="00147603">
              <w:rPr>
                <w:sz w:val="12"/>
              </w:rPr>
              <w:t> </w:t>
            </w:r>
          </w:p>
        </w:tc>
      </w:tr>
      <w:tr w:rsidR="00147603" w:rsidRPr="00147603" w:rsidTr="00147603">
        <w:trPr>
          <w:trHeight w:val="139"/>
          <w:jc w:val="center"/>
        </w:trPr>
        <w:tc>
          <w:tcPr>
            <w:tcW w:w="2831" w:type="pct"/>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7. Angazhime për instrumente financiare të marra</w:t>
            </w:r>
          </w:p>
        </w:tc>
        <w:tc>
          <w:tcPr>
            <w:tcW w:w="540"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56"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24" w:type="pct"/>
            <w:tcBorders>
              <w:top w:val="nil"/>
              <w:left w:val="nil"/>
              <w:bottom w:val="nil"/>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5" w:type="pct"/>
            <w:tcBorders>
              <w:top w:val="nil"/>
              <w:left w:val="nil"/>
              <w:bottom w:val="nil"/>
              <w:right w:val="nil"/>
            </w:tcBorders>
            <w:noWrap/>
            <w:vAlign w:val="bottom"/>
          </w:tcPr>
          <w:p w:rsidR="00147603" w:rsidRPr="00147603" w:rsidRDefault="00147603" w:rsidP="00147603">
            <w:pPr>
              <w:pStyle w:val="Tabele"/>
              <w:rPr>
                <w:sz w:val="12"/>
                <w:lang w:val="it-IT"/>
              </w:rPr>
            </w:pPr>
          </w:p>
        </w:tc>
        <w:tc>
          <w:tcPr>
            <w:tcW w:w="392" w:type="pct"/>
            <w:tcBorders>
              <w:top w:val="nil"/>
              <w:left w:val="single" w:sz="4" w:space="0" w:color="auto"/>
              <w:bottom w:val="nil"/>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jc w:val="center"/>
        </w:trPr>
        <w:tc>
          <w:tcPr>
            <w:tcW w:w="2831" w:type="pct"/>
            <w:tcBorders>
              <w:top w:val="single" w:sz="8" w:space="0" w:color="auto"/>
              <w:left w:val="single" w:sz="8" w:space="0" w:color="auto"/>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Totali i zërave jashtë bilancit të pasivit</w:t>
            </w:r>
          </w:p>
        </w:tc>
        <w:tc>
          <w:tcPr>
            <w:tcW w:w="540"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56"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24" w:type="pct"/>
            <w:tcBorders>
              <w:top w:val="single" w:sz="8" w:space="0" w:color="auto"/>
              <w:left w:val="nil"/>
              <w:bottom w:val="single" w:sz="4"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5" w:type="pct"/>
            <w:tcBorders>
              <w:top w:val="single" w:sz="8" w:space="0" w:color="auto"/>
              <w:left w:val="nil"/>
              <w:bottom w:val="single" w:sz="4"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392" w:type="pct"/>
            <w:tcBorders>
              <w:top w:val="single" w:sz="8" w:space="0" w:color="auto"/>
              <w:left w:val="single" w:sz="4" w:space="0" w:color="auto"/>
              <w:bottom w:val="single" w:sz="4" w:space="0" w:color="auto"/>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jc w:val="center"/>
        </w:trPr>
        <w:tc>
          <w:tcPr>
            <w:tcW w:w="2831" w:type="pct"/>
            <w:tcBorders>
              <w:top w:val="nil"/>
              <w:left w:val="single" w:sz="8" w:space="0" w:color="auto"/>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Totali i zërave jashtë bilancit të pasivit (kundërvlera në milionë lekë)</w:t>
            </w:r>
          </w:p>
        </w:tc>
        <w:tc>
          <w:tcPr>
            <w:tcW w:w="540"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356"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24" w:type="pct"/>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lang w:val="it-IT"/>
              </w:rPr>
            </w:pPr>
            <w:r w:rsidRPr="00147603">
              <w:rPr>
                <w:sz w:val="12"/>
                <w:lang w:val="it-IT"/>
              </w:rPr>
              <w:t> </w:t>
            </w:r>
          </w:p>
        </w:tc>
        <w:tc>
          <w:tcPr>
            <w:tcW w:w="455" w:type="pct"/>
            <w:tcBorders>
              <w:top w:val="nil"/>
              <w:left w:val="nil"/>
              <w:bottom w:val="single" w:sz="8" w:space="0" w:color="auto"/>
              <w:right w:val="nil"/>
            </w:tcBorders>
            <w:noWrap/>
            <w:vAlign w:val="bottom"/>
          </w:tcPr>
          <w:p w:rsidR="00147603" w:rsidRPr="00147603" w:rsidRDefault="00147603" w:rsidP="00147603">
            <w:pPr>
              <w:pStyle w:val="Tabele"/>
              <w:rPr>
                <w:sz w:val="12"/>
                <w:lang w:val="it-IT"/>
              </w:rPr>
            </w:pPr>
            <w:r w:rsidRPr="00147603">
              <w:rPr>
                <w:sz w:val="12"/>
                <w:lang w:val="it-IT"/>
              </w:rPr>
              <w:t> </w:t>
            </w:r>
          </w:p>
        </w:tc>
        <w:tc>
          <w:tcPr>
            <w:tcW w:w="392" w:type="pct"/>
            <w:tcBorders>
              <w:top w:val="nil"/>
              <w:left w:val="single" w:sz="4" w:space="0" w:color="auto"/>
              <w:bottom w:val="single" w:sz="8" w:space="0" w:color="auto"/>
              <w:right w:val="single" w:sz="8" w:space="0" w:color="auto"/>
            </w:tcBorders>
            <w:noWrap/>
            <w:vAlign w:val="bottom"/>
          </w:tcPr>
          <w:p w:rsidR="00147603" w:rsidRPr="00147603" w:rsidRDefault="00147603" w:rsidP="00147603">
            <w:pPr>
              <w:pStyle w:val="Tabele"/>
              <w:rPr>
                <w:sz w:val="12"/>
                <w:lang w:val="it-IT"/>
              </w:rPr>
            </w:pPr>
            <w:r w:rsidRPr="00147603">
              <w:rPr>
                <w:sz w:val="12"/>
                <w:lang w:val="it-IT"/>
              </w:rPr>
              <w:t> </w:t>
            </w:r>
          </w:p>
        </w:tc>
      </w:tr>
      <w:tr w:rsidR="00147603" w:rsidRPr="00147603" w:rsidTr="00147603">
        <w:trPr>
          <w:trHeight w:val="139"/>
          <w:jc w:val="center"/>
        </w:trPr>
        <w:tc>
          <w:tcPr>
            <w:tcW w:w="2831" w:type="pct"/>
            <w:tcBorders>
              <w:top w:val="nil"/>
              <w:left w:val="single" w:sz="8" w:space="0" w:color="auto"/>
              <w:bottom w:val="single" w:sz="8" w:space="0" w:color="auto"/>
              <w:right w:val="single" w:sz="4" w:space="0" w:color="auto"/>
            </w:tcBorders>
            <w:shd w:val="clear" w:color="auto" w:fill="C0C0C0"/>
            <w:noWrap/>
            <w:vAlign w:val="bottom"/>
          </w:tcPr>
          <w:p w:rsidR="00147603" w:rsidRPr="00147603" w:rsidRDefault="00147603" w:rsidP="00147603">
            <w:pPr>
              <w:pStyle w:val="Tabele"/>
              <w:rPr>
                <w:sz w:val="12"/>
                <w:lang w:val="it-IT"/>
              </w:rPr>
            </w:pPr>
            <w:r w:rsidRPr="00147603">
              <w:rPr>
                <w:sz w:val="12"/>
                <w:lang w:val="it-IT"/>
              </w:rPr>
              <w:t>H) Zërat jashtë-bilancit  neto (kundërvlera në milionë lekë)  (F-G)</w:t>
            </w:r>
          </w:p>
        </w:tc>
        <w:tc>
          <w:tcPr>
            <w:tcW w:w="540" w:type="pct"/>
            <w:tcBorders>
              <w:top w:val="nil"/>
              <w:left w:val="nil"/>
              <w:bottom w:val="single" w:sz="8" w:space="0" w:color="auto"/>
              <w:right w:val="single" w:sz="4" w:space="0" w:color="auto"/>
            </w:tcBorders>
            <w:shd w:val="clear" w:color="auto" w:fill="C0C0C0"/>
            <w:noWrap/>
            <w:vAlign w:val="bottom"/>
          </w:tcPr>
          <w:p w:rsidR="00147603" w:rsidRPr="00147603" w:rsidRDefault="00147603" w:rsidP="00147603">
            <w:pPr>
              <w:pStyle w:val="Tabele"/>
              <w:rPr>
                <w:sz w:val="12"/>
                <w:lang w:val="it-IT"/>
              </w:rPr>
            </w:pPr>
            <w:r w:rsidRPr="00147603">
              <w:rPr>
                <w:sz w:val="12"/>
                <w:lang w:val="it-IT"/>
              </w:rPr>
              <w:t> </w:t>
            </w:r>
          </w:p>
        </w:tc>
        <w:tc>
          <w:tcPr>
            <w:tcW w:w="356" w:type="pct"/>
            <w:tcBorders>
              <w:top w:val="nil"/>
              <w:left w:val="nil"/>
              <w:bottom w:val="single" w:sz="8" w:space="0" w:color="auto"/>
              <w:right w:val="single" w:sz="4" w:space="0" w:color="auto"/>
            </w:tcBorders>
            <w:shd w:val="clear" w:color="auto" w:fill="C0C0C0"/>
            <w:noWrap/>
            <w:vAlign w:val="bottom"/>
          </w:tcPr>
          <w:p w:rsidR="00147603" w:rsidRPr="00147603" w:rsidRDefault="00147603" w:rsidP="00147603">
            <w:pPr>
              <w:pStyle w:val="Tabele"/>
              <w:rPr>
                <w:sz w:val="12"/>
                <w:lang w:val="it-IT"/>
              </w:rPr>
            </w:pPr>
            <w:r w:rsidRPr="00147603">
              <w:rPr>
                <w:sz w:val="12"/>
                <w:lang w:val="it-IT"/>
              </w:rPr>
              <w:t> </w:t>
            </w:r>
          </w:p>
        </w:tc>
        <w:tc>
          <w:tcPr>
            <w:tcW w:w="424" w:type="pct"/>
            <w:tcBorders>
              <w:top w:val="nil"/>
              <w:left w:val="nil"/>
              <w:bottom w:val="single" w:sz="8" w:space="0" w:color="auto"/>
              <w:right w:val="single" w:sz="4" w:space="0" w:color="auto"/>
            </w:tcBorders>
            <w:shd w:val="clear" w:color="auto" w:fill="C0C0C0"/>
            <w:noWrap/>
            <w:vAlign w:val="bottom"/>
          </w:tcPr>
          <w:p w:rsidR="00147603" w:rsidRPr="00147603" w:rsidRDefault="00147603" w:rsidP="00147603">
            <w:pPr>
              <w:pStyle w:val="Tabele"/>
              <w:rPr>
                <w:sz w:val="12"/>
                <w:lang w:val="it-IT"/>
              </w:rPr>
            </w:pPr>
            <w:r w:rsidRPr="00147603">
              <w:rPr>
                <w:sz w:val="12"/>
                <w:lang w:val="it-IT"/>
              </w:rPr>
              <w:t> </w:t>
            </w:r>
          </w:p>
        </w:tc>
        <w:tc>
          <w:tcPr>
            <w:tcW w:w="455" w:type="pct"/>
            <w:tcBorders>
              <w:top w:val="nil"/>
              <w:left w:val="nil"/>
              <w:bottom w:val="single" w:sz="8" w:space="0" w:color="auto"/>
              <w:right w:val="single" w:sz="4" w:space="0" w:color="auto"/>
            </w:tcBorders>
            <w:shd w:val="clear" w:color="auto" w:fill="C0C0C0"/>
            <w:noWrap/>
            <w:vAlign w:val="bottom"/>
          </w:tcPr>
          <w:p w:rsidR="00147603" w:rsidRPr="00147603" w:rsidRDefault="00147603" w:rsidP="00147603">
            <w:pPr>
              <w:pStyle w:val="Tabele"/>
              <w:rPr>
                <w:sz w:val="12"/>
                <w:lang w:val="it-IT"/>
              </w:rPr>
            </w:pPr>
            <w:r w:rsidRPr="00147603">
              <w:rPr>
                <w:sz w:val="12"/>
                <w:lang w:val="it-IT"/>
              </w:rPr>
              <w:t> </w:t>
            </w:r>
          </w:p>
        </w:tc>
        <w:tc>
          <w:tcPr>
            <w:tcW w:w="392" w:type="pct"/>
            <w:tcBorders>
              <w:top w:val="nil"/>
              <w:left w:val="nil"/>
              <w:bottom w:val="single" w:sz="8" w:space="0" w:color="auto"/>
              <w:right w:val="single" w:sz="8" w:space="0" w:color="auto"/>
            </w:tcBorders>
            <w:shd w:val="clear" w:color="auto" w:fill="C0C0C0"/>
            <w:noWrap/>
            <w:vAlign w:val="bottom"/>
          </w:tcPr>
          <w:p w:rsidR="00147603" w:rsidRPr="00147603" w:rsidRDefault="00147603" w:rsidP="00147603">
            <w:pPr>
              <w:pStyle w:val="Tabele"/>
              <w:rPr>
                <w:sz w:val="12"/>
                <w:lang w:val="it-IT"/>
              </w:rPr>
            </w:pPr>
            <w:r w:rsidRPr="00147603">
              <w:rPr>
                <w:sz w:val="12"/>
                <w:lang w:val="it-IT"/>
              </w:rPr>
              <w:t> </w:t>
            </w:r>
          </w:p>
        </w:tc>
      </w:tr>
    </w:tbl>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p w:rsidR="00147603" w:rsidRDefault="00147603" w:rsidP="00147603">
      <w:pPr>
        <w:pStyle w:val="Akti"/>
        <w:keepNext w:val="0"/>
        <w:rPr>
          <w:lang w:val="it-IT"/>
        </w:rPr>
      </w:pPr>
    </w:p>
    <w:tbl>
      <w:tblPr>
        <w:tblW w:w="0" w:type="auto"/>
        <w:jc w:val="center"/>
        <w:tblLook w:val="0000" w:firstRow="0" w:lastRow="0" w:firstColumn="0" w:lastColumn="0" w:noHBand="0" w:noVBand="0"/>
      </w:tblPr>
      <w:tblGrid>
        <w:gridCol w:w="4660"/>
        <w:gridCol w:w="904"/>
        <w:gridCol w:w="839"/>
        <w:gridCol w:w="1136"/>
        <w:gridCol w:w="1317"/>
      </w:tblGrid>
      <w:tr w:rsidR="00147603" w:rsidRPr="00147603" w:rsidTr="00147603">
        <w:trPr>
          <w:trHeight w:val="139"/>
          <w:jc w:val="center"/>
        </w:trPr>
        <w:tc>
          <w:tcPr>
            <w:tcW w:w="0" w:type="auto"/>
            <w:tcBorders>
              <w:top w:val="nil"/>
              <w:left w:val="nil"/>
              <w:bottom w:val="nil"/>
              <w:right w:val="nil"/>
            </w:tcBorders>
            <w:noWrap/>
            <w:vAlign w:val="bottom"/>
          </w:tcPr>
          <w:p w:rsidR="00147603" w:rsidRPr="00147603" w:rsidRDefault="00147603" w:rsidP="00147603">
            <w:pPr>
              <w:pStyle w:val="Tabele"/>
              <w:rPr>
                <w:sz w:val="12"/>
                <w:szCs w:val="12"/>
              </w:rPr>
            </w:pPr>
            <w:r w:rsidRPr="00147603">
              <w:rPr>
                <w:sz w:val="12"/>
                <w:szCs w:val="12"/>
              </w:rPr>
              <w:t>Formulari 6</w:t>
            </w: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r>
      <w:tr w:rsidR="00147603" w:rsidRPr="00147603" w:rsidTr="00147603">
        <w:trPr>
          <w:trHeight w:val="139"/>
          <w:jc w:val="center"/>
        </w:trPr>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r>
      <w:tr w:rsidR="00147603" w:rsidRPr="00147603" w:rsidTr="00147603">
        <w:trPr>
          <w:trHeight w:val="139"/>
          <w:jc w:val="center"/>
        </w:trPr>
        <w:tc>
          <w:tcPr>
            <w:tcW w:w="0" w:type="auto"/>
            <w:tcBorders>
              <w:top w:val="single" w:sz="8" w:space="0" w:color="auto"/>
              <w:left w:val="single" w:sz="8" w:space="0" w:color="auto"/>
              <w:bottom w:val="nil"/>
              <w:right w:val="single" w:sz="8" w:space="0" w:color="auto"/>
            </w:tcBorders>
            <w:shd w:val="clear" w:color="auto" w:fill="C0C0C0"/>
            <w:noWrap/>
            <w:vAlign w:val="center"/>
          </w:tcPr>
          <w:p w:rsidR="00147603" w:rsidRPr="00147603" w:rsidRDefault="00147603" w:rsidP="00147603">
            <w:pPr>
              <w:pStyle w:val="Tabele"/>
              <w:rPr>
                <w:sz w:val="12"/>
                <w:szCs w:val="12"/>
              </w:rPr>
            </w:pPr>
            <w:r w:rsidRPr="00147603">
              <w:rPr>
                <w:sz w:val="12"/>
                <w:szCs w:val="12"/>
              </w:rPr>
              <w:t>POZICIONET E HAPURA VALUTORE</w:t>
            </w:r>
          </w:p>
        </w:tc>
        <w:tc>
          <w:tcPr>
            <w:tcW w:w="0" w:type="auto"/>
            <w:tcBorders>
              <w:top w:val="single" w:sz="8" w:space="0" w:color="auto"/>
              <w:left w:val="nil"/>
              <w:bottom w:val="nil"/>
              <w:right w:val="single" w:sz="8" w:space="0" w:color="auto"/>
            </w:tcBorders>
            <w:shd w:val="clear" w:color="auto" w:fill="C0C0C0"/>
            <w:vAlign w:val="center"/>
          </w:tcPr>
          <w:p w:rsidR="00147603" w:rsidRPr="00147603" w:rsidRDefault="00147603" w:rsidP="00147603">
            <w:pPr>
              <w:pStyle w:val="Tabele"/>
              <w:rPr>
                <w:sz w:val="12"/>
                <w:szCs w:val="12"/>
              </w:rPr>
            </w:pPr>
            <w:r w:rsidRPr="00147603">
              <w:rPr>
                <w:sz w:val="12"/>
                <w:szCs w:val="12"/>
              </w:rPr>
              <w:t>Ekuivalenti në</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C0C0C0"/>
            <w:vAlign w:val="center"/>
          </w:tcPr>
          <w:p w:rsidR="00147603" w:rsidRPr="00147603" w:rsidRDefault="00147603" w:rsidP="00147603">
            <w:pPr>
              <w:pStyle w:val="Tabele"/>
              <w:rPr>
                <w:sz w:val="12"/>
                <w:szCs w:val="12"/>
              </w:rPr>
            </w:pPr>
            <w:r w:rsidRPr="00147603">
              <w:rPr>
                <w:sz w:val="12"/>
                <w:szCs w:val="12"/>
              </w:rPr>
              <w:t xml:space="preserve"> Zërat jashtë-bilancit neto </w:t>
            </w:r>
          </w:p>
        </w:tc>
        <w:tc>
          <w:tcPr>
            <w:tcW w:w="0" w:type="auto"/>
            <w:tcBorders>
              <w:top w:val="single" w:sz="8" w:space="0" w:color="auto"/>
              <w:left w:val="nil"/>
              <w:bottom w:val="nil"/>
              <w:right w:val="single" w:sz="8" w:space="0" w:color="auto"/>
            </w:tcBorders>
            <w:shd w:val="clear" w:color="auto" w:fill="C0C0C0"/>
            <w:noWrap/>
            <w:vAlign w:val="center"/>
          </w:tcPr>
          <w:p w:rsidR="00147603" w:rsidRPr="00147603" w:rsidRDefault="00147603" w:rsidP="00147603">
            <w:pPr>
              <w:pStyle w:val="Tabele"/>
              <w:rPr>
                <w:sz w:val="12"/>
                <w:szCs w:val="12"/>
              </w:rPr>
            </w:pPr>
            <w:r w:rsidRPr="00147603">
              <w:rPr>
                <w:sz w:val="12"/>
                <w:szCs w:val="12"/>
              </w:rPr>
              <w:t xml:space="preserve">  Pozicioni total  </w:t>
            </w:r>
          </w:p>
        </w:tc>
        <w:tc>
          <w:tcPr>
            <w:tcW w:w="0" w:type="auto"/>
            <w:tcBorders>
              <w:top w:val="single" w:sz="8" w:space="0" w:color="auto"/>
              <w:left w:val="nil"/>
              <w:bottom w:val="nil"/>
              <w:right w:val="single" w:sz="8" w:space="0" w:color="auto"/>
            </w:tcBorders>
            <w:shd w:val="clear" w:color="auto" w:fill="C0C0C0"/>
            <w:vAlign w:val="center"/>
          </w:tcPr>
          <w:p w:rsidR="00147603" w:rsidRPr="00147603" w:rsidRDefault="00147603" w:rsidP="00147603">
            <w:pPr>
              <w:pStyle w:val="Tabele"/>
              <w:rPr>
                <w:sz w:val="12"/>
                <w:szCs w:val="12"/>
                <w:lang w:val="it-IT"/>
              </w:rPr>
            </w:pPr>
            <w:r w:rsidRPr="00147603">
              <w:rPr>
                <w:sz w:val="12"/>
                <w:szCs w:val="12"/>
                <w:lang w:val="it-IT"/>
              </w:rPr>
              <w:t>Pozicioni neto i hapur valutor në lek/</w:t>
            </w:r>
          </w:p>
        </w:tc>
      </w:tr>
      <w:tr w:rsidR="00147603" w:rsidRPr="00147603" w:rsidTr="00147603">
        <w:trPr>
          <w:trHeight w:val="139"/>
          <w:jc w:val="center"/>
        </w:trPr>
        <w:tc>
          <w:tcPr>
            <w:tcW w:w="0" w:type="auto"/>
            <w:vMerge w:val="restart"/>
            <w:tcBorders>
              <w:top w:val="nil"/>
              <w:left w:val="single" w:sz="8" w:space="0" w:color="auto"/>
              <w:bottom w:val="single" w:sz="8" w:space="0" w:color="000000"/>
              <w:right w:val="single" w:sz="8" w:space="0" w:color="auto"/>
            </w:tcBorders>
            <w:shd w:val="clear" w:color="auto" w:fill="C0C0C0"/>
            <w:vAlign w:val="center"/>
          </w:tcPr>
          <w:p w:rsidR="00147603" w:rsidRPr="00147603" w:rsidRDefault="00147603" w:rsidP="00147603">
            <w:pPr>
              <w:pStyle w:val="Tabele"/>
              <w:rPr>
                <w:sz w:val="12"/>
                <w:szCs w:val="12"/>
              </w:rPr>
            </w:pPr>
            <w:r w:rsidRPr="00147603">
              <w:rPr>
                <w:sz w:val="12"/>
                <w:szCs w:val="12"/>
              </w:rPr>
              <w:t>Monedha</w:t>
            </w:r>
          </w:p>
        </w:tc>
        <w:tc>
          <w:tcPr>
            <w:tcW w:w="0" w:type="auto"/>
            <w:tcBorders>
              <w:top w:val="nil"/>
              <w:left w:val="nil"/>
              <w:bottom w:val="nil"/>
              <w:right w:val="single" w:sz="8" w:space="0" w:color="auto"/>
            </w:tcBorders>
            <w:shd w:val="clear" w:color="auto" w:fill="C0C0C0"/>
            <w:vAlign w:val="center"/>
          </w:tcPr>
          <w:p w:rsidR="00147603" w:rsidRPr="00147603" w:rsidRDefault="00147603" w:rsidP="00147603">
            <w:pPr>
              <w:pStyle w:val="Tabele"/>
              <w:rPr>
                <w:sz w:val="12"/>
                <w:szCs w:val="12"/>
              </w:rPr>
            </w:pPr>
            <w:r w:rsidRPr="00147603">
              <w:rPr>
                <w:sz w:val="12"/>
                <w:szCs w:val="12"/>
              </w:rPr>
              <w:t>Lek i pozicionit</w:t>
            </w:r>
          </w:p>
        </w:tc>
        <w:tc>
          <w:tcPr>
            <w:tcW w:w="0" w:type="auto"/>
            <w:vMerge/>
            <w:tcBorders>
              <w:top w:val="single" w:sz="8" w:space="0" w:color="auto"/>
              <w:left w:val="single" w:sz="8" w:space="0" w:color="auto"/>
              <w:bottom w:val="single" w:sz="8" w:space="0" w:color="000000"/>
              <w:right w:val="single" w:sz="8" w:space="0" w:color="auto"/>
            </w:tcBorders>
            <w:vAlign w:val="center"/>
          </w:tcPr>
          <w:p w:rsidR="00147603" w:rsidRPr="00147603" w:rsidRDefault="00147603" w:rsidP="00147603">
            <w:pPr>
              <w:pStyle w:val="Tabele"/>
              <w:rPr>
                <w:sz w:val="12"/>
                <w:szCs w:val="12"/>
              </w:rPr>
            </w:pPr>
          </w:p>
        </w:tc>
        <w:tc>
          <w:tcPr>
            <w:tcW w:w="0" w:type="auto"/>
            <w:tcBorders>
              <w:top w:val="nil"/>
              <w:left w:val="nil"/>
              <w:bottom w:val="nil"/>
              <w:right w:val="single" w:sz="8" w:space="0" w:color="auto"/>
            </w:tcBorders>
            <w:shd w:val="clear" w:color="auto" w:fill="C0C0C0"/>
            <w:vAlign w:val="center"/>
          </w:tcPr>
          <w:p w:rsidR="00147603" w:rsidRPr="00147603" w:rsidRDefault="00147603" w:rsidP="00147603">
            <w:pPr>
              <w:pStyle w:val="Tabele"/>
              <w:rPr>
                <w:sz w:val="12"/>
                <w:szCs w:val="12"/>
              </w:rPr>
            </w:pPr>
            <w:r w:rsidRPr="00147603">
              <w:rPr>
                <w:sz w:val="12"/>
                <w:szCs w:val="12"/>
              </w:rPr>
              <w:t xml:space="preserve"> përfshirë zërat e tjerë  </w:t>
            </w:r>
          </w:p>
        </w:tc>
        <w:tc>
          <w:tcPr>
            <w:tcW w:w="0" w:type="auto"/>
            <w:tcBorders>
              <w:top w:val="nil"/>
              <w:left w:val="nil"/>
              <w:bottom w:val="nil"/>
              <w:right w:val="single" w:sz="8" w:space="0" w:color="auto"/>
            </w:tcBorders>
            <w:shd w:val="clear" w:color="auto" w:fill="C0C0C0"/>
            <w:vAlign w:val="center"/>
          </w:tcPr>
          <w:p w:rsidR="00147603" w:rsidRPr="00147603" w:rsidRDefault="00147603" w:rsidP="00147603">
            <w:pPr>
              <w:pStyle w:val="Tabele"/>
              <w:rPr>
                <w:sz w:val="12"/>
                <w:szCs w:val="12"/>
              </w:rPr>
            </w:pPr>
            <w:r w:rsidRPr="00147603">
              <w:rPr>
                <w:sz w:val="12"/>
                <w:szCs w:val="12"/>
              </w:rPr>
              <w:t>kapitalit rregullator</w:t>
            </w:r>
          </w:p>
        </w:tc>
      </w:tr>
      <w:tr w:rsidR="00147603" w:rsidRPr="00147603" w:rsidTr="00147603">
        <w:trPr>
          <w:trHeight w:val="139"/>
          <w:jc w:val="center"/>
        </w:trPr>
        <w:tc>
          <w:tcPr>
            <w:tcW w:w="0" w:type="auto"/>
            <w:vMerge/>
            <w:tcBorders>
              <w:top w:val="nil"/>
              <w:left w:val="single" w:sz="8" w:space="0" w:color="auto"/>
              <w:bottom w:val="single" w:sz="8" w:space="0" w:color="000000"/>
              <w:right w:val="single" w:sz="8" w:space="0" w:color="auto"/>
            </w:tcBorders>
            <w:vAlign w:val="center"/>
          </w:tcPr>
          <w:p w:rsidR="00147603" w:rsidRPr="00147603" w:rsidRDefault="00147603" w:rsidP="00147603">
            <w:pPr>
              <w:pStyle w:val="Tabele"/>
              <w:rPr>
                <w:sz w:val="12"/>
                <w:szCs w:val="12"/>
              </w:rPr>
            </w:pPr>
          </w:p>
        </w:tc>
        <w:tc>
          <w:tcPr>
            <w:tcW w:w="0" w:type="auto"/>
            <w:tcBorders>
              <w:top w:val="nil"/>
              <w:left w:val="nil"/>
              <w:bottom w:val="single" w:sz="8" w:space="0" w:color="auto"/>
              <w:right w:val="single" w:sz="8" w:space="0" w:color="auto"/>
            </w:tcBorders>
            <w:shd w:val="clear" w:color="auto" w:fill="C0C0C0"/>
            <w:vAlign w:val="center"/>
          </w:tcPr>
          <w:p w:rsidR="00147603" w:rsidRPr="00147603" w:rsidRDefault="00147603" w:rsidP="00147603">
            <w:pPr>
              <w:pStyle w:val="Tabele"/>
              <w:rPr>
                <w:sz w:val="12"/>
                <w:szCs w:val="12"/>
              </w:rPr>
            </w:pPr>
            <w:r w:rsidRPr="00147603">
              <w:rPr>
                <w:sz w:val="12"/>
                <w:szCs w:val="12"/>
              </w:rPr>
              <w:t>neto të hapur valutor</w:t>
            </w:r>
          </w:p>
        </w:tc>
        <w:tc>
          <w:tcPr>
            <w:tcW w:w="0" w:type="auto"/>
            <w:vMerge/>
            <w:tcBorders>
              <w:top w:val="single" w:sz="8" w:space="0" w:color="auto"/>
              <w:left w:val="single" w:sz="8" w:space="0" w:color="auto"/>
              <w:bottom w:val="single" w:sz="8" w:space="0" w:color="000000"/>
              <w:right w:val="single" w:sz="8" w:space="0" w:color="auto"/>
            </w:tcBorders>
            <w:vAlign w:val="center"/>
          </w:tcPr>
          <w:p w:rsidR="00147603" w:rsidRPr="00147603" w:rsidRDefault="00147603" w:rsidP="00147603">
            <w:pPr>
              <w:pStyle w:val="Tabele"/>
              <w:rPr>
                <w:sz w:val="12"/>
                <w:szCs w:val="12"/>
              </w:rPr>
            </w:pPr>
          </w:p>
        </w:tc>
        <w:tc>
          <w:tcPr>
            <w:tcW w:w="0" w:type="auto"/>
            <w:tcBorders>
              <w:top w:val="nil"/>
              <w:left w:val="nil"/>
              <w:bottom w:val="single" w:sz="8" w:space="0" w:color="auto"/>
              <w:right w:val="single" w:sz="8" w:space="0" w:color="auto"/>
            </w:tcBorders>
            <w:shd w:val="clear" w:color="auto" w:fill="C0C0C0"/>
            <w:noWrap/>
            <w:vAlign w:val="center"/>
          </w:tcPr>
          <w:p w:rsidR="00147603" w:rsidRPr="00147603" w:rsidRDefault="00147603" w:rsidP="00147603">
            <w:pPr>
              <w:pStyle w:val="Tabele"/>
              <w:rPr>
                <w:sz w:val="12"/>
                <w:szCs w:val="12"/>
              </w:rPr>
            </w:pPr>
            <w:r w:rsidRPr="00147603">
              <w:rPr>
                <w:sz w:val="12"/>
                <w:szCs w:val="12"/>
              </w:rPr>
              <w:t xml:space="preserve"> jashtë-bilancit </w:t>
            </w:r>
          </w:p>
        </w:tc>
        <w:tc>
          <w:tcPr>
            <w:tcW w:w="0" w:type="auto"/>
            <w:tcBorders>
              <w:top w:val="nil"/>
              <w:left w:val="nil"/>
              <w:bottom w:val="single" w:sz="8" w:space="0" w:color="auto"/>
              <w:right w:val="single" w:sz="8" w:space="0" w:color="auto"/>
            </w:tcBorders>
            <w:shd w:val="clear" w:color="auto" w:fill="C0C0C0"/>
            <w:vAlign w:val="center"/>
          </w:tcPr>
          <w:p w:rsidR="00147603" w:rsidRPr="00147603" w:rsidRDefault="00147603" w:rsidP="00147603">
            <w:pPr>
              <w:pStyle w:val="Tabele"/>
              <w:rPr>
                <w:sz w:val="12"/>
                <w:szCs w:val="12"/>
              </w:rPr>
            </w:pPr>
            <w:r w:rsidRPr="00147603">
              <w:rPr>
                <w:sz w:val="12"/>
                <w:szCs w:val="12"/>
              </w:rPr>
              <w:t> </w:t>
            </w:r>
          </w:p>
        </w:tc>
      </w:tr>
      <w:tr w:rsidR="00147603" w:rsidRPr="00147603" w:rsidTr="00147603">
        <w:trPr>
          <w:trHeight w:val="139"/>
          <w:jc w:val="center"/>
        </w:trPr>
        <w:tc>
          <w:tcPr>
            <w:tcW w:w="0" w:type="auto"/>
            <w:tcBorders>
              <w:top w:val="nil"/>
              <w:left w:val="single" w:sz="8" w:space="0" w:color="auto"/>
              <w:bottom w:val="single" w:sz="4"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(1)</w:t>
            </w:r>
          </w:p>
        </w:tc>
        <w:tc>
          <w:tcPr>
            <w:tcW w:w="0" w:type="auto"/>
            <w:tcBorders>
              <w:top w:val="nil"/>
              <w:left w:val="nil"/>
              <w:bottom w:val="single" w:sz="4"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(2)</w:t>
            </w:r>
          </w:p>
        </w:tc>
        <w:tc>
          <w:tcPr>
            <w:tcW w:w="0" w:type="auto"/>
            <w:tcBorders>
              <w:top w:val="nil"/>
              <w:left w:val="nil"/>
              <w:bottom w:val="single" w:sz="4"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(3)</w:t>
            </w:r>
          </w:p>
        </w:tc>
        <w:tc>
          <w:tcPr>
            <w:tcW w:w="0" w:type="auto"/>
            <w:tcBorders>
              <w:top w:val="nil"/>
              <w:left w:val="nil"/>
              <w:bottom w:val="single" w:sz="4"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(4) = '(2) + '(3)</w:t>
            </w:r>
          </w:p>
        </w:tc>
        <w:tc>
          <w:tcPr>
            <w:tcW w:w="0" w:type="auto"/>
            <w:tcBorders>
              <w:top w:val="nil"/>
              <w:left w:val="nil"/>
              <w:bottom w:val="single" w:sz="4" w:space="0" w:color="auto"/>
              <w:right w:val="single" w:sz="8" w:space="0" w:color="auto"/>
            </w:tcBorders>
            <w:noWrap/>
            <w:vAlign w:val="bottom"/>
          </w:tcPr>
          <w:p w:rsidR="00147603" w:rsidRPr="00147603" w:rsidRDefault="00147603" w:rsidP="00147603">
            <w:pPr>
              <w:pStyle w:val="Tabele"/>
              <w:rPr>
                <w:sz w:val="12"/>
                <w:szCs w:val="12"/>
              </w:rPr>
            </w:pPr>
            <w:r w:rsidRPr="00147603">
              <w:rPr>
                <w:sz w:val="12"/>
                <w:szCs w:val="12"/>
              </w:rPr>
              <w:t>(5)=(4)/(7)*100</w:t>
            </w:r>
          </w:p>
        </w:tc>
      </w:tr>
      <w:tr w:rsidR="00147603" w:rsidRPr="00147603" w:rsidTr="00147603">
        <w:trPr>
          <w:trHeight w:val="139"/>
          <w:jc w:val="center"/>
        </w:trPr>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xml:space="preserve"> USD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szCs w:val="12"/>
              </w:rPr>
            </w:pPr>
            <w:r w:rsidRPr="00147603">
              <w:rPr>
                <w:sz w:val="12"/>
                <w:szCs w:val="12"/>
              </w:rPr>
              <w:t> </w:t>
            </w:r>
          </w:p>
        </w:tc>
      </w:tr>
      <w:tr w:rsidR="00147603" w:rsidRPr="00147603" w:rsidTr="00147603">
        <w:trPr>
          <w:trHeight w:val="139"/>
          <w:jc w:val="center"/>
        </w:trPr>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xml:space="preserve"> EURO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szCs w:val="12"/>
              </w:rPr>
            </w:pPr>
            <w:r w:rsidRPr="00147603">
              <w:rPr>
                <w:sz w:val="12"/>
                <w:szCs w:val="12"/>
              </w:rPr>
              <w:t> </w:t>
            </w:r>
          </w:p>
        </w:tc>
      </w:tr>
      <w:tr w:rsidR="00147603" w:rsidRPr="00147603" w:rsidTr="00147603">
        <w:trPr>
          <w:trHeight w:val="139"/>
          <w:jc w:val="center"/>
        </w:trPr>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xml:space="preserve"> GBP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szCs w:val="12"/>
              </w:rPr>
            </w:pPr>
            <w:r w:rsidRPr="00147603">
              <w:rPr>
                <w:sz w:val="12"/>
                <w:szCs w:val="12"/>
              </w:rPr>
              <w:t> </w:t>
            </w:r>
          </w:p>
        </w:tc>
      </w:tr>
      <w:tr w:rsidR="00147603" w:rsidRPr="00147603" w:rsidTr="00147603">
        <w:trPr>
          <w:trHeight w:val="139"/>
          <w:jc w:val="center"/>
        </w:trPr>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xml:space="preserve"> CHF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szCs w:val="12"/>
              </w:rPr>
            </w:pPr>
            <w:r w:rsidRPr="00147603">
              <w:rPr>
                <w:sz w:val="12"/>
                <w:szCs w:val="12"/>
              </w:rPr>
              <w:t> </w:t>
            </w:r>
          </w:p>
        </w:tc>
      </w:tr>
      <w:tr w:rsidR="00147603" w:rsidRPr="00147603" w:rsidTr="00147603">
        <w:trPr>
          <w:trHeight w:val="139"/>
          <w:jc w:val="center"/>
        </w:trPr>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xml:space="preserve"> CAD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szCs w:val="12"/>
              </w:rPr>
            </w:pPr>
            <w:r w:rsidRPr="00147603">
              <w:rPr>
                <w:sz w:val="12"/>
                <w:szCs w:val="12"/>
              </w:rPr>
              <w:t> </w:t>
            </w:r>
          </w:p>
        </w:tc>
      </w:tr>
      <w:tr w:rsidR="00147603" w:rsidRPr="00147603" w:rsidTr="00147603">
        <w:trPr>
          <w:trHeight w:val="139"/>
          <w:jc w:val="center"/>
        </w:trPr>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xml:space="preserve"> SEK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szCs w:val="12"/>
              </w:rPr>
            </w:pPr>
            <w:r w:rsidRPr="00147603">
              <w:rPr>
                <w:sz w:val="12"/>
                <w:szCs w:val="12"/>
              </w:rPr>
              <w:t> </w:t>
            </w:r>
          </w:p>
        </w:tc>
      </w:tr>
      <w:tr w:rsidR="00147603" w:rsidRPr="00147603" w:rsidTr="00147603">
        <w:trPr>
          <w:trHeight w:val="139"/>
          <w:jc w:val="center"/>
        </w:trPr>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xml:space="preserve"> AUD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szCs w:val="12"/>
              </w:rPr>
            </w:pPr>
            <w:r w:rsidRPr="00147603">
              <w:rPr>
                <w:sz w:val="12"/>
                <w:szCs w:val="12"/>
              </w:rPr>
              <w:t> </w:t>
            </w:r>
          </w:p>
        </w:tc>
      </w:tr>
      <w:tr w:rsidR="00147603" w:rsidRPr="00147603" w:rsidTr="00147603">
        <w:trPr>
          <w:trHeight w:val="139"/>
          <w:jc w:val="center"/>
        </w:trPr>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xml:space="preserve"> JPY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szCs w:val="12"/>
              </w:rPr>
            </w:pPr>
            <w:r w:rsidRPr="00147603">
              <w:rPr>
                <w:sz w:val="12"/>
                <w:szCs w:val="12"/>
              </w:rPr>
              <w:t> </w:t>
            </w:r>
          </w:p>
        </w:tc>
      </w:tr>
      <w:tr w:rsidR="00147603" w:rsidRPr="00147603" w:rsidTr="00147603">
        <w:trPr>
          <w:trHeight w:val="139"/>
          <w:jc w:val="center"/>
        </w:trPr>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xml:space="preserve"> DKK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szCs w:val="12"/>
              </w:rPr>
            </w:pPr>
            <w:r w:rsidRPr="00147603">
              <w:rPr>
                <w:sz w:val="12"/>
                <w:szCs w:val="12"/>
              </w:rPr>
              <w:t> </w:t>
            </w:r>
          </w:p>
        </w:tc>
      </w:tr>
      <w:tr w:rsidR="00147603" w:rsidRPr="00147603" w:rsidTr="00147603">
        <w:trPr>
          <w:trHeight w:val="139"/>
          <w:jc w:val="center"/>
        </w:trPr>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xml:space="preserve"> NOK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szCs w:val="12"/>
              </w:rPr>
            </w:pPr>
            <w:r w:rsidRPr="00147603">
              <w:rPr>
                <w:sz w:val="12"/>
                <w:szCs w:val="12"/>
              </w:rPr>
              <w:t> </w:t>
            </w:r>
          </w:p>
        </w:tc>
      </w:tr>
      <w:tr w:rsidR="00147603" w:rsidRPr="00147603" w:rsidTr="00147603">
        <w:trPr>
          <w:trHeight w:val="139"/>
          <w:jc w:val="center"/>
        </w:trPr>
        <w:tc>
          <w:tcPr>
            <w:tcW w:w="0" w:type="auto"/>
            <w:tcBorders>
              <w:top w:val="nil"/>
              <w:left w:val="single" w:sz="8" w:space="0" w:color="auto"/>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xml:space="preserve"> TRY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nil"/>
              <w:right w:val="single" w:sz="8" w:space="0" w:color="auto"/>
            </w:tcBorders>
            <w:noWrap/>
            <w:vAlign w:val="bottom"/>
          </w:tcPr>
          <w:p w:rsidR="00147603" w:rsidRPr="00147603" w:rsidRDefault="00147603" w:rsidP="00147603">
            <w:pPr>
              <w:pStyle w:val="Tabele"/>
              <w:rPr>
                <w:sz w:val="12"/>
                <w:szCs w:val="12"/>
              </w:rPr>
            </w:pPr>
            <w:r w:rsidRPr="00147603">
              <w:rPr>
                <w:sz w:val="12"/>
                <w:szCs w:val="12"/>
              </w:rPr>
              <w:t> </w:t>
            </w:r>
          </w:p>
        </w:tc>
      </w:tr>
      <w:tr w:rsidR="00147603" w:rsidRPr="00147603" w:rsidTr="00147603">
        <w:trPr>
          <w:trHeight w:val="139"/>
          <w:jc w:val="center"/>
        </w:trPr>
        <w:tc>
          <w:tcPr>
            <w:tcW w:w="0" w:type="auto"/>
            <w:tcBorders>
              <w:top w:val="nil"/>
              <w:left w:val="single" w:sz="8" w:space="0" w:color="auto"/>
              <w:bottom w:val="single" w:sz="8"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xml:space="preserve"> AR </w:t>
            </w:r>
          </w:p>
        </w:tc>
        <w:tc>
          <w:tcPr>
            <w:tcW w:w="0" w:type="auto"/>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8" w:space="0" w:color="auto"/>
              <w:right w:val="single" w:sz="8" w:space="0" w:color="auto"/>
            </w:tcBorders>
            <w:noWrap/>
            <w:vAlign w:val="bottom"/>
          </w:tcPr>
          <w:p w:rsidR="00147603" w:rsidRPr="00147603" w:rsidRDefault="00147603" w:rsidP="00147603">
            <w:pPr>
              <w:pStyle w:val="Tabele"/>
              <w:rPr>
                <w:sz w:val="12"/>
                <w:szCs w:val="12"/>
              </w:rPr>
            </w:pPr>
            <w:r w:rsidRPr="00147603">
              <w:rPr>
                <w:sz w:val="12"/>
                <w:szCs w:val="12"/>
              </w:rPr>
              <w:t> </w:t>
            </w:r>
          </w:p>
        </w:tc>
      </w:tr>
      <w:tr w:rsidR="00147603" w:rsidRPr="00147603" w:rsidTr="00147603">
        <w:trPr>
          <w:trHeight w:val="139"/>
          <w:jc w:val="center"/>
        </w:trPr>
        <w:tc>
          <w:tcPr>
            <w:tcW w:w="0" w:type="auto"/>
            <w:tcBorders>
              <w:top w:val="nil"/>
              <w:left w:val="single" w:sz="8" w:space="0" w:color="auto"/>
              <w:bottom w:val="single" w:sz="4" w:space="0" w:color="auto"/>
              <w:right w:val="single" w:sz="4" w:space="0" w:color="auto"/>
            </w:tcBorders>
            <w:noWrap/>
            <w:vAlign w:val="bottom"/>
          </w:tcPr>
          <w:p w:rsidR="00147603" w:rsidRPr="00147603" w:rsidRDefault="00147603" w:rsidP="00147603">
            <w:pPr>
              <w:pStyle w:val="Tabele"/>
              <w:rPr>
                <w:sz w:val="12"/>
                <w:szCs w:val="12"/>
                <w:lang w:val="it-IT"/>
              </w:rPr>
            </w:pPr>
            <w:r w:rsidRPr="00147603">
              <w:rPr>
                <w:sz w:val="12"/>
                <w:szCs w:val="12"/>
                <w:lang w:val="it-IT"/>
              </w:rPr>
              <w:t xml:space="preserve"> 1. Pozicioni total neto i hapur valutor në blerje (6)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szCs w:val="12"/>
                <w:lang w:val="it-IT"/>
              </w:rPr>
            </w:pPr>
            <w:r w:rsidRPr="00147603">
              <w:rPr>
                <w:sz w:val="12"/>
                <w:szCs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szCs w:val="12"/>
                <w:lang w:val="it-IT"/>
              </w:rPr>
            </w:pPr>
            <w:r w:rsidRPr="00147603">
              <w:rPr>
                <w:sz w:val="12"/>
                <w:szCs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szCs w:val="12"/>
                <w:lang w:val="it-IT"/>
              </w:rPr>
            </w:pPr>
            <w:r w:rsidRPr="00147603">
              <w:rPr>
                <w:sz w:val="12"/>
                <w:szCs w:val="12"/>
                <w:lang w:val="it-IT"/>
              </w:rPr>
              <w:t> </w:t>
            </w:r>
          </w:p>
        </w:tc>
        <w:tc>
          <w:tcPr>
            <w:tcW w:w="0" w:type="auto"/>
            <w:tcBorders>
              <w:top w:val="nil"/>
              <w:left w:val="nil"/>
              <w:bottom w:val="single" w:sz="4" w:space="0" w:color="auto"/>
              <w:right w:val="single" w:sz="8" w:space="0" w:color="auto"/>
            </w:tcBorders>
            <w:noWrap/>
            <w:vAlign w:val="bottom"/>
          </w:tcPr>
          <w:p w:rsidR="00147603" w:rsidRPr="00147603" w:rsidRDefault="00147603" w:rsidP="00147603">
            <w:pPr>
              <w:pStyle w:val="Tabele"/>
              <w:rPr>
                <w:sz w:val="12"/>
                <w:szCs w:val="12"/>
                <w:lang w:val="it-IT"/>
              </w:rPr>
            </w:pPr>
            <w:r w:rsidRPr="00147603">
              <w:rPr>
                <w:sz w:val="12"/>
                <w:szCs w:val="12"/>
                <w:lang w:val="it-IT"/>
              </w:rPr>
              <w:t> </w:t>
            </w:r>
          </w:p>
        </w:tc>
      </w:tr>
      <w:tr w:rsidR="00147603" w:rsidRPr="00147603" w:rsidTr="00147603">
        <w:trPr>
          <w:trHeight w:val="139"/>
          <w:jc w:val="center"/>
        </w:trPr>
        <w:tc>
          <w:tcPr>
            <w:tcW w:w="0" w:type="auto"/>
            <w:tcBorders>
              <w:top w:val="nil"/>
              <w:left w:val="single" w:sz="8" w:space="0" w:color="auto"/>
              <w:bottom w:val="single" w:sz="4" w:space="0" w:color="auto"/>
              <w:right w:val="single" w:sz="4" w:space="0" w:color="auto"/>
            </w:tcBorders>
            <w:noWrap/>
            <w:vAlign w:val="bottom"/>
          </w:tcPr>
          <w:p w:rsidR="00147603" w:rsidRPr="00147603" w:rsidRDefault="00147603" w:rsidP="00147603">
            <w:pPr>
              <w:pStyle w:val="Tabele"/>
              <w:rPr>
                <w:sz w:val="12"/>
                <w:szCs w:val="12"/>
                <w:lang w:val="it-IT"/>
              </w:rPr>
            </w:pPr>
            <w:r w:rsidRPr="00147603">
              <w:rPr>
                <w:sz w:val="12"/>
                <w:szCs w:val="12"/>
                <w:lang w:val="it-IT"/>
              </w:rPr>
              <w:t xml:space="preserve"> 2. Pozicioni total neto i hapur valutor në shitje (7)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szCs w:val="12"/>
                <w:lang w:val="it-IT"/>
              </w:rPr>
            </w:pPr>
            <w:r w:rsidRPr="00147603">
              <w:rPr>
                <w:sz w:val="12"/>
                <w:szCs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szCs w:val="12"/>
                <w:lang w:val="it-IT"/>
              </w:rPr>
            </w:pPr>
            <w:r w:rsidRPr="00147603">
              <w:rPr>
                <w:sz w:val="12"/>
                <w:szCs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szCs w:val="12"/>
                <w:lang w:val="it-IT"/>
              </w:rPr>
            </w:pPr>
            <w:r w:rsidRPr="00147603">
              <w:rPr>
                <w:sz w:val="12"/>
                <w:szCs w:val="12"/>
                <w:lang w:val="it-IT"/>
              </w:rPr>
              <w:t> </w:t>
            </w:r>
          </w:p>
        </w:tc>
        <w:tc>
          <w:tcPr>
            <w:tcW w:w="0" w:type="auto"/>
            <w:tcBorders>
              <w:top w:val="nil"/>
              <w:left w:val="nil"/>
              <w:bottom w:val="single" w:sz="4" w:space="0" w:color="auto"/>
              <w:right w:val="single" w:sz="8" w:space="0" w:color="auto"/>
            </w:tcBorders>
            <w:noWrap/>
            <w:vAlign w:val="bottom"/>
          </w:tcPr>
          <w:p w:rsidR="00147603" w:rsidRPr="00147603" w:rsidRDefault="00147603" w:rsidP="00147603">
            <w:pPr>
              <w:pStyle w:val="Tabele"/>
              <w:rPr>
                <w:sz w:val="12"/>
                <w:szCs w:val="12"/>
                <w:lang w:val="it-IT"/>
              </w:rPr>
            </w:pPr>
            <w:r w:rsidRPr="00147603">
              <w:rPr>
                <w:sz w:val="12"/>
                <w:szCs w:val="12"/>
                <w:lang w:val="it-IT"/>
              </w:rPr>
              <w:t> </w:t>
            </w:r>
          </w:p>
        </w:tc>
      </w:tr>
      <w:tr w:rsidR="00147603" w:rsidRPr="00147603" w:rsidTr="00147603">
        <w:trPr>
          <w:trHeight w:val="139"/>
          <w:jc w:val="center"/>
        </w:trPr>
        <w:tc>
          <w:tcPr>
            <w:tcW w:w="0" w:type="auto"/>
            <w:tcBorders>
              <w:top w:val="nil"/>
              <w:left w:val="single" w:sz="8" w:space="0" w:color="auto"/>
              <w:bottom w:val="single" w:sz="4" w:space="0" w:color="auto"/>
              <w:right w:val="single" w:sz="4" w:space="0" w:color="auto"/>
            </w:tcBorders>
            <w:noWrap/>
            <w:vAlign w:val="bottom"/>
          </w:tcPr>
          <w:p w:rsidR="00147603" w:rsidRPr="00147603" w:rsidRDefault="00147603" w:rsidP="00147603">
            <w:pPr>
              <w:pStyle w:val="Tabele"/>
              <w:rPr>
                <w:sz w:val="12"/>
                <w:szCs w:val="12"/>
                <w:lang w:val="it-IT"/>
              </w:rPr>
            </w:pPr>
            <w:r w:rsidRPr="00147603">
              <w:rPr>
                <w:sz w:val="12"/>
                <w:szCs w:val="12"/>
                <w:lang w:val="it-IT"/>
              </w:rPr>
              <w:t xml:space="preserve"> 3. Pozicioni total neto i hapur valutor i bankës (8)= (6) nqs (6)&gt;(7); ose (7) nqs (7)&gt;(6)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szCs w:val="12"/>
                <w:lang w:val="it-IT"/>
              </w:rPr>
            </w:pPr>
            <w:r w:rsidRPr="00147603">
              <w:rPr>
                <w:sz w:val="12"/>
                <w:szCs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szCs w:val="12"/>
                <w:lang w:val="it-IT"/>
              </w:rPr>
            </w:pPr>
            <w:r w:rsidRPr="00147603">
              <w:rPr>
                <w:sz w:val="12"/>
                <w:szCs w:val="12"/>
                <w:lang w:val="it-IT"/>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szCs w:val="12"/>
                <w:lang w:val="it-IT"/>
              </w:rPr>
            </w:pPr>
            <w:r w:rsidRPr="00147603">
              <w:rPr>
                <w:sz w:val="12"/>
                <w:szCs w:val="12"/>
                <w:lang w:val="it-IT"/>
              </w:rPr>
              <w:t> </w:t>
            </w:r>
          </w:p>
        </w:tc>
        <w:tc>
          <w:tcPr>
            <w:tcW w:w="0" w:type="auto"/>
            <w:tcBorders>
              <w:top w:val="nil"/>
              <w:left w:val="nil"/>
              <w:bottom w:val="single" w:sz="4" w:space="0" w:color="auto"/>
              <w:right w:val="single" w:sz="8" w:space="0" w:color="auto"/>
            </w:tcBorders>
            <w:noWrap/>
            <w:vAlign w:val="bottom"/>
          </w:tcPr>
          <w:p w:rsidR="00147603" w:rsidRPr="00147603" w:rsidRDefault="00147603" w:rsidP="00147603">
            <w:pPr>
              <w:pStyle w:val="Tabele"/>
              <w:rPr>
                <w:sz w:val="12"/>
                <w:szCs w:val="12"/>
                <w:lang w:val="it-IT"/>
              </w:rPr>
            </w:pPr>
            <w:r w:rsidRPr="00147603">
              <w:rPr>
                <w:sz w:val="12"/>
                <w:szCs w:val="12"/>
                <w:lang w:val="it-IT"/>
              </w:rPr>
              <w:t> </w:t>
            </w:r>
          </w:p>
        </w:tc>
      </w:tr>
      <w:tr w:rsidR="00147603" w:rsidRPr="00147603" w:rsidTr="00147603">
        <w:trPr>
          <w:trHeight w:val="139"/>
          <w:jc w:val="center"/>
        </w:trPr>
        <w:tc>
          <w:tcPr>
            <w:tcW w:w="0" w:type="auto"/>
            <w:tcBorders>
              <w:top w:val="nil"/>
              <w:left w:val="single" w:sz="8" w:space="0" w:color="auto"/>
              <w:bottom w:val="single" w:sz="4"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lang w:val="it-IT"/>
              </w:rPr>
              <w:t xml:space="preserve"> </w:t>
            </w:r>
            <w:r w:rsidRPr="00147603">
              <w:rPr>
                <w:sz w:val="12"/>
                <w:szCs w:val="12"/>
              </w:rPr>
              <w:t xml:space="preserve">4. Kapitali rregullator (7)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4" w:space="0" w:color="auto"/>
              <w:right w:val="nil"/>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4" w:space="0" w:color="auto"/>
              <w:right w:val="single" w:sz="8" w:space="0" w:color="auto"/>
            </w:tcBorders>
            <w:noWrap/>
            <w:vAlign w:val="bottom"/>
          </w:tcPr>
          <w:p w:rsidR="00147603" w:rsidRPr="00147603" w:rsidRDefault="00147603" w:rsidP="00147603">
            <w:pPr>
              <w:pStyle w:val="Tabele"/>
              <w:rPr>
                <w:sz w:val="12"/>
                <w:szCs w:val="12"/>
              </w:rPr>
            </w:pPr>
            <w:r w:rsidRPr="00147603">
              <w:rPr>
                <w:sz w:val="12"/>
                <w:szCs w:val="12"/>
              </w:rPr>
              <w:t> </w:t>
            </w:r>
          </w:p>
        </w:tc>
      </w:tr>
      <w:tr w:rsidR="00147603" w:rsidRPr="00147603" w:rsidTr="00147603">
        <w:trPr>
          <w:trHeight w:val="139"/>
          <w:jc w:val="center"/>
        </w:trPr>
        <w:tc>
          <w:tcPr>
            <w:tcW w:w="0" w:type="auto"/>
            <w:tcBorders>
              <w:top w:val="nil"/>
              <w:left w:val="single" w:sz="8" w:space="0" w:color="auto"/>
              <w:bottom w:val="single" w:sz="8" w:space="0" w:color="auto"/>
              <w:right w:val="single" w:sz="4" w:space="0" w:color="auto"/>
            </w:tcBorders>
            <w:noWrap/>
            <w:vAlign w:val="bottom"/>
          </w:tcPr>
          <w:p w:rsidR="00147603" w:rsidRPr="00147603" w:rsidRDefault="00147603" w:rsidP="00147603">
            <w:pPr>
              <w:pStyle w:val="Tabele"/>
              <w:rPr>
                <w:sz w:val="12"/>
                <w:szCs w:val="12"/>
                <w:lang w:val="it-IT"/>
              </w:rPr>
            </w:pPr>
            <w:r w:rsidRPr="00147603">
              <w:rPr>
                <w:sz w:val="12"/>
                <w:szCs w:val="12"/>
                <w:lang w:val="it-IT"/>
              </w:rPr>
              <w:t xml:space="preserve"> 5. Pozicioni total neto i hapur valutor i bankës (8)/kapitalit rregullator (7)*100 </w:t>
            </w:r>
          </w:p>
        </w:tc>
        <w:tc>
          <w:tcPr>
            <w:tcW w:w="0" w:type="auto"/>
            <w:tcBorders>
              <w:top w:val="nil"/>
              <w:left w:val="nil"/>
              <w:bottom w:val="single" w:sz="8" w:space="0" w:color="auto"/>
              <w:right w:val="nil"/>
            </w:tcBorders>
            <w:noWrap/>
            <w:vAlign w:val="bottom"/>
          </w:tcPr>
          <w:p w:rsidR="00147603" w:rsidRPr="00147603" w:rsidRDefault="00147603" w:rsidP="00147603">
            <w:pPr>
              <w:pStyle w:val="Tabele"/>
              <w:rPr>
                <w:sz w:val="12"/>
                <w:szCs w:val="12"/>
                <w:lang w:val="it-IT"/>
              </w:rPr>
            </w:pPr>
            <w:r w:rsidRPr="00147603">
              <w:rPr>
                <w:sz w:val="12"/>
                <w:szCs w:val="12"/>
                <w:lang w:val="it-IT"/>
              </w:rPr>
              <w:t> </w:t>
            </w:r>
          </w:p>
        </w:tc>
        <w:tc>
          <w:tcPr>
            <w:tcW w:w="0" w:type="auto"/>
            <w:tcBorders>
              <w:top w:val="nil"/>
              <w:left w:val="nil"/>
              <w:bottom w:val="single" w:sz="8" w:space="0" w:color="auto"/>
              <w:right w:val="nil"/>
            </w:tcBorders>
            <w:noWrap/>
            <w:vAlign w:val="bottom"/>
          </w:tcPr>
          <w:p w:rsidR="00147603" w:rsidRPr="00147603" w:rsidRDefault="00147603" w:rsidP="00147603">
            <w:pPr>
              <w:pStyle w:val="Tabele"/>
              <w:rPr>
                <w:sz w:val="12"/>
                <w:szCs w:val="12"/>
                <w:lang w:val="it-IT"/>
              </w:rPr>
            </w:pPr>
            <w:r w:rsidRPr="00147603">
              <w:rPr>
                <w:sz w:val="12"/>
                <w:szCs w:val="12"/>
                <w:lang w:val="it-IT"/>
              </w:rPr>
              <w:t> </w:t>
            </w:r>
          </w:p>
        </w:tc>
        <w:tc>
          <w:tcPr>
            <w:tcW w:w="0" w:type="auto"/>
            <w:tcBorders>
              <w:top w:val="nil"/>
              <w:left w:val="nil"/>
              <w:bottom w:val="single" w:sz="8" w:space="0" w:color="auto"/>
              <w:right w:val="nil"/>
            </w:tcBorders>
            <w:noWrap/>
            <w:vAlign w:val="bottom"/>
          </w:tcPr>
          <w:p w:rsidR="00147603" w:rsidRPr="00147603" w:rsidRDefault="00147603" w:rsidP="00147603">
            <w:pPr>
              <w:pStyle w:val="Tabele"/>
              <w:rPr>
                <w:sz w:val="12"/>
                <w:szCs w:val="12"/>
                <w:lang w:val="it-IT"/>
              </w:rPr>
            </w:pPr>
            <w:r w:rsidRPr="00147603">
              <w:rPr>
                <w:sz w:val="12"/>
                <w:szCs w:val="12"/>
                <w:lang w:val="it-IT"/>
              </w:rPr>
              <w:t> </w:t>
            </w:r>
          </w:p>
        </w:tc>
        <w:tc>
          <w:tcPr>
            <w:tcW w:w="0" w:type="auto"/>
            <w:tcBorders>
              <w:top w:val="nil"/>
              <w:left w:val="nil"/>
              <w:bottom w:val="single" w:sz="8" w:space="0" w:color="auto"/>
              <w:right w:val="single" w:sz="8" w:space="0" w:color="auto"/>
            </w:tcBorders>
            <w:noWrap/>
            <w:vAlign w:val="bottom"/>
          </w:tcPr>
          <w:p w:rsidR="00147603" w:rsidRPr="00147603" w:rsidRDefault="00147603" w:rsidP="00147603">
            <w:pPr>
              <w:pStyle w:val="Tabele"/>
              <w:rPr>
                <w:sz w:val="12"/>
                <w:szCs w:val="12"/>
                <w:lang w:val="it-IT"/>
              </w:rPr>
            </w:pPr>
            <w:r w:rsidRPr="00147603">
              <w:rPr>
                <w:sz w:val="12"/>
                <w:szCs w:val="12"/>
                <w:lang w:val="it-IT"/>
              </w:rPr>
              <w:t> </w:t>
            </w:r>
          </w:p>
        </w:tc>
      </w:tr>
      <w:tr w:rsidR="00147603" w:rsidRPr="00147603" w:rsidTr="00147603">
        <w:trPr>
          <w:trHeight w:val="139"/>
          <w:jc w:val="center"/>
        </w:trPr>
        <w:tc>
          <w:tcPr>
            <w:tcW w:w="0" w:type="auto"/>
            <w:tcBorders>
              <w:top w:val="nil"/>
              <w:left w:val="nil"/>
              <w:bottom w:val="nil"/>
              <w:right w:val="nil"/>
            </w:tcBorders>
            <w:noWrap/>
            <w:vAlign w:val="bottom"/>
          </w:tcPr>
          <w:p w:rsidR="00147603" w:rsidRPr="00147603" w:rsidRDefault="00147603" w:rsidP="00147603">
            <w:pPr>
              <w:pStyle w:val="Tabele"/>
              <w:rPr>
                <w:sz w:val="12"/>
                <w:szCs w:val="12"/>
                <w:lang w:val="it-IT"/>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lang w:val="it-IT"/>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lang w:val="it-IT"/>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lang w:val="it-IT"/>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lang w:val="it-IT"/>
              </w:rPr>
            </w:pPr>
          </w:p>
        </w:tc>
      </w:tr>
      <w:tr w:rsidR="00147603" w:rsidRPr="00147603" w:rsidTr="00147603">
        <w:trPr>
          <w:trHeight w:val="139"/>
          <w:jc w:val="center"/>
        </w:trPr>
        <w:tc>
          <w:tcPr>
            <w:tcW w:w="0" w:type="auto"/>
            <w:tcBorders>
              <w:top w:val="nil"/>
              <w:left w:val="nil"/>
              <w:bottom w:val="nil"/>
              <w:right w:val="nil"/>
            </w:tcBorders>
            <w:noWrap/>
            <w:vAlign w:val="bottom"/>
          </w:tcPr>
          <w:p w:rsidR="00147603" w:rsidRPr="00147603" w:rsidRDefault="00147603" w:rsidP="00147603">
            <w:pPr>
              <w:pStyle w:val="Tabele"/>
              <w:rPr>
                <w:i/>
                <w:iCs/>
                <w:sz w:val="12"/>
                <w:szCs w:val="12"/>
              </w:rPr>
            </w:pPr>
            <w:r w:rsidRPr="00147603">
              <w:rPr>
                <w:i/>
                <w:iCs/>
                <w:sz w:val="12"/>
                <w:szCs w:val="12"/>
                <w:lang w:val="it-IT"/>
              </w:rPr>
              <w:t xml:space="preserve"> </w:t>
            </w:r>
            <w:r w:rsidRPr="00147603">
              <w:rPr>
                <w:i/>
                <w:iCs/>
                <w:sz w:val="12"/>
                <w:szCs w:val="12"/>
              </w:rPr>
              <w:t xml:space="preserve">Shënime sqaruese: </w:t>
            </w: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r>
      <w:tr w:rsidR="00147603" w:rsidRPr="00147603" w:rsidTr="00147603">
        <w:trPr>
          <w:trHeight w:val="139"/>
          <w:jc w:val="center"/>
        </w:trPr>
        <w:tc>
          <w:tcPr>
            <w:tcW w:w="0" w:type="auto"/>
            <w:tcBorders>
              <w:top w:val="nil"/>
              <w:left w:val="nil"/>
              <w:bottom w:val="nil"/>
              <w:right w:val="nil"/>
            </w:tcBorders>
            <w:noWrap/>
            <w:vAlign w:val="bottom"/>
          </w:tcPr>
          <w:p w:rsidR="00147603" w:rsidRPr="00147603" w:rsidRDefault="00147603" w:rsidP="00147603">
            <w:pPr>
              <w:pStyle w:val="Tabele"/>
              <w:rPr>
                <w:sz w:val="12"/>
                <w:szCs w:val="12"/>
              </w:rPr>
            </w:pPr>
            <w:r w:rsidRPr="00147603">
              <w:rPr>
                <w:sz w:val="12"/>
                <w:szCs w:val="12"/>
              </w:rPr>
              <w:t xml:space="preserve"> Kolona (2): Formulari 4, kolona (10). </w:t>
            </w: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r>
      <w:tr w:rsidR="00147603" w:rsidRPr="00147603" w:rsidTr="00147603">
        <w:trPr>
          <w:trHeight w:val="139"/>
          <w:jc w:val="center"/>
        </w:trPr>
        <w:tc>
          <w:tcPr>
            <w:tcW w:w="0" w:type="auto"/>
            <w:tcBorders>
              <w:top w:val="nil"/>
              <w:left w:val="nil"/>
              <w:bottom w:val="nil"/>
              <w:right w:val="nil"/>
            </w:tcBorders>
            <w:noWrap/>
            <w:vAlign w:val="bottom"/>
          </w:tcPr>
          <w:p w:rsidR="00147603" w:rsidRPr="00147603" w:rsidRDefault="00147603" w:rsidP="00147603">
            <w:pPr>
              <w:pStyle w:val="Tabele"/>
              <w:rPr>
                <w:sz w:val="12"/>
                <w:szCs w:val="12"/>
              </w:rPr>
            </w:pPr>
            <w:r w:rsidRPr="00147603">
              <w:rPr>
                <w:sz w:val="12"/>
                <w:szCs w:val="12"/>
              </w:rPr>
              <w:t xml:space="preserve"> Kolona (3): Formulari 5, shkronja (H). </w:t>
            </w: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r>
      <w:tr w:rsidR="00147603" w:rsidRPr="00147603" w:rsidTr="00147603">
        <w:trPr>
          <w:trHeight w:val="139"/>
          <w:jc w:val="center"/>
        </w:trPr>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r>
      <w:tr w:rsidR="00147603" w:rsidRPr="00147603" w:rsidTr="00147603">
        <w:trPr>
          <w:trHeight w:val="139"/>
          <w:jc w:val="center"/>
        </w:trPr>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r>
      <w:tr w:rsidR="00147603" w:rsidRPr="00147603" w:rsidTr="00147603">
        <w:trPr>
          <w:trHeight w:val="139"/>
          <w:jc w:val="center"/>
        </w:trPr>
        <w:tc>
          <w:tcPr>
            <w:tcW w:w="0" w:type="auto"/>
            <w:tcBorders>
              <w:top w:val="nil"/>
              <w:left w:val="nil"/>
              <w:bottom w:val="nil"/>
              <w:right w:val="nil"/>
            </w:tcBorders>
            <w:noWrap/>
            <w:vAlign w:val="bottom"/>
          </w:tcPr>
          <w:p w:rsidR="00147603" w:rsidRPr="00147603" w:rsidRDefault="00147603" w:rsidP="00147603">
            <w:pPr>
              <w:pStyle w:val="Tabele"/>
              <w:rPr>
                <w:sz w:val="12"/>
                <w:szCs w:val="12"/>
              </w:rPr>
            </w:pPr>
            <w:r w:rsidRPr="00147603">
              <w:rPr>
                <w:sz w:val="12"/>
                <w:szCs w:val="12"/>
              </w:rPr>
              <w:t>Formulari 7</w:t>
            </w: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sz w:val="12"/>
                <w:szCs w:val="12"/>
              </w:rPr>
            </w:pPr>
          </w:p>
        </w:tc>
      </w:tr>
      <w:tr w:rsidR="00147603" w:rsidRPr="00147603" w:rsidTr="00147603">
        <w:trPr>
          <w:trHeight w:val="139"/>
          <w:jc w:val="center"/>
        </w:trPr>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r>
      <w:tr w:rsidR="00147603" w:rsidRPr="00147603" w:rsidTr="00147603">
        <w:trPr>
          <w:trHeight w:val="139"/>
          <w:jc w:val="center"/>
        </w:trPr>
        <w:tc>
          <w:tcPr>
            <w:tcW w:w="0" w:type="auto"/>
            <w:tcBorders>
              <w:top w:val="single" w:sz="8" w:space="0" w:color="auto"/>
              <w:left w:val="single" w:sz="8" w:space="0" w:color="auto"/>
              <w:bottom w:val="single" w:sz="8" w:space="0" w:color="auto"/>
              <w:right w:val="single" w:sz="4" w:space="0" w:color="auto"/>
            </w:tcBorders>
            <w:shd w:val="clear" w:color="auto" w:fill="C0C0C0"/>
            <w:noWrap/>
            <w:vAlign w:val="center"/>
          </w:tcPr>
          <w:p w:rsidR="00147603" w:rsidRPr="00147603" w:rsidRDefault="00147603" w:rsidP="00147603">
            <w:pPr>
              <w:pStyle w:val="Tabele"/>
              <w:rPr>
                <w:sz w:val="12"/>
                <w:szCs w:val="12"/>
              </w:rPr>
            </w:pPr>
            <w:r w:rsidRPr="00147603">
              <w:rPr>
                <w:sz w:val="12"/>
                <w:szCs w:val="12"/>
              </w:rPr>
              <w:t>Elementet që nuk përfshihen në llogaritjen e pozicionit të hapur valutor</w:t>
            </w:r>
          </w:p>
        </w:tc>
        <w:tc>
          <w:tcPr>
            <w:tcW w:w="0" w:type="auto"/>
            <w:tcBorders>
              <w:top w:val="single" w:sz="8" w:space="0" w:color="auto"/>
              <w:left w:val="nil"/>
              <w:bottom w:val="single" w:sz="8" w:space="0" w:color="auto"/>
              <w:right w:val="single" w:sz="4" w:space="0" w:color="auto"/>
            </w:tcBorders>
            <w:shd w:val="clear" w:color="auto" w:fill="C0C0C0"/>
            <w:noWrap/>
            <w:vAlign w:val="center"/>
          </w:tcPr>
          <w:p w:rsidR="00147603" w:rsidRPr="00147603" w:rsidRDefault="00147603" w:rsidP="00147603">
            <w:pPr>
              <w:pStyle w:val="Tabele"/>
              <w:rPr>
                <w:sz w:val="12"/>
                <w:szCs w:val="12"/>
              </w:rPr>
            </w:pPr>
            <w:r w:rsidRPr="00147603">
              <w:rPr>
                <w:sz w:val="12"/>
                <w:szCs w:val="12"/>
              </w:rPr>
              <w:t xml:space="preserve"> USD </w:t>
            </w:r>
          </w:p>
        </w:tc>
        <w:tc>
          <w:tcPr>
            <w:tcW w:w="0" w:type="auto"/>
            <w:tcBorders>
              <w:top w:val="single" w:sz="8" w:space="0" w:color="auto"/>
              <w:left w:val="nil"/>
              <w:bottom w:val="single" w:sz="8" w:space="0" w:color="auto"/>
              <w:right w:val="single" w:sz="4" w:space="0" w:color="auto"/>
            </w:tcBorders>
            <w:shd w:val="clear" w:color="auto" w:fill="C0C0C0"/>
            <w:noWrap/>
            <w:vAlign w:val="center"/>
          </w:tcPr>
          <w:p w:rsidR="00147603" w:rsidRPr="00147603" w:rsidRDefault="00147603" w:rsidP="00147603">
            <w:pPr>
              <w:pStyle w:val="Tabele"/>
              <w:rPr>
                <w:sz w:val="12"/>
                <w:szCs w:val="12"/>
              </w:rPr>
            </w:pPr>
            <w:r w:rsidRPr="00147603">
              <w:rPr>
                <w:sz w:val="12"/>
                <w:szCs w:val="12"/>
              </w:rPr>
              <w:t xml:space="preserve"> EURO </w:t>
            </w:r>
          </w:p>
        </w:tc>
        <w:tc>
          <w:tcPr>
            <w:tcW w:w="0" w:type="auto"/>
            <w:tcBorders>
              <w:top w:val="single" w:sz="8" w:space="0" w:color="auto"/>
              <w:left w:val="nil"/>
              <w:bottom w:val="single" w:sz="8" w:space="0" w:color="auto"/>
              <w:right w:val="single" w:sz="4" w:space="0" w:color="auto"/>
            </w:tcBorders>
            <w:shd w:val="clear" w:color="auto" w:fill="C0C0C0"/>
            <w:noWrap/>
            <w:vAlign w:val="center"/>
          </w:tcPr>
          <w:p w:rsidR="00147603" w:rsidRPr="00147603" w:rsidRDefault="00147603" w:rsidP="00147603">
            <w:pPr>
              <w:pStyle w:val="Tabele"/>
              <w:rPr>
                <w:sz w:val="12"/>
                <w:szCs w:val="12"/>
              </w:rPr>
            </w:pPr>
            <w:r w:rsidRPr="00147603">
              <w:rPr>
                <w:sz w:val="12"/>
                <w:szCs w:val="12"/>
              </w:rPr>
              <w:t xml:space="preserve"> … </w:t>
            </w:r>
          </w:p>
        </w:tc>
        <w:tc>
          <w:tcPr>
            <w:tcW w:w="0" w:type="auto"/>
            <w:tcBorders>
              <w:top w:val="single" w:sz="8" w:space="0" w:color="auto"/>
              <w:left w:val="nil"/>
              <w:bottom w:val="single" w:sz="8" w:space="0" w:color="auto"/>
              <w:right w:val="single" w:sz="8" w:space="0" w:color="auto"/>
            </w:tcBorders>
            <w:shd w:val="clear" w:color="auto" w:fill="C0C0C0"/>
            <w:noWrap/>
            <w:vAlign w:val="center"/>
          </w:tcPr>
          <w:p w:rsidR="00147603" w:rsidRPr="00147603" w:rsidRDefault="00147603" w:rsidP="00147603">
            <w:pPr>
              <w:pStyle w:val="Tabele"/>
              <w:rPr>
                <w:sz w:val="12"/>
                <w:szCs w:val="12"/>
              </w:rPr>
            </w:pPr>
            <w:r w:rsidRPr="00147603">
              <w:rPr>
                <w:sz w:val="12"/>
                <w:szCs w:val="12"/>
              </w:rPr>
              <w:t xml:space="preserve"> AR </w:t>
            </w:r>
          </w:p>
        </w:tc>
      </w:tr>
      <w:tr w:rsidR="00147603" w:rsidRPr="00147603" w:rsidTr="00147603">
        <w:trPr>
          <w:trHeight w:val="139"/>
          <w:jc w:val="center"/>
        </w:trPr>
        <w:tc>
          <w:tcPr>
            <w:tcW w:w="0" w:type="auto"/>
            <w:tcBorders>
              <w:top w:val="nil"/>
              <w:left w:val="single" w:sz="8" w:space="0" w:color="auto"/>
              <w:bottom w:val="single" w:sz="4"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4"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4"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4"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4" w:space="0" w:color="auto"/>
              <w:right w:val="single" w:sz="8" w:space="0" w:color="auto"/>
            </w:tcBorders>
            <w:noWrap/>
            <w:vAlign w:val="bottom"/>
          </w:tcPr>
          <w:p w:rsidR="00147603" w:rsidRPr="00147603" w:rsidRDefault="00147603" w:rsidP="00147603">
            <w:pPr>
              <w:pStyle w:val="Tabele"/>
              <w:rPr>
                <w:sz w:val="12"/>
                <w:szCs w:val="12"/>
              </w:rPr>
            </w:pPr>
            <w:r w:rsidRPr="00147603">
              <w:rPr>
                <w:sz w:val="12"/>
                <w:szCs w:val="12"/>
              </w:rPr>
              <w:t> </w:t>
            </w:r>
          </w:p>
        </w:tc>
      </w:tr>
      <w:tr w:rsidR="00147603" w:rsidRPr="00147603" w:rsidTr="00147603">
        <w:trPr>
          <w:trHeight w:val="139"/>
          <w:jc w:val="center"/>
        </w:trPr>
        <w:tc>
          <w:tcPr>
            <w:tcW w:w="0" w:type="auto"/>
            <w:tcBorders>
              <w:top w:val="nil"/>
              <w:left w:val="single" w:sz="8" w:space="0" w:color="auto"/>
              <w:bottom w:val="single" w:sz="4"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4"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4"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4"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4" w:space="0" w:color="auto"/>
              <w:right w:val="single" w:sz="8" w:space="0" w:color="auto"/>
            </w:tcBorders>
            <w:noWrap/>
            <w:vAlign w:val="bottom"/>
          </w:tcPr>
          <w:p w:rsidR="00147603" w:rsidRPr="00147603" w:rsidRDefault="00147603" w:rsidP="00147603">
            <w:pPr>
              <w:pStyle w:val="Tabele"/>
              <w:rPr>
                <w:sz w:val="12"/>
                <w:szCs w:val="12"/>
              </w:rPr>
            </w:pPr>
            <w:r w:rsidRPr="00147603">
              <w:rPr>
                <w:sz w:val="12"/>
                <w:szCs w:val="12"/>
              </w:rPr>
              <w:t> </w:t>
            </w:r>
          </w:p>
        </w:tc>
      </w:tr>
      <w:tr w:rsidR="00147603" w:rsidRPr="00147603" w:rsidTr="00147603">
        <w:trPr>
          <w:trHeight w:val="139"/>
          <w:jc w:val="center"/>
        </w:trPr>
        <w:tc>
          <w:tcPr>
            <w:tcW w:w="0" w:type="auto"/>
            <w:tcBorders>
              <w:top w:val="nil"/>
              <w:left w:val="single" w:sz="8" w:space="0" w:color="auto"/>
              <w:bottom w:val="single" w:sz="4"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4"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4"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4"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4" w:space="0" w:color="auto"/>
              <w:right w:val="single" w:sz="8" w:space="0" w:color="auto"/>
            </w:tcBorders>
            <w:noWrap/>
            <w:vAlign w:val="bottom"/>
          </w:tcPr>
          <w:p w:rsidR="00147603" w:rsidRPr="00147603" w:rsidRDefault="00147603" w:rsidP="00147603">
            <w:pPr>
              <w:pStyle w:val="Tabele"/>
              <w:rPr>
                <w:sz w:val="12"/>
                <w:szCs w:val="12"/>
              </w:rPr>
            </w:pPr>
            <w:r w:rsidRPr="00147603">
              <w:rPr>
                <w:sz w:val="12"/>
                <w:szCs w:val="12"/>
              </w:rPr>
              <w:t> </w:t>
            </w:r>
          </w:p>
        </w:tc>
      </w:tr>
      <w:tr w:rsidR="00147603" w:rsidRPr="00147603" w:rsidTr="00147603">
        <w:trPr>
          <w:trHeight w:val="139"/>
          <w:jc w:val="center"/>
        </w:trPr>
        <w:tc>
          <w:tcPr>
            <w:tcW w:w="0" w:type="auto"/>
            <w:tcBorders>
              <w:top w:val="nil"/>
              <w:left w:val="single" w:sz="8" w:space="0" w:color="auto"/>
              <w:bottom w:val="single" w:sz="8"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8" w:space="0" w:color="auto"/>
              <w:right w:val="single" w:sz="4" w:space="0" w:color="auto"/>
            </w:tcBorders>
            <w:noWrap/>
            <w:vAlign w:val="bottom"/>
          </w:tcPr>
          <w:p w:rsidR="00147603" w:rsidRPr="00147603" w:rsidRDefault="00147603" w:rsidP="00147603">
            <w:pPr>
              <w:pStyle w:val="Tabele"/>
              <w:rPr>
                <w:sz w:val="12"/>
                <w:szCs w:val="12"/>
              </w:rPr>
            </w:pPr>
            <w:r w:rsidRPr="00147603">
              <w:rPr>
                <w:sz w:val="12"/>
                <w:szCs w:val="12"/>
              </w:rPr>
              <w:t> </w:t>
            </w:r>
          </w:p>
        </w:tc>
        <w:tc>
          <w:tcPr>
            <w:tcW w:w="0" w:type="auto"/>
            <w:tcBorders>
              <w:top w:val="nil"/>
              <w:left w:val="nil"/>
              <w:bottom w:val="single" w:sz="8" w:space="0" w:color="auto"/>
              <w:right w:val="single" w:sz="8" w:space="0" w:color="auto"/>
            </w:tcBorders>
            <w:noWrap/>
            <w:vAlign w:val="bottom"/>
          </w:tcPr>
          <w:p w:rsidR="00147603" w:rsidRPr="00147603" w:rsidRDefault="00147603" w:rsidP="00147603">
            <w:pPr>
              <w:pStyle w:val="Tabele"/>
              <w:rPr>
                <w:sz w:val="12"/>
                <w:szCs w:val="12"/>
              </w:rPr>
            </w:pPr>
            <w:r w:rsidRPr="00147603">
              <w:rPr>
                <w:sz w:val="12"/>
                <w:szCs w:val="12"/>
              </w:rPr>
              <w:t> </w:t>
            </w:r>
          </w:p>
        </w:tc>
      </w:tr>
      <w:tr w:rsidR="00147603" w:rsidRPr="00147603" w:rsidTr="00147603">
        <w:trPr>
          <w:trHeight w:val="139"/>
          <w:jc w:val="center"/>
        </w:trPr>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r>
      <w:tr w:rsidR="00147603" w:rsidRPr="00147603" w:rsidTr="00147603">
        <w:trPr>
          <w:trHeight w:val="139"/>
          <w:jc w:val="center"/>
        </w:trPr>
        <w:tc>
          <w:tcPr>
            <w:tcW w:w="0" w:type="auto"/>
            <w:tcBorders>
              <w:top w:val="nil"/>
              <w:left w:val="nil"/>
              <w:bottom w:val="nil"/>
              <w:right w:val="nil"/>
            </w:tcBorders>
            <w:noWrap/>
            <w:vAlign w:val="bottom"/>
          </w:tcPr>
          <w:p w:rsidR="00147603" w:rsidRPr="00147603" w:rsidRDefault="00147603" w:rsidP="00147603">
            <w:pPr>
              <w:pStyle w:val="Tabele"/>
              <w:rPr>
                <w:i/>
                <w:iCs/>
                <w:sz w:val="12"/>
                <w:szCs w:val="12"/>
              </w:rPr>
            </w:pPr>
            <w:r w:rsidRPr="00147603">
              <w:rPr>
                <w:i/>
                <w:iCs/>
                <w:sz w:val="12"/>
                <w:szCs w:val="12"/>
              </w:rPr>
              <w:t xml:space="preserve"> Shënime sqaruese: </w:t>
            </w: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r>
      <w:tr w:rsidR="00147603" w:rsidRPr="00147603" w:rsidTr="00147603">
        <w:trPr>
          <w:trHeight w:val="139"/>
          <w:jc w:val="center"/>
        </w:trPr>
        <w:tc>
          <w:tcPr>
            <w:tcW w:w="0" w:type="auto"/>
            <w:tcBorders>
              <w:top w:val="nil"/>
              <w:left w:val="nil"/>
              <w:bottom w:val="nil"/>
              <w:right w:val="nil"/>
            </w:tcBorders>
            <w:noWrap/>
            <w:vAlign w:val="bottom"/>
          </w:tcPr>
          <w:p w:rsidR="00147603" w:rsidRPr="00147603" w:rsidRDefault="00147603" w:rsidP="00147603">
            <w:pPr>
              <w:pStyle w:val="Tabele"/>
              <w:rPr>
                <w:sz w:val="12"/>
                <w:szCs w:val="12"/>
              </w:rPr>
            </w:pPr>
            <w:r w:rsidRPr="00147603">
              <w:rPr>
                <w:sz w:val="12"/>
                <w:szCs w:val="12"/>
              </w:rPr>
              <w:t xml:space="preserve"> Formulari 7 plotësohet nga banka sipas përcaktimeve të rregullores. </w:t>
            </w: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c>
          <w:tcPr>
            <w:tcW w:w="0" w:type="auto"/>
            <w:tcBorders>
              <w:top w:val="nil"/>
              <w:left w:val="nil"/>
              <w:bottom w:val="nil"/>
              <w:right w:val="nil"/>
            </w:tcBorders>
            <w:noWrap/>
            <w:vAlign w:val="bottom"/>
          </w:tcPr>
          <w:p w:rsidR="00147603" w:rsidRPr="00147603" w:rsidRDefault="00147603" w:rsidP="00147603">
            <w:pPr>
              <w:pStyle w:val="Tabele"/>
              <w:rPr>
                <w:rFonts w:ascii="Calibri" w:hAnsi="Calibri" w:cs="Calibri"/>
                <w:color w:val="000000"/>
                <w:sz w:val="12"/>
                <w:szCs w:val="12"/>
              </w:rPr>
            </w:pPr>
          </w:p>
        </w:tc>
      </w:tr>
    </w:tbl>
    <w:p w:rsidR="00147603" w:rsidRDefault="00147603" w:rsidP="00147603">
      <w:pPr>
        <w:pStyle w:val="Akti"/>
        <w:keepNext w:val="0"/>
      </w:pPr>
    </w:p>
    <w:sectPr w:rsidR="0014760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2484D">
      <w:r>
        <w:separator/>
      </w:r>
    </w:p>
  </w:endnote>
  <w:endnote w:type="continuationSeparator" w:id="0">
    <w:p w:rsidR="00000000" w:rsidRDefault="00924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603" w:rsidRDefault="00147603" w:rsidP="00147603">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2484D">
      <w:rPr>
        <w:rStyle w:val="PageNumber"/>
        <w:noProof/>
      </w:rPr>
      <w:t>3</w:t>
    </w:r>
    <w:r>
      <w:rPr>
        <w:rStyle w:val="PageNumber"/>
      </w:rPr>
      <w:fldChar w:fldCharType="end"/>
    </w:r>
  </w:p>
  <w:p w:rsidR="00147603" w:rsidRDefault="00147603" w:rsidP="0014760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2484D">
      <w:r>
        <w:separator/>
      </w:r>
    </w:p>
  </w:footnote>
  <w:footnote w:type="continuationSeparator" w:id="0">
    <w:p w:rsidR="00000000" w:rsidRDefault="009248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848A7B0"/>
    <w:lvl w:ilvl="0">
      <w:start w:val="1"/>
      <w:numFmt w:val="decimal"/>
      <w:lvlText w:val="%1."/>
      <w:lvlJc w:val="left"/>
      <w:pPr>
        <w:tabs>
          <w:tab w:val="num" w:pos="1800"/>
        </w:tabs>
        <w:ind w:left="1800" w:hanging="360"/>
      </w:pPr>
    </w:lvl>
  </w:abstractNum>
  <w:abstractNum w:abstractNumId="1">
    <w:nsid w:val="FFFFFF7D"/>
    <w:multiLevelType w:val="singleLevel"/>
    <w:tmpl w:val="A9522366"/>
    <w:lvl w:ilvl="0">
      <w:start w:val="1"/>
      <w:numFmt w:val="decimal"/>
      <w:lvlText w:val="%1."/>
      <w:lvlJc w:val="left"/>
      <w:pPr>
        <w:tabs>
          <w:tab w:val="num" w:pos="1440"/>
        </w:tabs>
        <w:ind w:left="1440" w:hanging="360"/>
      </w:pPr>
    </w:lvl>
  </w:abstractNum>
  <w:abstractNum w:abstractNumId="2">
    <w:nsid w:val="FFFFFF7E"/>
    <w:multiLevelType w:val="singleLevel"/>
    <w:tmpl w:val="926263CA"/>
    <w:lvl w:ilvl="0">
      <w:start w:val="1"/>
      <w:numFmt w:val="decimal"/>
      <w:lvlText w:val="%1."/>
      <w:lvlJc w:val="left"/>
      <w:pPr>
        <w:tabs>
          <w:tab w:val="num" w:pos="1080"/>
        </w:tabs>
        <w:ind w:left="1080" w:hanging="360"/>
      </w:pPr>
    </w:lvl>
  </w:abstractNum>
  <w:abstractNum w:abstractNumId="3">
    <w:nsid w:val="FFFFFF7F"/>
    <w:multiLevelType w:val="singleLevel"/>
    <w:tmpl w:val="AB9CF1DE"/>
    <w:lvl w:ilvl="0">
      <w:start w:val="1"/>
      <w:numFmt w:val="decimal"/>
      <w:lvlText w:val="%1."/>
      <w:lvlJc w:val="left"/>
      <w:pPr>
        <w:tabs>
          <w:tab w:val="num" w:pos="720"/>
        </w:tabs>
        <w:ind w:left="720" w:hanging="360"/>
      </w:pPr>
    </w:lvl>
  </w:abstractNum>
  <w:abstractNum w:abstractNumId="4">
    <w:nsid w:val="FFFFFF80"/>
    <w:multiLevelType w:val="singleLevel"/>
    <w:tmpl w:val="DA20949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ADC361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6F41AE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AA227B5A"/>
    <w:lvl w:ilvl="0">
      <w:start w:val="1"/>
      <w:numFmt w:val="decimal"/>
      <w:lvlText w:val="%1."/>
      <w:lvlJc w:val="left"/>
      <w:pPr>
        <w:tabs>
          <w:tab w:val="num" w:pos="360"/>
        </w:tabs>
        <w:ind w:left="360" w:hanging="360"/>
      </w:pPr>
    </w:lvl>
  </w:abstractNum>
  <w:abstractNum w:abstractNumId="9">
    <w:nsid w:val="FFFFFF89"/>
    <w:multiLevelType w:val="singleLevel"/>
    <w:tmpl w:val="2EF60E54"/>
    <w:lvl w:ilvl="0">
      <w:start w:val="1"/>
      <w:numFmt w:val="bullet"/>
      <w:lvlText w:val=""/>
      <w:lvlJc w:val="left"/>
      <w:pPr>
        <w:tabs>
          <w:tab w:val="num" w:pos="360"/>
        </w:tabs>
        <w:ind w:left="360" w:hanging="360"/>
      </w:pPr>
      <w:rPr>
        <w:rFonts w:ascii="Symbol" w:hAnsi="Symbol" w:hint="default"/>
      </w:rPr>
    </w:lvl>
  </w:abstractNum>
  <w:abstractNum w:abstractNumId="1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1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2"/>
  </w:num>
  <w:num w:numId="3">
    <w:abstractNumId w:val="14"/>
  </w:num>
  <w:num w:numId="4">
    <w:abstractNumId w:val="11"/>
  </w:num>
  <w:num w:numId="5">
    <w:abstractNumId w:val="10"/>
  </w:num>
  <w:num w:numId="6">
    <w:abstractNumId w:val="10"/>
  </w:num>
  <w:num w:numId="7">
    <w:abstractNumId w:val="13"/>
  </w:num>
  <w:num w:numId="8">
    <w:abstractNumId w:val="12"/>
  </w:num>
  <w:num w:numId="9">
    <w:abstractNumId w:val="14"/>
  </w:num>
  <w:num w:numId="10">
    <w:abstractNumId w:val="12"/>
  </w:num>
  <w:num w:numId="11">
    <w:abstractNumId w:val="14"/>
  </w:num>
  <w:num w:numId="12">
    <w:abstractNumId w:val="12"/>
  </w:num>
  <w:num w:numId="13">
    <w:abstractNumId w:val="14"/>
  </w:num>
  <w:num w:numId="14">
    <w:abstractNumId w:val="12"/>
  </w:num>
  <w:num w:numId="15">
    <w:abstractNumId w:val="14"/>
  </w:num>
  <w:num w:numId="16">
    <w:abstractNumId w:val="14"/>
  </w:num>
  <w:num w:numId="17">
    <w:abstractNumId w:val="10"/>
  </w:num>
  <w:num w:numId="18">
    <w:abstractNumId w:val="10"/>
  </w:num>
  <w:num w:numId="19">
    <w:abstractNumId w:val="12"/>
  </w:num>
  <w:num w:numId="20">
    <w:abstractNumId w:val="14"/>
  </w:num>
  <w:num w:numId="21">
    <w:abstractNumId w:val="12"/>
  </w:num>
  <w:num w:numId="22">
    <w:abstractNumId w:val="14"/>
  </w:num>
  <w:num w:numId="23">
    <w:abstractNumId w:val="12"/>
  </w:num>
  <w:num w:numId="24">
    <w:abstractNumId w:val="14"/>
  </w:num>
  <w:num w:numId="25">
    <w:abstractNumId w:val="12"/>
  </w:num>
  <w:num w:numId="26">
    <w:abstractNumId w:val="14"/>
  </w:num>
  <w:num w:numId="27">
    <w:abstractNumId w:val="14"/>
  </w:num>
  <w:num w:numId="28">
    <w:abstractNumId w:val="10"/>
  </w:num>
  <w:num w:numId="29">
    <w:abstractNumId w:val="10"/>
  </w:num>
  <w:num w:numId="30">
    <w:abstractNumId w:val="12"/>
  </w:num>
  <w:num w:numId="31">
    <w:abstractNumId w:val="14"/>
  </w:num>
  <w:num w:numId="32">
    <w:abstractNumId w:val="12"/>
  </w:num>
  <w:num w:numId="33">
    <w:abstractNumId w:val="14"/>
  </w:num>
  <w:num w:numId="34">
    <w:abstractNumId w:val="12"/>
  </w:num>
  <w:num w:numId="35">
    <w:abstractNumId w:val="14"/>
  </w:num>
  <w:num w:numId="36">
    <w:abstractNumId w:val="12"/>
  </w:num>
  <w:num w:numId="37">
    <w:abstractNumId w:val="14"/>
  </w:num>
  <w:num w:numId="38">
    <w:abstractNumId w:val="7"/>
  </w:num>
  <w:num w:numId="39">
    <w:abstractNumId w:val="9"/>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47603"/>
    <w:rsid w:val="00000B0C"/>
    <w:rsid w:val="00001D7F"/>
    <w:rsid w:val="00001ED4"/>
    <w:rsid w:val="0000253A"/>
    <w:rsid w:val="00003060"/>
    <w:rsid w:val="0000363C"/>
    <w:rsid w:val="00003A81"/>
    <w:rsid w:val="00004CDC"/>
    <w:rsid w:val="000052F4"/>
    <w:rsid w:val="00005805"/>
    <w:rsid w:val="00005E15"/>
    <w:rsid w:val="00006041"/>
    <w:rsid w:val="00006B67"/>
    <w:rsid w:val="000109D9"/>
    <w:rsid w:val="00010C90"/>
    <w:rsid w:val="0001163C"/>
    <w:rsid w:val="000116E2"/>
    <w:rsid w:val="00013366"/>
    <w:rsid w:val="00013A4D"/>
    <w:rsid w:val="000141D4"/>
    <w:rsid w:val="00014340"/>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547"/>
    <w:rsid w:val="00027603"/>
    <w:rsid w:val="00027CAE"/>
    <w:rsid w:val="00030428"/>
    <w:rsid w:val="00030839"/>
    <w:rsid w:val="000308A3"/>
    <w:rsid w:val="00030B1F"/>
    <w:rsid w:val="000312C8"/>
    <w:rsid w:val="00032605"/>
    <w:rsid w:val="00032CB3"/>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BD8"/>
    <w:rsid w:val="00056CF5"/>
    <w:rsid w:val="00056FDA"/>
    <w:rsid w:val="00057B3F"/>
    <w:rsid w:val="00060489"/>
    <w:rsid w:val="000618C7"/>
    <w:rsid w:val="00061AD2"/>
    <w:rsid w:val="00062069"/>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2C8B"/>
    <w:rsid w:val="0007381A"/>
    <w:rsid w:val="00074875"/>
    <w:rsid w:val="000752F1"/>
    <w:rsid w:val="000764CC"/>
    <w:rsid w:val="00076807"/>
    <w:rsid w:val="00077070"/>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0E"/>
    <w:rsid w:val="000D3CC1"/>
    <w:rsid w:val="000D3DAC"/>
    <w:rsid w:val="000D433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B11"/>
    <w:rsid w:val="001153D6"/>
    <w:rsid w:val="00115644"/>
    <w:rsid w:val="00115A10"/>
    <w:rsid w:val="00116B47"/>
    <w:rsid w:val="00116DB4"/>
    <w:rsid w:val="00116E1D"/>
    <w:rsid w:val="001178F8"/>
    <w:rsid w:val="001179F7"/>
    <w:rsid w:val="0012015A"/>
    <w:rsid w:val="00120C4D"/>
    <w:rsid w:val="0012215A"/>
    <w:rsid w:val="00122D0F"/>
    <w:rsid w:val="00123444"/>
    <w:rsid w:val="001249B9"/>
    <w:rsid w:val="00125054"/>
    <w:rsid w:val="00125DC1"/>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5D4E"/>
    <w:rsid w:val="0014747F"/>
    <w:rsid w:val="00147603"/>
    <w:rsid w:val="00150419"/>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494"/>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642"/>
    <w:rsid w:val="0017407D"/>
    <w:rsid w:val="001743DB"/>
    <w:rsid w:val="001757F4"/>
    <w:rsid w:val="001763D1"/>
    <w:rsid w:val="0017649F"/>
    <w:rsid w:val="001766FF"/>
    <w:rsid w:val="001769AA"/>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43B"/>
    <w:rsid w:val="001A19C8"/>
    <w:rsid w:val="001A21DE"/>
    <w:rsid w:val="001A2871"/>
    <w:rsid w:val="001A2C51"/>
    <w:rsid w:val="001A380A"/>
    <w:rsid w:val="001A3A7E"/>
    <w:rsid w:val="001A4548"/>
    <w:rsid w:val="001A4BD2"/>
    <w:rsid w:val="001A4F0B"/>
    <w:rsid w:val="001A5C54"/>
    <w:rsid w:val="001A6422"/>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67B"/>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353F"/>
    <w:rsid w:val="00204565"/>
    <w:rsid w:val="002047F1"/>
    <w:rsid w:val="00204FA7"/>
    <w:rsid w:val="00206485"/>
    <w:rsid w:val="002066B5"/>
    <w:rsid w:val="00207A3A"/>
    <w:rsid w:val="002103E9"/>
    <w:rsid w:val="002112FC"/>
    <w:rsid w:val="002112FF"/>
    <w:rsid w:val="00211A19"/>
    <w:rsid w:val="00211D2B"/>
    <w:rsid w:val="00211DC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79F"/>
    <w:rsid w:val="00237B41"/>
    <w:rsid w:val="0024092D"/>
    <w:rsid w:val="00240AE2"/>
    <w:rsid w:val="002412F4"/>
    <w:rsid w:val="0024176E"/>
    <w:rsid w:val="00241FC3"/>
    <w:rsid w:val="0024270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340"/>
    <w:rsid w:val="0025540D"/>
    <w:rsid w:val="00255FC1"/>
    <w:rsid w:val="00257AE3"/>
    <w:rsid w:val="0026012B"/>
    <w:rsid w:val="00260625"/>
    <w:rsid w:val="002608DE"/>
    <w:rsid w:val="002612BA"/>
    <w:rsid w:val="00262F22"/>
    <w:rsid w:val="002631F7"/>
    <w:rsid w:val="00263ADE"/>
    <w:rsid w:val="0026559D"/>
    <w:rsid w:val="00265786"/>
    <w:rsid w:val="00265820"/>
    <w:rsid w:val="002667AD"/>
    <w:rsid w:val="0026691B"/>
    <w:rsid w:val="00266926"/>
    <w:rsid w:val="00266A90"/>
    <w:rsid w:val="00267D8A"/>
    <w:rsid w:val="0027003E"/>
    <w:rsid w:val="00271E49"/>
    <w:rsid w:val="00271ECE"/>
    <w:rsid w:val="00272243"/>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97362"/>
    <w:rsid w:val="002A0781"/>
    <w:rsid w:val="002A108A"/>
    <w:rsid w:val="002A1B39"/>
    <w:rsid w:val="002A1C26"/>
    <w:rsid w:val="002A1F05"/>
    <w:rsid w:val="002A4353"/>
    <w:rsid w:val="002A4779"/>
    <w:rsid w:val="002A6110"/>
    <w:rsid w:val="002A627D"/>
    <w:rsid w:val="002A69BF"/>
    <w:rsid w:val="002A7D5F"/>
    <w:rsid w:val="002B05C0"/>
    <w:rsid w:val="002B064E"/>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028"/>
    <w:rsid w:val="002C41CF"/>
    <w:rsid w:val="002C4551"/>
    <w:rsid w:val="002C45AF"/>
    <w:rsid w:val="002C663A"/>
    <w:rsid w:val="002C68DF"/>
    <w:rsid w:val="002C77EE"/>
    <w:rsid w:val="002D16A0"/>
    <w:rsid w:val="002D1E63"/>
    <w:rsid w:val="002D3153"/>
    <w:rsid w:val="002D3A64"/>
    <w:rsid w:val="002D3AB2"/>
    <w:rsid w:val="002D3E9F"/>
    <w:rsid w:val="002D4508"/>
    <w:rsid w:val="002D55C5"/>
    <w:rsid w:val="002D5726"/>
    <w:rsid w:val="002D57F3"/>
    <w:rsid w:val="002D631D"/>
    <w:rsid w:val="002D6424"/>
    <w:rsid w:val="002D6667"/>
    <w:rsid w:val="002D6C0B"/>
    <w:rsid w:val="002D6FFB"/>
    <w:rsid w:val="002D737C"/>
    <w:rsid w:val="002D778D"/>
    <w:rsid w:val="002D7ABE"/>
    <w:rsid w:val="002D7F84"/>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D22"/>
    <w:rsid w:val="002F5675"/>
    <w:rsid w:val="002F6838"/>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228A"/>
    <w:rsid w:val="00313244"/>
    <w:rsid w:val="0031353C"/>
    <w:rsid w:val="00313867"/>
    <w:rsid w:val="003148A3"/>
    <w:rsid w:val="00314EA9"/>
    <w:rsid w:val="0031550B"/>
    <w:rsid w:val="0031568D"/>
    <w:rsid w:val="00315CA3"/>
    <w:rsid w:val="00316EBA"/>
    <w:rsid w:val="0031708B"/>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9C8"/>
    <w:rsid w:val="00352A23"/>
    <w:rsid w:val="00353D77"/>
    <w:rsid w:val="00354BE6"/>
    <w:rsid w:val="00354C70"/>
    <w:rsid w:val="00354CF6"/>
    <w:rsid w:val="00355406"/>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A77"/>
    <w:rsid w:val="00362CEA"/>
    <w:rsid w:val="00362EAB"/>
    <w:rsid w:val="00363AEF"/>
    <w:rsid w:val="00364171"/>
    <w:rsid w:val="00364981"/>
    <w:rsid w:val="00365087"/>
    <w:rsid w:val="003655DE"/>
    <w:rsid w:val="003659D8"/>
    <w:rsid w:val="00365B02"/>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31B"/>
    <w:rsid w:val="003C1615"/>
    <w:rsid w:val="003C207B"/>
    <w:rsid w:val="003C2445"/>
    <w:rsid w:val="003C34AC"/>
    <w:rsid w:val="003C39AE"/>
    <w:rsid w:val="003C3E7E"/>
    <w:rsid w:val="003C3EF9"/>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1F"/>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671"/>
    <w:rsid w:val="003F3CA9"/>
    <w:rsid w:val="003F3FB6"/>
    <w:rsid w:val="003F459C"/>
    <w:rsid w:val="003F525B"/>
    <w:rsid w:val="003F52A0"/>
    <w:rsid w:val="003F568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102D6"/>
    <w:rsid w:val="00411350"/>
    <w:rsid w:val="00411ACA"/>
    <w:rsid w:val="00412459"/>
    <w:rsid w:val="00412625"/>
    <w:rsid w:val="004130DD"/>
    <w:rsid w:val="00413843"/>
    <w:rsid w:val="00413B02"/>
    <w:rsid w:val="00415051"/>
    <w:rsid w:val="00415054"/>
    <w:rsid w:val="004155F8"/>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3897"/>
    <w:rsid w:val="00433EF2"/>
    <w:rsid w:val="00434A36"/>
    <w:rsid w:val="00435AD5"/>
    <w:rsid w:val="00435F64"/>
    <w:rsid w:val="00436604"/>
    <w:rsid w:val="00436653"/>
    <w:rsid w:val="00436E88"/>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C8"/>
    <w:rsid w:val="00462C6A"/>
    <w:rsid w:val="004632B7"/>
    <w:rsid w:val="004637F1"/>
    <w:rsid w:val="00464FFD"/>
    <w:rsid w:val="004654E6"/>
    <w:rsid w:val="004657C4"/>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0AB"/>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C62"/>
    <w:rsid w:val="00491E44"/>
    <w:rsid w:val="004920BB"/>
    <w:rsid w:val="0049210A"/>
    <w:rsid w:val="004922E4"/>
    <w:rsid w:val="004923BD"/>
    <w:rsid w:val="0049244A"/>
    <w:rsid w:val="004934AD"/>
    <w:rsid w:val="00493CAB"/>
    <w:rsid w:val="00494C7E"/>
    <w:rsid w:val="00494E0A"/>
    <w:rsid w:val="00494FC4"/>
    <w:rsid w:val="004952F5"/>
    <w:rsid w:val="0049593A"/>
    <w:rsid w:val="004963CE"/>
    <w:rsid w:val="00496580"/>
    <w:rsid w:val="004A054C"/>
    <w:rsid w:val="004A133B"/>
    <w:rsid w:val="004A18ED"/>
    <w:rsid w:val="004A236B"/>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D73"/>
    <w:rsid w:val="004B7E2C"/>
    <w:rsid w:val="004B7EC9"/>
    <w:rsid w:val="004C0574"/>
    <w:rsid w:val="004C0D92"/>
    <w:rsid w:val="004C1134"/>
    <w:rsid w:val="004C1AB1"/>
    <w:rsid w:val="004C2220"/>
    <w:rsid w:val="004C2E6C"/>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1D1"/>
    <w:rsid w:val="004E550D"/>
    <w:rsid w:val="004E5A03"/>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0A7"/>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4C7C"/>
    <w:rsid w:val="00515269"/>
    <w:rsid w:val="0051565A"/>
    <w:rsid w:val="00515FEF"/>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40F6"/>
    <w:rsid w:val="00534AA6"/>
    <w:rsid w:val="00535A54"/>
    <w:rsid w:val="00535A8A"/>
    <w:rsid w:val="005362E4"/>
    <w:rsid w:val="005366B1"/>
    <w:rsid w:val="00536D4B"/>
    <w:rsid w:val="00536DB6"/>
    <w:rsid w:val="005371C4"/>
    <w:rsid w:val="005377FA"/>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D15"/>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3DC5"/>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556"/>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0E38"/>
    <w:rsid w:val="005A1632"/>
    <w:rsid w:val="005A1D92"/>
    <w:rsid w:val="005A4A61"/>
    <w:rsid w:val="005A5A5B"/>
    <w:rsid w:val="005A5A8F"/>
    <w:rsid w:val="005A5F19"/>
    <w:rsid w:val="005A6181"/>
    <w:rsid w:val="005A6362"/>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2BD"/>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4500"/>
    <w:rsid w:val="005C58E9"/>
    <w:rsid w:val="005C65F3"/>
    <w:rsid w:val="005C6D48"/>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6CD6"/>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3B28"/>
    <w:rsid w:val="00643CC7"/>
    <w:rsid w:val="00643E4C"/>
    <w:rsid w:val="006455D8"/>
    <w:rsid w:val="00645B61"/>
    <w:rsid w:val="00646868"/>
    <w:rsid w:val="006479CA"/>
    <w:rsid w:val="00647C4B"/>
    <w:rsid w:val="00647D2E"/>
    <w:rsid w:val="0065059B"/>
    <w:rsid w:val="006508D8"/>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3EF"/>
    <w:rsid w:val="006614A5"/>
    <w:rsid w:val="00661817"/>
    <w:rsid w:val="00661DA0"/>
    <w:rsid w:val="00661F3E"/>
    <w:rsid w:val="0066252C"/>
    <w:rsid w:val="00662BD6"/>
    <w:rsid w:val="00663E8F"/>
    <w:rsid w:val="00664478"/>
    <w:rsid w:val="0066468B"/>
    <w:rsid w:val="006647E4"/>
    <w:rsid w:val="00664F37"/>
    <w:rsid w:val="0066504D"/>
    <w:rsid w:val="00665960"/>
    <w:rsid w:val="00665FF4"/>
    <w:rsid w:val="00666A89"/>
    <w:rsid w:val="00666BAE"/>
    <w:rsid w:val="00666D2E"/>
    <w:rsid w:val="00666E53"/>
    <w:rsid w:val="0067038B"/>
    <w:rsid w:val="00670447"/>
    <w:rsid w:val="00670AFA"/>
    <w:rsid w:val="00670E90"/>
    <w:rsid w:val="00671577"/>
    <w:rsid w:val="00671792"/>
    <w:rsid w:val="00671993"/>
    <w:rsid w:val="00671C0A"/>
    <w:rsid w:val="0067244D"/>
    <w:rsid w:val="0067261B"/>
    <w:rsid w:val="006728B1"/>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734"/>
    <w:rsid w:val="00696A0C"/>
    <w:rsid w:val="0069713E"/>
    <w:rsid w:val="00697647"/>
    <w:rsid w:val="0069774D"/>
    <w:rsid w:val="00697822"/>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1F8"/>
    <w:rsid w:val="006D158A"/>
    <w:rsid w:val="006D1EDD"/>
    <w:rsid w:val="006D47BB"/>
    <w:rsid w:val="006D495B"/>
    <w:rsid w:val="006D5A41"/>
    <w:rsid w:val="006D67FD"/>
    <w:rsid w:val="006D6A86"/>
    <w:rsid w:val="006D6EFE"/>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8B9"/>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CA8"/>
    <w:rsid w:val="0070518F"/>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399"/>
    <w:rsid w:val="007176E8"/>
    <w:rsid w:val="00720142"/>
    <w:rsid w:val="00720587"/>
    <w:rsid w:val="0072068E"/>
    <w:rsid w:val="007208D3"/>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D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0E0"/>
    <w:rsid w:val="0075220F"/>
    <w:rsid w:val="007524FF"/>
    <w:rsid w:val="00753062"/>
    <w:rsid w:val="007533EB"/>
    <w:rsid w:val="007543B4"/>
    <w:rsid w:val="0075460C"/>
    <w:rsid w:val="00755458"/>
    <w:rsid w:val="007554F1"/>
    <w:rsid w:val="007556D4"/>
    <w:rsid w:val="0075595B"/>
    <w:rsid w:val="0075636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1BC9"/>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0BF"/>
    <w:rsid w:val="007969AC"/>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CFC"/>
    <w:rsid w:val="007A4D94"/>
    <w:rsid w:val="007A5509"/>
    <w:rsid w:val="007A5B11"/>
    <w:rsid w:val="007A684E"/>
    <w:rsid w:val="007A6C02"/>
    <w:rsid w:val="007A71B3"/>
    <w:rsid w:val="007B0205"/>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C0F4B"/>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5C5"/>
    <w:rsid w:val="008109DA"/>
    <w:rsid w:val="00811801"/>
    <w:rsid w:val="00811A47"/>
    <w:rsid w:val="008122FC"/>
    <w:rsid w:val="008126DE"/>
    <w:rsid w:val="00812A62"/>
    <w:rsid w:val="00812F5F"/>
    <w:rsid w:val="00813454"/>
    <w:rsid w:val="00814982"/>
    <w:rsid w:val="008153DB"/>
    <w:rsid w:val="008156C4"/>
    <w:rsid w:val="008158CB"/>
    <w:rsid w:val="008162EE"/>
    <w:rsid w:val="00816858"/>
    <w:rsid w:val="00816D2A"/>
    <w:rsid w:val="00816EE1"/>
    <w:rsid w:val="0082062E"/>
    <w:rsid w:val="008210BA"/>
    <w:rsid w:val="00821AB2"/>
    <w:rsid w:val="00821DC1"/>
    <w:rsid w:val="008227A6"/>
    <w:rsid w:val="00823050"/>
    <w:rsid w:val="008236C1"/>
    <w:rsid w:val="008236C9"/>
    <w:rsid w:val="0082405D"/>
    <w:rsid w:val="00824383"/>
    <w:rsid w:val="00824655"/>
    <w:rsid w:val="00824A83"/>
    <w:rsid w:val="0082591A"/>
    <w:rsid w:val="00825C6D"/>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308"/>
    <w:rsid w:val="00843D8C"/>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147C"/>
    <w:rsid w:val="0086235D"/>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2EF"/>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0EE"/>
    <w:rsid w:val="008A0632"/>
    <w:rsid w:val="008A07E9"/>
    <w:rsid w:val="008A09C9"/>
    <w:rsid w:val="008A1672"/>
    <w:rsid w:val="008A1CE8"/>
    <w:rsid w:val="008A20A3"/>
    <w:rsid w:val="008A2943"/>
    <w:rsid w:val="008A41D6"/>
    <w:rsid w:val="008A484C"/>
    <w:rsid w:val="008A4B90"/>
    <w:rsid w:val="008A5100"/>
    <w:rsid w:val="008A5418"/>
    <w:rsid w:val="008A651B"/>
    <w:rsid w:val="008B046E"/>
    <w:rsid w:val="008B062A"/>
    <w:rsid w:val="008B10ED"/>
    <w:rsid w:val="008B1298"/>
    <w:rsid w:val="008B1514"/>
    <w:rsid w:val="008B1CB4"/>
    <w:rsid w:val="008B1D98"/>
    <w:rsid w:val="008B2612"/>
    <w:rsid w:val="008B327C"/>
    <w:rsid w:val="008B3DD6"/>
    <w:rsid w:val="008B5C38"/>
    <w:rsid w:val="008B61D4"/>
    <w:rsid w:val="008B626B"/>
    <w:rsid w:val="008B6512"/>
    <w:rsid w:val="008B6E72"/>
    <w:rsid w:val="008B7751"/>
    <w:rsid w:val="008B7C7E"/>
    <w:rsid w:val="008B7ECB"/>
    <w:rsid w:val="008C0673"/>
    <w:rsid w:val="008C0D19"/>
    <w:rsid w:val="008C2007"/>
    <w:rsid w:val="008C323C"/>
    <w:rsid w:val="008C331E"/>
    <w:rsid w:val="008C33A8"/>
    <w:rsid w:val="008C347F"/>
    <w:rsid w:val="008C3B97"/>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2CF"/>
    <w:rsid w:val="008E286E"/>
    <w:rsid w:val="008E294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BE3"/>
    <w:rsid w:val="008F1F56"/>
    <w:rsid w:val="008F2406"/>
    <w:rsid w:val="008F25B8"/>
    <w:rsid w:val="008F2ABA"/>
    <w:rsid w:val="008F2FF9"/>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98A"/>
    <w:rsid w:val="00921C0F"/>
    <w:rsid w:val="009221B5"/>
    <w:rsid w:val="009222D0"/>
    <w:rsid w:val="00922333"/>
    <w:rsid w:val="00922406"/>
    <w:rsid w:val="009226CA"/>
    <w:rsid w:val="00922ED0"/>
    <w:rsid w:val="00923E21"/>
    <w:rsid w:val="00923E34"/>
    <w:rsid w:val="0092484D"/>
    <w:rsid w:val="00924941"/>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0FA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229"/>
    <w:rsid w:val="009713C9"/>
    <w:rsid w:val="00971A8A"/>
    <w:rsid w:val="00971B20"/>
    <w:rsid w:val="00971D14"/>
    <w:rsid w:val="0097217B"/>
    <w:rsid w:val="00972672"/>
    <w:rsid w:val="00972937"/>
    <w:rsid w:val="00972C18"/>
    <w:rsid w:val="00973347"/>
    <w:rsid w:val="00973656"/>
    <w:rsid w:val="00973EC5"/>
    <w:rsid w:val="00973FFF"/>
    <w:rsid w:val="00975979"/>
    <w:rsid w:val="00975C48"/>
    <w:rsid w:val="00975C93"/>
    <w:rsid w:val="00975F21"/>
    <w:rsid w:val="00977667"/>
    <w:rsid w:val="00977D61"/>
    <w:rsid w:val="009802C4"/>
    <w:rsid w:val="00980C59"/>
    <w:rsid w:val="00981079"/>
    <w:rsid w:val="009816B1"/>
    <w:rsid w:val="00981D9B"/>
    <w:rsid w:val="009820D2"/>
    <w:rsid w:val="0098361D"/>
    <w:rsid w:val="00984C25"/>
    <w:rsid w:val="00984E74"/>
    <w:rsid w:val="00985B09"/>
    <w:rsid w:val="00985FEA"/>
    <w:rsid w:val="009861BB"/>
    <w:rsid w:val="00986530"/>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863"/>
    <w:rsid w:val="009B4FA5"/>
    <w:rsid w:val="009B5323"/>
    <w:rsid w:val="009B566F"/>
    <w:rsid w:val="009B5DE8"/>
    <w:rsid w:val="009B6499"/>
    <w:rsid w:val="009B64FE"/>
    <w:rsid w:val="009B6821"/>
    <w:rsid w:val="009B7194"/>
    <w:rsid w:val="009B731C"/>
    <w:rsid w:val="009B7B52"/>
    <w:rsid w:val="009C0651"/>
    <w:rsid w:val="009C0EF4"/>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4863"/>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25"/>
    <w:rsid w:val="00A259E3"/>
    <w:rsid w:val="00A25BC6"/>
    <w:rsid w:val="00A26070"/>
    <w:rsid w:val="00A26392"/>
    <w:rsid w:val="00A2639C"/>
    <w:rsid w:val="00A268F8"/>
    <w:rsid w:val="00A26A8F"/>
    <w:rsid w:val="00A26C93"/>
    <w:rsid w:val="00A26D21"/>
    <w:rsid w:val="00A27315"/>
    <w:rsid w:val="00A308F3"/>
    <w:rsid w:val="00A30BE0"/>
    <w:rsid w:val="00A30D91"/>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20F2"/>
    <w:rsid w:val="00A432E6"/>
    <w:rsid w:val="00A436B5"/>
    <w:rsid w:val="00A4463C"/>
    <w:rsid w:val="00A44CE9"/>
    <w:rsid w:val="00A44F65"/>
    <w:rsid w:val="00A45177"/>
    <w:rsid w:val="00A46131"/>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4EF8"/>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5ED"/>
    <w:rsid w:val="00A8294D"/>
    <w:rsid w:val="00A83090"/>
    <w:rsid w:val="00A831D9"/>
    <w:rsid w:val="00A84ABA"/>
    <w:rsid w:val="00A852FA"/>
    <w:rsid w:val="00A86120"/>
    <w:rsid w:val="00A863A9"/>
    <w:rsid w:val="00A86418"/>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2F7"/>
    <w:rsid w:val="00AA457D"/>
    <w:rsid w:val="00AA45A7"/>
    <w:rsid w:val="00AA5093"/>
    <w:rsid w:val="00AA578A"/>
    <w:rsid w:val="00AA5CA3"/>
    <w:rsid w:val="00AA6B53"/>
    <w:rsid w:val="00AA752B"/>
    <w:rsid w:val="00AB019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1DE"/>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23F1"/>
    <w:rsid w:val="00AE25A0"/>
    <w:rsid w:val="00AE289C"/>
    <w:rsid w:val="00AE2C3A"/>
    <w:rsid w:val="00AE4C10"/>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0A3"/>
    <w:rsid w:val="00B05387"/>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6CCB"/>
    <w:rsid w:val="00B27796"/>
    <w:rsid w:val="00B27E88"/>
    <w:rsid w:val="00B27F80"/>
    <w:rsid w:val="00B3028C"/>
    <w:rsid w:val="00B304AB"/>
    <w:rsid w:val="00B304D4"/>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1FA9"/>
    <w:rsid w:val="00B42264"/>
    <w:rsid w:val="00B4249B"/>
    <w:rsid w:val="00B42891"/>
    <w:rsid w:val="00B42B96"/>
    <w:rsid w:val="00B42BA3"/>
    <w:rsid w:val="00B42CE2"/>
    <w:rsid w:val="00B4411A"/>
    <w:rsid w:val="00B44450"/>
    <w:rsid w:val="00B456B1"/>
    <w:rsid w:val="00B45B97"/>
    <w:rsid w:val="00B464A1"/>
    <w:rsid w:val="00B4663D"/>
    <w:rsid w:val="00B46C56"/>
    <w:rsid w:val="00B47811"/>
    <w:rsid w:val="00B50342"/>
    <w:rsid w:val="00B5070C"/>
    <w:rsid w:val="00B5090C"/>
    <w:rsid w:val="00B50FA7"/>
    <w:rsid w:val="00B5159A"/>
    <w:rsid w:val="00B5197F"/>
    <w:rsid w:val="00B51B97"/>
    <w:rsid w:val="00B527BD"/>
    <w:rsid w:val="00B52A73"/>
    <w:rsid w:val="00B5321B"/>
    <w:rsid w:val="00B538D9"/>
    <w:rsid w:val="00B54469"/>
    <w:rsid w:val="00B54B1B"/>
    <w:rsid w:val="00B54C31"/>
    <w:rsid w:val="00B5548A"/>
    <w:rsid w:val="00B55F09"/>
    <w:rsid w:val="00B5607E"/>
    <w:rsid w:val="00B5611F"/>
    <w:rsid w:val="00B56B16"/>
    <w:rsid w:val="00B573B2"/>
    <w:rsid w:val="00B57955"/>
    <w:rsid w:val="00B60AFB"/>
    <w:rsid w:val="00B613E7"/>
    <w:rsid w:val="00B61E59"/>
    <w:rsid w:val="00B6247D"/>
    <w:rsid w:val="00B62B8C"/>
    <w:rsid w:val="00B63B4E"/>
    <w:rsid w:val="00B65249"/>
    <w:rsid w:val="00B661E4"/>
    <w:rsid w:val="00B6709A"/>
    <w:rsid w:val="00B674E9"/>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81B"/>
    <w:rsid w:val="00B8431C"/>
    <w:rsid w:val="00B845AA"/>
    <w:rsid w:val="00B84698"/>
    <w:rsid w:val="00B8484C"/>
    <w:rsid w:val="00B852B1"/>
    <w:rsid w:val="00B85578"/>
    <w:rsid w:val="00B85795"/>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6FF"/>
    <w:rsid w:val="00B96FBF"/>
    <w:rsid w:val="00B9706F"/>
    <w:rsid w:val="00B97FD5"/>
    <w:rsid w:val="00BA0138"/>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741"/>
    <w:rsid w:val="00BD322D"/>
    <w:rsid w:val="00BD4356"/>
    <w:rsid w:val="00BD51BF"/>
    <w:rsid w:val="00BD5D09"/>
    <w:rsid w:val="00BD6A0C"/>
    <w:rsid w:val="00BD6AC3"/>
    <w:rsid w:val="00BE025B"/>
    <w:rsid w:val="00BE038B"/>
    <w:rsid w:val="00BE0564"/>
    <w:rsid w:val="00BE1622"/>
    <w:rsid w:val="00BE1DDF"/>
    <w:rsid w:val="00BE4B63"/>
    <w:rsid w:val="00BE5286"/>
    <w:rsid w:val="00BE5681"/>
    <w:rsid w:val="00BE5B08"/>
    <w:rsid w:val="00BE7099"/>
    <w:rsid w:val="00BE72B3"/>
    <w:rsid w:val="00BE741A"/>
    <w:rsid w:val="00BF0CD8"/>
    <w:rsid w:val="00BF11D8"/>
    <w:rsid w:val="00BF19D9"/>
    <w:rsid w:val="00BF214C"/>
    <w:rsid w:val="00BF2972"/>
    <w:rsid w:val="00BF36BB"/>
    <w:rsid w:val="00BF3863"/>
    <w:rsid w:val="00BF3F95"/>
    <w:rsid w:val="00BF47D7"/>
    <w:rsid w:val="00BF498F"/>
    <w:rsid w:val="00BF53C2"/>
    <w:rsid w:val="00BF5651"/>
    <w:rsid w:val="00BF5C8D"/>
    <w:rsid w:val="00BF6A44"/>
    <w:rsid w:val="00BF6DB0"/>
    <w:rsid w:val="00BF6E17"/>
    <w:rsid w:val="00BF7533"/>
    <w:rsid w:val="00BF7754"/>
    <w:rsid w:val="00BF7969"/>
    <w:rsid w:val="00BF7AFB"/>
    <w:rsid w:val="00C004EF"/>
    <w:rsid w:val="00C00601"/>
    <w:rsid w:val="00C008AD"/>
    <w:rsid w:val="00C0114A"/>
    <w:rsid w:val="00C01FF8"/>
    <w:rsid w:val="00C020C7"/>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8E1"/>
    <w:rsid w:val="00C85EA6"/>
    <w:rsid w:val="00C864F7"/>
    <w:rsid w:val="00C87DC0"/>
    <w:rsid w:val="00C90863"/>
    <w:rsid w:val="00C908B7"/>
    <w:rsid w:val="00C90A36"/>
    <w:rsid w:val="00C911CC"/>
    <w:rsid w:val="00C925F6"/>
    <w:rsid w:val="00C9293C"/>
    <w:rsid w:val="00C93854"/>
    <w:rsid w:val="00C93FA3"/>
    <w:rsid w:val="00C940DD"/>
    <w:rsid w:val="00C947C4"/>
    <w:rsid w:val="00C95E3B"/>
    <w:rsid w:val="00C97107"/>
    <w:rsid w:val="00C97460"/>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22AB"/>
    <w:rsid w:val="00CB32F0"/>
    <w:rsid w:val="00CB32F6"/>
    <w:rsid w:val="00CB33DF"/>
    <w:rsid w:val="00CB3498"/>
    <w:rsid w:val="00CB3727"/>
    <w:rsid w:val="00CB44E7"/>
    <w:rsid w:val="00CB4694"/>
    <w:rsid w:val="00CB46EC"/>
    <w:rsid w:val="00CB4819"/>
    <w:rsid w:val="00CB6D37"/>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5D70"/>
    <w:rsid w:val="00CF5F71"/>
    <w:rsid w:val="00CF6776"/>
    <w:rsid w:val="00CF737B"/>
    <w:rsid w:val="00CF7795"/>
    <w:rsid w:val="00CF7D29"/>
    <w:rsid w:val="00CF7D56"/>
    <w:rsid w:val="00D002E8"/>
    <w:rsid w:val="00D014C3"/>
    <w:rsid w:val="00D02DFD"/>
    <w:rsid w:val="00D0346B"/>
    <w:rsid w:val="00D03730"/>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17C"/>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3D9"/>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2AF"/>
    <w:rsid w:val="00D57BD2"/>
    <w:rsid w:val="00D57CB7"/>
    <w:rsid w:val="00D601C0"/>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FC4"/>
    <w:rsid w:val="00D64147"/>
    <w:rsid w:val="00D64DF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04B"/>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19DA"/>
    <w:rsid w:val="00DA2692"/>
    <w:rsid w:val="00DA2CC8"/>
    <w:rsid w:val="00DA3C0D"/>
    <w:rsid w:val="00DA3CBA"/>
    <w:rsid w:val="00DA4692"/>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35"/>
    <w:rsid w:val="00DB64F0"/>
    <w:rsid w:val="00DB68B1"/>
    <w:rsid w:val="00DB7CD7"/>
    <w:rsid w:val="00DC173D"/>
    <w:rsid w:val="00DC1848"/>
    <w:rsid w:val="00DC207D"/>
    <w:rsid w:val="00DC22F7"/>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D795E"/>
    <w:rsid w:val="00DE095D"/>
    <w:rsid w:val="00DE0C87"/>
    <w:rsid w:val="00DE1D90"/>
    <w:rsid w:val="00DE2A82"/>
    <w:rsid w:val="00DE2C89"/>
    <w:rsid w:val="00DE376D"/>
    <w:rsid w:val="00DE408C"/>
    <w:rsid w:val="00DE44ED"/>
    <w:rsid w:val="00DE5E4C"/>
    <w:rsid w:val="00DE61FE"/>
    <w:rsid w:val="00DE709B"/>
    <w:rsid w:val="00DE71ED"/>
    <w:rsid w:val="00DF0160"/>
    <w:rsid w:val="00DF04CC"/>
    <w:rsid w:val="00DF07AC"/>
    <w:rsid w:val="00DF0CAC"/>
    <w:rsid w:val="00DF0D3F"/>
    <w:rsid w:val="00DF180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2CD"/>
    <w:rsid w:val="00E02436"/>
    <w:rsid w:val="00E027A0"/>
    <w:rsid w:val="00E02A89"/>
    <w:rsid w:val="00E02E71"/>
    <w:rsid w:val="00E03C4C"/>
    <w:rsid w:val="00E03CC8"/>
    <w:rsid w:val="00E03FE5"/>
    <w:rsid w:val="00E0499C"/>
    <w:rsid w:val="00E04E74"/>
    <w:rsid w:val="00E04ECB"/>
    <w:rsid w:val="00E05486"/>
    <w:rsid w:val="00E05C49"/>
    <w:rsid w:val="00E0628C"/>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865"/>
    <w:rsid w:val="00E21997"/>
    <w:rsid w:val="00E21F7F"/>
    <w:rsid w:val="00E22FBD"/>
    <w:rsid w:val="00E236EC"/>
    <w:rsid w:val="00E24687"/>
    <w:rsid w:val="00E24AD0"/>
    <w:rsid w:val="00E24CDE"/>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1E8"/>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27B8"/>
    <w:rsid w:val="00E53C0A"/>
    <w:rsid w:val="00E53D7F"/>
    <w:rsid w:val="00E55949"/>
    <w:rsid w:val="00E56080"/>
    <w:rsid w:val="00E56424"/>
    <w:rsid w:val="00E56CF4"/>
    <w:rsid w:val="00E56F97"/>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CA9"/>
    <w:rsid w:val="00E67645"/>
    <w:rsid w:val="00E67F24"/>
    <w:rsid w:val="00E67F82"/>
    <w:rsid w:val="00E70F76"/>
    <w:rsid w:val="00E71BDD"/>
    <w:rsid w:val="00E71D15"/>
    <w:rsid w:val="00E72B50"/>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66E"/>
    <w:rsid w:val="00E92313"/>
    <w:rsid w:val="00E92750"/>
    <w:rsid w:val="00E9277C"/>
    <w:rsid w:val="00E93259"/>
    <w:rsid w:val="00E93766"/>
    <w:rsid w:val="00E943E3"/>
    <w:rsid w:val="00E94911"/>
    <w:rsid w:val="00E95C5E"/>
    <w:rsid w:val="00E96895"/>
    <w:rsid w:val="00E968F7"/>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CE"/>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E31"/>
    <w:rsid w:val="00F00153"/>
    <w:rsid w:val="00F00826"/>
    <w:rsid w:val="00F018F1"/>
    <w:rsid w:val="00F022A2"/>
    <w:rsid w:val="00F0294E"/>
    <w:rsid w:val="00F02C33"/>
    <w:rsid w:val="00F0306F"/>
    <w:rsid w:val="00F03785"/>
    <w:rsid w:val="00F03B5E"/>
    <w:rsid w:val="00F042D3"/>
    <w:rsid w:val="00F046AF"/>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D27"/>
    <w:rsid w:val="00F20E43"/>
    <w:rsid w:val="00F2187B"/>
    <w:rsid w:val="00F22CC0"/>
    <w:rsid w:val="00F24B2A"/>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76D"/>
    <w:rsid w:val="00F40F2E"/>
    <w:rsid w:val="00F41DCF"/>
    <w:rsid w:val="00F424BF"/>
    <w:rsid w:val="00F42748"/>
    <w:rsid w:val="00F430EC"/>
    <w:rsid w:val="00F43E17"/>
    <w:rsid w:val="00F4602A"/>
    <w:rsid w:val="00F46088"/>
    <w:rsid w:val="00F46890"/>
    <w:rsid w:val="00F46E1B"/>
    <w:rsid w:val="00F47840"/>
    <w:rsid w:val="00F47991"/>
    <w:rsid w:val="00F50DBD"/>
    <w:rsid w:val="00F51BAA"/>
    <w:rsid w:val="00F51C76"/>
    <w:rsid w:val="00F51DEA"/>
    <w:rsid w:val="00F530DF"/>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43DC"/>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372D"/>
    <w:rsid w:val="00FA4078"/>
    <w:rsid w:val="00FA4178"/>
    <w:rsid w:val="00FA47F9"/>
    <w:rsid w:val="00FA4F4B"/>
    <w:rsid w:val="00FA50FC"/>
    <w:rsid w:val="00FA5DEC"/>
    <w:rsid w:val="00FA687A"/>
    <w:rsid w:val="00FA6F6A"/>
    <w:rsid w:val="00FA70D1"/>
    <w:rsid w:val="00FA73BF"/>
    <w:rsid w:val="00FA796B"/>
    <w:rsid w:val="00FB05E1"/>
    <w:rsid w:val="00FB0D1F"/>
    <w:rsid w:val="00FB189B"/>
    <w:rsid w:val="00FB1D48"/>
    <w:rsid w:val="00FB1E76"/>
    <w:rsid w:val="00FB2275"/>
    <w:rsid w:val="00FB22E9"/>
    <w:rsid w:val="00FB294A"/>
    <w:rsid w:val="00FB2FE4"/>
    <w:rsid w:val="00FB4018"/>
    <w:rsid w:val="00FB47BC"/>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6D4"/>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979823B-98D9-4862-A345-56AAEAD9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603"/>
    <w:rPr>
      <w:sz w:val="24"/>
      <w:szCs w:val="24"/>
      <w:lang w:val="en-US" w:eastAsia="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147603"/>
    <w:rPr>
      <w:rFonts w:ascii="Arial" w:hAnsi="Arial" w:cs="Arial"/>
      <w:b/>
      <w:bCs/>
      <w:kern w:val="32"/>
      <w:sz w:val="32"/>
      <w:szCs w:val="32"/>
      <w:lang w:val="en-US" w:eastAsia="en-US" w:bidi="ar-SA"/>
    </w:rPr>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link w:val="AktiChar"/>
    <w:rsid w:val="00A003B4"/>
    <w:pPr>
      <w:keepNext/>
      <w:widowControl w:val="0"/>
      <w:jc w:val="center"/>
      <w:outlineLvl w:val="0"/>
    </w:pPr>
    <w:rPr>
      <w:rFonts w:ascii="CG Times" w:eastAsia="MS Mincho" w:hAnsi="CG Times"/>
      <w:b/>
      <w:caps/>
      <w:color w:val="000000"/>
      <w:sz w:val="22"/>
      <w:szCs w:val="22"/>
      <w:lang w:eastAsia="en-US"/>
    </w:rPr>
  </w:style>
  <w:style w:type="character" w:customStyle="1" w:styleId="AktiChar">
    <w:name w:val="Akti Char"/>
    <w:basedOn w:val="DefaultParagraphFont"/>
    <w:link w:val="Akti"/>
    <w:locked/>
    <w:rsid w:val="00147603"/>
    <w:rPr>
      <w:rFonts w:ascii="CG Times" w:eastAsia="MS Mincho" w:hAnsi="CG Times"/>
      <w:b/>
      <w:caps/>
      <w:color w:val="000000"/>
      <w:sz w:val="22"/>
      <w:szCs w:val="22"/>
      <w:lang w:val="en-GB" w:eastAsia="en-US" w:bidi="ar-SA"/>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eastAsia="en-US"/>
    </w:rPr>
  </w:style>
  <w:style w:type="character" w:customStyle="1" w:styleId="NumriDataChar">
    <w:name w:val="Numri_Data Char"/>
    <w:basedOn w:val="DefaultParagraphFont"/>
    <w:link w:val="NumriData"/>
    <w:locked/>
    <w:rsid w:val="00147603"/>
    <w:rPr>
      <w:rFonts w:ascii="CG Times" w:eastAsia="MS Mincho" w:hAnsi="CG Times"/>
      <w:b/>
      <w:sz w:val="22"/>
      <w:lang w:val="en-GB" w:eastAsia="en-US" w:bidi="ar-SA"/>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basedOn w:val="DefaultParagraphFont"/>
    <w:link w:val="BodyText"/>
    <w:semiHidden/>
    <w:rsid w:val="00147603"/>
    <w:rPr>
      <w:sz w:val="24"/>
      <w:szCs w:val="24"/>
      <w:lang w:val="en-US" w:eastAsia="en-US" w:bidi="ar-SA"/>
    </w:r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customStyle="1" w:styleId="BoxText">
    <w:name w:val="Box Text"/>
    <w:basedOn w:val="Normal"/>
    <w:rsid w:val="00147603"/>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147603"/>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147603"/>
    <w:rPr>
      <w:rFonts w:ascii="Trebuchet MS" w:eastAsia="MS Mincho" w:hAnsi="Trebuchet MS" w:cs="Trebuchet MS"/>
      <w:sz w:val="22"/>
      <w:szCs w:val="22"/>
      <w:lang w:val="en-GB" w:eastAsia="en-US"/>
    </w:rPr>
  </w:style>
  <w:style w:type="paragraph" w:customStyle="1" w:styleId="bulletmeshkronja">
    <w:name w:val="bullet me shkronja"/>
    <w:basedOn w:val="Normal"/>
    <w:rsid w:val="00147603"/>
    <w:pPr>
      <w:widowControl w:val="0"/>
      <w:spacing w:before="60" w:after="60"/>
      <w:jc w:val="both"/>
    </w:pPr>
    <w:rPr>
      <w:rFonts w:ascii="Trebuchet MS" w:eastAsia="MS Mincho" w:hAnsi="Trebuchet MS" w:cs="Trebuchet MS"/>
      <w:sz w:val="22"/>
      <w:szCs w:val="22"/>
      <w:lang w:val="sq-AL"/>
    </w:rPr>
  </w:style>
  <w:style w:type="paragraph" w:customStyle="1" w:styleId="Char1">
    <w:name w:val="Char1"/>
    <w:basedOn w:val="Normal"/>
    <w:rsid w:val="00147603"/>
    <w:pPr>
      <w:spacing w:after="160" w:line="240" w:lineRule="exact"/>
    </w:pPr>
    <w:rPr>
      <w:rFonts w:ascii="Tahoma" w:eastAsia="MS Mincho" w:hAnsi="Tahoma" w:cs="Tahoma"/>
      <w:sz w:val="20"/>
      <w:szCs w:val="20"/>
      <w:lang w:val="en-GB" w:eastAsia="en-GB"/>
    </w:rPr>
  </w:style>
  <w:style w:type="character" w:customStyle="1" w:styleId="CharChar">
    <w:name w:val="Char Char"/>
    <w:basedOn w:val="DefaultParagraphFont"/>
    <w:locked/>
    <w:rsid w:val="00147603"/>
    <w:rPr>
      <w:rFonts w:ascii="Trebuchet MS" w:eastAsia="MS Mincho" w:hAnsi="Trebuchet MS" w:cs="Trebuchet MS"/>
      <w:sz w:val="22"/>
      <w:szCs w:val="22"/>
      <w:lang w:val="en-GB" w:eastAsia="en-US"/>
    </w:rPr>
  </w:style>
  <w:style w:type="character" w:customStyle="1" w:styleId="footnoteChar">
    <w:name w:val="footnote Char"/>
    <w:basedOn w:val="DefaultParagraphFont"/>
    <w:rsid w:val="00147603"/>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147603"/>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147603"/>
    <w:rPr>
      <w:rFonts w:ascii="Trebuchet MS" w:eastAsia="MS Mincho" w:hAnsi="Trebuchet MS" w:cs="Trebuchet MS"/>
      <w:b/>
      <w:bCs/>
      <w:kern w:val="32"/>
      <w:sz w:val="36"/>
      <w:szCs w:val="36"/>
      <w:lang w:val="en-US" w:eastAsia="en-US"/>
    </w:rPr>
  </w:style>
  <w:style w:type="character" w:customStyle="1" w:styleId="Heading2Char">
    <w:name w:val="Heading 2 Char"/>
    <w:basedOn w:val="DefaultParagraphFont"/>
    <w:rsid w:val="00147603"/>
    <w:rPr>
      <w:rFonts w:ascii="Trebuchet MS" w:eastAsia="MS Mincho" w:hAnsi="Trebuchet MS" w:cs="Trebuchet MS"/>
      <w:b/>
      <w:bCs/>
      <w:sz w:val="28"/>
      <w:szCs w:val="28"/>
      <w:lang w:val="en-US" w:eastAsia="en-US"/>
    </w:rPr>
  </w:style>
  <w:style w:type="character" w:customStyle="1" w:styleId="Heading3Char">
    <w:name w:val="Heading 3 Char"/>
    <w:basedOn w:val="DefaultParagraphFont"/>
    <w:rsid w:val="00147603"/>
    <w:rPr>
      <w:rFonts w:ascii="Trebuchet MS" w:eastAsia="MS Mincho" w:hAnsi="Trebuchet MS" w:cs="Trebuchet MS"/>
      <w:b/>
      <w:bCs/>
      <w:sz w:val="24"/>
      <w:szCs w:val="24"/>
      <w:lang w:val="en-US" w:eastAsia="en-US"/>
    </w:rPr>
  </w:style>
  <w:style w:type="paragraph" w:customStyle="1" w:styleId="hyrje">
    <w:name w:val="hyrje"/>
    <w:basedOn w:val="Heading1"/>
    <w:rsid w:val="00147603"/>
    <w:pPr>
      <w:pageBreakBefore/>
      <w:spacing w:before="360" w:after="360"/>
      <w:jc w:val="both"/>
    </w:pPr>
    <w:rPr>
      <w:rFonts w:ascii="Trebuchet MS" w:eastAsia="MS Mincho" w:hAnsi="Trebuchet MS" w:cs="Trebuchet MS"/>
      <w:sz w:val="36"/>
      <w:szCs w:val="36"/>
      <w:lang w:val="en-GB"/>
    </w:rPr>
  </w:style>
  <w:style w:type="paragraph" w:customStyle="1" w:styleId="Level11">
    <w:name w:val="Level 1.1"/>
    <w:basedOn w:val="Normal"/>
    <w:rsid w:val="00147603"/>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147603"/>
    <w:pPr>
      <w:widowControl w:val="0"/>
      <w:spacing w:after="120"/>
    </w:pPr>
    <w:rPr>
      <w:rFonts w:ascii="Trebuchet MS" w:eastAsia="MS Mincho" w:hAnsi="Trebuchet MS" w:cs="Trebuchet MS"/>
      <w:sz w:val="22"/>
      <w:szCs w:val="22"/>
      <w:lang w:val="sq-AL" w:eastAsia="zh-CN"/>
    </w:rPr>
  </w:style>
  <w:style w:type="character" w:customStyle="1" w:styleId="ListBullet2Char">
    <w:name w:val="List Bullet 2 Char"/>
    <w:aliases w:val="List me numra Char"/>
    <w:basedOn w:val="DefaultParagraphFont"/>
    <w:rsid w:val="00147603"/>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147603"/>
    <w:rPr>
      <w:rFonts w:ascii="Trebuchet MS" w:eastAsia="MS Mincho" w:hAnsi="Trebuchet MS" w:cs="Trebuchet MS"/>
      <w:sz w:val="22"/>
      <w:szCs w:val="22"/>
      <w:lang w:val="en-US" w:eastAsia="en-US"/>
    </w:rPr>
  </w:style>
  <w:style w:type="paragraph" w:customStyle="1" w:styleId="listmenumra">
    <w:name w:val="list me numra"/>
    <w:basedOn w:val="ListBullet2"/>
    <w:rsid w:val="00147603"/>
    <w:pPr>
      <w:spacing w:before="60" w:after="60"/>
      <w:jc w:val="both"/>
    </w:pPr>
    <w:rPr>
      <w:rFonts w:ascii="Trebuchet MS" w:eastAsia="MS Mincho" w:hAnsi="Trebuchet MS" w:cs="Trebuchet MS"/>
      <w:sz w:val="22"/>
      <w:szCs w:val="22"/>
    </w:rPr>
  </w:style>
  <w:style w:type="paragraph" w:styleId="ListBullet2">
    <w:name w:val="List Bullet 2"/>
    <w:basedOn w:val="Normal"/>
    <w:rsid w:val="00147603"/>
    <w:pPr>
      <w:tabs>
        <w:tab w:val="num" w:pos="720"/>
      </w:tabs>
      <w:ind w:left="720" w:hanging="360"/>
    </w:pPr>
  </w:style>
  <w:style w:type="character" w:customStyle="1" w:styleId="listmenumraCharChar">
    <w:name w:val="list me numra Char Char"/>
    <w:basedOn w:val="ListBullet2Char"/>
    <w:rsid w:val="00147603"/>
    <w:rPr>
      <w:rFonts w:ascii="Trebuchet MS" w:eastAsia="MS Mincho" w:hAnsi="Trebuchet MS" w:cs="Trebuchet MS"/>
      <w:sz w:val="22"/>
      <w:szCs w:val="22"/>
      <w:lang w:val="en-US" w:eastAsia="en-US"/>
    </w:rPr>
  </w:style>
  <w:style w:type="paragraph" w:styleId="ListParagraph">
    <w:name w:val="List Paragraph"/>
    <w:basedOn w:val="Normal"/>
    <w:qFormat/>
    <w:rsid w:val="00147603"/>
    <w:pPr>
      <w:ind w:left="720"/>
    </w:pPr>
    <w:rPr>
      <w:sz w:val="20"/>
      <w:szCs w:val="20"/>
    </w:rPr>
  </w:style>
  <w:style w:type="paragraph" w:customStyle="1" w:styleId="para">
    <w:name w:val="para"/>
    <w:basedOn w:val="Normal"/>
    <w:rsid w:val="00147603"/>
    <w:pPr>
      <w:widowControl w:val="0"/>
      <w:spacing w:before="120" w:after="240"/>
      <w:jc w:val="both"/>
    </w:pPr>
    <w:rPr>
      <w:rFonts w:ascii="Trebuchet MS" w:eastAsia="MS Mincho" w:hAnsi="Trebuchet MS" w:cs="Trebuchet MS"/>
      <w:sz w:val="22"/>
      <w:szCs w:val="22"/>
      <w:lang w:val="sq-AL"/>
    </w:rPr>
  </w:style>
  <w:style w:type="character" w:customStyle="1" w:styleId="paraChar">
    <w:name w:val="para Char"/>
    <w:basedOn w:val="DefaultParagraphFont"/>
    <w:rsid w:val="00147603"/>
    <w:rPr>
      <w:rFonts w:ascii="Arial" w:eastAsia="MS Mincho" w:hAnsi="Arial" w:cs="Arial"/>
      <w:sz w:val="24"/>
      <w:szCs w:val="24"/>
      <w:lang w:val="en-US" w:eastAsia="en-US"/>
    </w:rPr>
  </w:style>
  <w:style w:type="paragraph" w:customStyle="1" w:styleId="para-indent">
    <w:name w:val="para-indent"/>
    <w:basedOn w:val="para"/>
    <w:rsid w:val="00147603"/>
    <w:pPr>
      <w:ind w:left="720"/>
    </w:pPr>
  </w:style>
  <w:style w:type="paragraph" w:customStyle="1" w:styleId="Pas">
    <w:name w:val="Pas"/>
    <w:basedOn w:val="Normal"/>
    <w:rsid w:val="00147603"/>
    <w:pPr>
      <w:widowControl w:val="0"/>
    </w:pPr>
    <w:rPr>
      <w:rFonts w:ascii="CG Times" w:eastAsia="MS Mincho" w:hAnsi="CG Times" w:cs="CG Times"/>
      <w:sz w:val="22"/>
      <w:szCs w:val="22"/>
      <w:lang w:val="sq-AL"/>
    </w:rPr>
  </w:style>
  <w:style w:type="paragraph" w:customStyle="1" w:styleId="Section">
    <w:name w:val="Section"/>
    <w:rsid w:val="00147603"/>
    <w:rPr>
      <w:rFonts w:ascii="Arial" w:hAnsi="Arial" w:cs="Arial"/>
      <w:kern w:val="32"/>
      <w:sz w:val="48"/>
      <w:szCs w:val="48"/>
      <w:lang w:val="en-US" w:eastAsia="en-US"/>
    </w:rPr>
  </w:style>
  <w:style w:type="paragraph" w:customStyle="1" w:styleId="SectionNUM">
    <w:name w:val="Section NUM"/>
    <w:next w:val="Heading1"/>
    <w:rsid w:val="00147603"/>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tyle">
    <w:name w:val="Style"/>
    <w:rsid w:val="00147603"/>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147603"/>
    <w:pPr>
      <w:keepNext/>
      <w:widowControl w:val="0"/>
      <w:spacing w:before="240" w:after="60"/>
      <w:jc w:val="both"/>
    </w:pPr>
    <w:rPr>
      <w:rFonts w:ascii="Trebuchet MS" w:eastAsia="MS Mincho" w:hAnsi="Trebuchet MS" w:cs="Trebuchet MS"/>
      <w:sz w:val="18"/>
      <w:szCs w:val="18"/>
      <w:lang w:val="sq-AL"/>
    </w:rPr>
  </w:style>
  <w:style w:type="character" w:customStyle="1" w:styleId="StyleCaptionChar">
    <w:name w:val="Style Caption Char"/>
    <w:basedOn w:val="DefaultParagraphFont"/>
    <w:rsid w:val="00147603"/>
    <w:rPr>
      <w:rFonts w:ascii="Trebuchet MS" w:eastAsia="MS Mincho" w:hAnsi="Trebuchet MS" w:cs="Trebuchet MS"/>
      <w:sz w:val="18"/>
      <w:szCs w:val="18"/>
      <w:lang w:val="en-US" w:eastAsia="en-US"/>
    </w:rPr>
  </w:style>
  <w:style w:type="paragraph" w:customStyle="1" w:styleId="sub-list">
    <w:name w:val="sub-list"/>
    <w:rsid w:val="00147603"/>
    <w:pPr>
      <w:spacing w:before="60" w:after="120"/>
    </w:pPr>
    <w:rPr>
      <w:rFonts w:ascii="Arial" w:hAnsi="Arial" w:cs="Arial"/>
      <w:sz w:val="22"/>
      <w:szCs w:val="22"/>
      <w:lang w:val="en-US" w:eastAsia="en-US"/>
    </w:rPr>
  </w:style>
  <w:style w:type="paragraph" w:customStyle="1" w:styleId="tabela">
    <w:name w:val="tabela"/>
    <w:basedOn w:val="Normal"/>
    <w:rsid w:val="00147603"/>
    <w:pPr>
      <w:keepNext/>
      <w:keepLines/>
      <w:widowControl w:val="0"/>
      <w:spacing w:before="60" w:after="60"/>
      <w:jc w:val="both"/>
    </w:pPr>
    <w:rPr>
      <w:rFonts w:ascii="Trebuchet MS" w:eastAsia="MS Mincho" w:hAnsi="Trebuchet MS" w:cs="Trebuchet MS"/>
      <w:sz w:val="16"/>
      <w:szCs w:val="16"/>
      <w:lang w:val="en-GB"/>
    </w:rPr>
  </w:style>
  <w:style w:type="paragraph" w:customStyle="1" w:styleId="Table">
    <w:name w:val="Table"/>
    <w:basedOn w:val="Normal"/>
    <w:next w:val="BodyText"/>
    <w:autoRedefine/>
    <w:rsid w:val="00147603"/>
    <w:pPr>
      <w:keepNext/>
      <w:widowControl w:val="0"/>
      <w:tabs>
        <w:tab w:val="num" w:pos="1008"/>
      </w:tabs>
      <w:spacing w:before="360" w:after="240"/>
      <w:ind w:left="1008" w:hanging="1008"/>
      <w:jc w:val="both"/>
    </w:pPr>
    <w:rPr>
      <w:rFonts w:ascii="Trebuchet MS" w:eastAsia="MS Mincho" w:hAnsi="Trebuchet MS" w:cs="Trebuchet MS"/>
      <w:b/>
      <w:bCs/>
      <w:sz w:val="22"/>
      <w:szCs w:val="22"/>
      <w:lang w:val="sq-AL" w:eastAsia="en-GB"/>
    </w:rPr>
  </w:style>
  <w:style w:type="paragraph" w:customStyle="1" w:styleId="TableFootnote">
    <w:name w:val="Table Footnote"/>
    <w:basedOn w:val="Normal"/>
    <w:rsid w:val="00147603"/>
    <w:pPr>
      <w:widowControl w:val="0"/>
      <w:spacing w:before="80" w:after="240"/>
    </w:pPr>
    <w:rPr>
      <w:rFonts w:ascii="Trebuchet MS" w:eastAsia="MS Mincho" w:hAnsi="Trebuchet MS" w:cs="Trebuchet MS"/>
      <w:sz w:val="18"/>
      <w:szCs w:val="18"/>
      <w:lang w:val="en-GB" w:eastAsia="en-GB"/>
    </w:rPr>
  </w:style>
  <w:style w:type="paragraph" w:customStyle="1" w:styleId="TableText">
    <w:name w:val="Table Text"/>
    <w:basedOn w:val="BodyText"/>
    <w:rsid w:val="00147603"/>
    <w:pPr>
      <w:spacing w:before="40" w:after="40"/>
      <w:jc w:val="both"/>
    </w:pPr>
    <w:rPr>
      <w:rFonts w:ascii="Trebuchet MS" w:eastAsia="MS Mincho" w:hAnsi="Trebuchet MS" w:cs="Trebuchet MS"/>
      <w:sz w:val="18"/>
      <w:szCs w:val="18"/>
      <w:lang w:val="it-IT"/>
    </w:rPr>
  </w:style>
  <w:style w:type="paragraph" w:customStyle="1" w:styleId="xl22">
    <w:name w:val="xl22"/>
    <w:basedOn w:val="Normal"/>
    <w:rsid w:val="00147603"/>
    <w:pPr>
      <w:spacing w:before="100" w:beforeAutospacing="1" w:after="100" w:afterAutospacing="1"/>
    </w:pPr>
    <w:rPr>
      <w:rFonts w:ascii="Book Antiqua" w:eastAsia="MS Mincho" w:hAnsi="Book Antiqua" w:cs="Book Antiqua"/>
      <w:b/>
      <w:bCs/>
      <w:sz w:val="20"/>
      <w:szCs w:val="20"/>
    </w:rPr>
  </w:style>
  <w:style w:type="paragraph" w:customStyle="1" w:styleId="xl23">
    <w:name w:val="xl23"/>
    <w:basedOn w:val="Normal"/>
    <w:rsid w:val="00147603"/>
    <w:pPr>
      <w:spacing w:before="100" w:beforeAutospacing="1" w:after="100" w:afterAutospacing="1"/>
    </w:pPr>
    <w:rPr>
      <w:rFonts w:ascii="Book Antiqua" w:eastAsia="MS Mincho" w:hAnsi="Book Antiqua" w:cs="Book Antiqua"/>
      <w:sz w:val="20"/>
      <w:szCs w:val="20"/>
    </w:rPr>
  </w:style>
  <w:style w:type="paragraph" w:styleId="Footer">
    <w:name w:val="footer"/>
    <w:basedOn w:val="Normal"/>
    <w:link w:val="FooterChar"/>
    <w:rsid w:val="00147603"/>
    <w:pPr>
      <w:tabs>
        <w:tab w:val="center" w:pos="4320"/>
        <w:tab w:val="right" w:pos="8640"/>
      </w:tabs>
    </w:pPr>
  </w:style>
  <w:style w:type="character" w:customStyle="1" w:styleId="FooterChar">
    <w:name w:val="Footer Char"/>
    <w:basedOn w:val="DefaultParagraphFont"/>
    <w:link w:val="Footer"/>
    <w:semiHidden/>
    <w:rsid w:val="00147603"/>
    <w:rPr>
      <w:sz w:val="24"/>
      <w:szCs w:val="24"/>
      <w:lang w:val="en-US" w:eastAsia="en-US" w:bidi="ar-SA"/>
    </w:rPr>
  </w:style>
  <w:style w:type="character" w:styleId="PageNumber">
    <w:name w:val="page number"/>
    <w:basedOn w:val="DefaultParagraphFont"/>
    <w:rsid w:val="00147603"/>
  </w:style>
  <w:style w:type="paragraph" w:customStyle="1" w:styleId="CharCharCharChar0">
    <w:name w:val="Char Char Char Char"/>
    <w:basedOn w:val="Normal"/>
    <w:rsid w:val="00147603"/>
    <w:pPr>
      <w:spacing w:after="160" w:line="240" w:lineRule="exact"/>
    </w:pPr>
    <w:rPr>
      <w:rFonts w:ascii="Tahoma" w:eastAsia="MS Mincho" w:hAnsi="Tahoma" w:cs="Tahoma"/>
      <w:sz w:val="20"/>
      <w:szCs w:val="20"/>
      <w:lang w:eastAsia="tr-TR"/>
    </w:rPr>
  </w:style>
  <w:style w:type="paragraph" w:customStyle="1" w:styleId="CharCharCharCharCharChar0">
    <w:name w:val="Char Char Char Char Char Char"/>
    <w:basedOn w:val="Normal"/>
    <w:rsid w:val="00147603"/>
    <w:pPr>
      <w:widowControl w:val="0"/>
      <w:adjustRightInd w:val="0"/>
      <w:spacing w:line="360" w:lineRule="atLeast"/>
      <w:jc w:val="both"/>
      <w:textAlignment w:val="baseline"/>
    </w:pPr>
    <w:rPr>
      <w:rFonts w:eastAsia="MS Mincho"/>
      <w:sz w:val="20"/>
      <w:szCs w:val="20"/>
      <w:lang w:val="pl-PL" w:eastAsia="pl-PL"/>
    </w:rPr>
  </w:style>
  <w:style w:type="paragraph" w:customStyle="1" w:styleId="CharCharCharCharCharCharCharChar1CharCharCharChar0">
    <w:name w:val="Char Char Char Char Char Char Char Char1 Char Char Char Char"/>
    <w:basedOn w:val="Normal"/>
    <w:rsid w:val="00147603"/>
    <w:pPr>
      <w:spacing w:after="160" w:line="240" w:lineRule="exact"/>
    </w:pPr>
    <w:rPr>
      <w:rFonts w:ascii="Tahoma" w:eastAsia="MS Mincho" w:hAnsi="Tahoma" w:cs="Tahoma"/>
      <w:sz w:val="20"/>
      <w:szCs w:val="20"/>
    </w:rPr>
  </w:style>
  <w:style w:type="character" w:styleId="Strong">
    <w:name w:val="Strong"/>
    <w:basedOn w:val="DefaultParagraphFont"/>
    <w:qFormat/>
    <w:rsid w:val="00147603"/>
    <w:rPr>
      <w:b/>
      <w:bCs/>
    </w:rPr>
  </w:style>
  <w:style w:type="paragraph" w:customStyle="1" w:styleId="a">
    <w:name w:val="."/>
    <w:basedOn w:val="Normal"/>
    <w:rsid w:val="00147603"/>
    <w:pPr>
      <w:spacing w:after="200"/>
      <w:jc w:val="center"/>
    </w:pPr>
    <w:rPr>
      <w:rFonts w:ascii="Arial" w:hAnsi="Arial" w:cs="Arial"/>
      <w:color w:val="595959"/>
      <w:sz w:val="20"/>
      <w:szCs w:val="20"/>
    </w:rPr>
  </w:style>
  <w:style w:type="paragraph" w:styleId="Header">
    <w:name w:val="header"/>
    <w:basedOn w:val="Normal"/>
    <w:rsid w:val="00147603"/>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3423</Words>
  <Characters>19517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2019-03-17T16:49:00Z</dcterms:created>
  <dcterms:modified xsi:type="dcterms:W3CDTF">2019-03-17T16:49:00Z</dcterms:modified>
</cp:coreProperties>
</file>