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27F" w:rsidRPr="00B51CF4" w:rsidRDefault="00F3427F" w:rsidP="00F3427F">
      <w:pPr>
        <w:pStyle w:val="Akti"/>
      </w:pPr>
      <w:bookmarkStart w:id="0" w:name="_GoBack"/>
      <w:bookmarkEnd w:id="0"/>
      <w:r w:rsidRPr="00B51CF4">
        <w:t xml:space="preserve">Vendim </w:t>
      </w:r>
    </w:p>
    <w:p w:rsidR="00F3427F" w:rsidRPr="00B51CF4" w:rsidRDefault="00F3427F" w:rsidP="00F3427F">
      <w:pPr>
        <w:pStyle w:val="NumriData"/>
      </w:pPr>
      <w:r w:rsidRPr="00B51CF4">
        <w:t>Nr.14, datë 9.3.2011</w:t>
      </w:r>
    </w:p>
    <w:p w:rsidR="00F3427F" w:rsidRPr="00B51CF4" w:rsidRDefault="00F3427F" w:rsidP="00F3427F">
      <w:pPr>
        <w:pStyle w:val="Paragrafi"/>
        <w:rPr>
          <w:rFonts w:cs="Times New Roman"/>
        </w:rPr>
      </w:pPr>
    </w:p>
    <w:p w:rsidR="00F3427F" w:rsidRPr="00B51CF4" w:rsidRDefault="00F3427F" w:rsidP="00F3427F">
      <w:pPr>
        <w:pStyle w:val="Titulli"/>
      </w:pPr>
      <w:r w:rsidRPr="00B51CF4">
        <w:t>Për disa shtesa dhe ndryshime në rregulloren “Mbi transparencën për produktet dhe shërbimet bankare e financiare”</w:t>
      </w:r>
    </w:p>
    <w:p w:rsidR="00F3427F" w:rsidRPr="00B51CF4" w:rsidRDefault="00F3427F" w:rsidP="00F3427F">
      <w:pPr>
        <w:pStyle w:val="Paragrafi"/>
        <w:rPr>
          <w:rFonts w:cs="Times New Roman"/>
        </w:rPr>
      </w:pPr>
    </w:p>
    <w:p w:rsidR="00F3427F" w:rsidRPr="00B51CF4" w:rsidRDefault="00F3427F" w:rsidP="00F3427F">
      <w:pPr>
        <w:pStyle w:val="BazLigjPropozues"/>
      </w:pPr>
      <w:r w:rsidRPr="00B51CF4">
        <w:t>Në bazë dhe për zbatim të nenit 12, shkronja “a” të ligjit nr.8269, datë 23.12.1997 “Për Bankën e Shqipërisë”</w:t>
      </w:r>
      <w:r>
        <w:t>, të</w:t>
      </w:r>
      <w:r w:rsidRPr="00B51CF4">
        <w:t xml:space="preserve"> ndryshuar, dhe të nenit 53 pika 4, të shkronjës “e”, të pikës 1 të nenit 55, të nenit 56 pika</w:t>
      </w:r>
      <w:r>
        <w:t xml:space="preserve"> 2</w:t>
      </w:r>
      <w:r w:rsidRPr="00B51CF4">
        <w:t>, nen</w:t>
      </w:r>
      <w:r>
        <w:t>e</w:t>
      </w:r>
      <w:r w:rsidRPr="00B51CF4">
        <w:t>ve 69, 124, dhe 125 të ligjit nr.9662, datë 18.12.2006 “Për bankat në Republikën e Shqipërisë” Këshilli Mbik</w:t>
      </w:r>
      <w:r>
        <w:t>ë</w:t>
      </w:r>
      <w:r w:rsidRPr="00B51CF4">
        <w:t>qyrës i Bankës së Shqipërisë, me propozimin e Departamentit të Mbikëqyrjes,</w:t>
      </w:r>
    </w:p>
    <w:p w:rsidR="00F3427F" w:rsidRPr="00B51CF4" w:rsidRDefault="00F3427F" w:rsidP="00F3427F">
      <w:pPr>
        <w:pStyle w:val="Paragrafi"/>
        <w:rPr>
          <w:rFonts w:cs="Times New Roman"/>
        </w:rPr>
      </w:pPr>
    </w:p>
    <w:p w:rsidR="00F3427F" w:rsidRPr="00B51CF4" w:rsidRDefault="00F3427F" w:rsidP="00F3427F">
      <w:pPr>
        <w:pStyle w:val="VENDOSI"/>
      </w:pPr>
      <w:r w:rsidRPr="00B51CF4">
        <w:t>Vendosi:</w:t>
      </w:r>
    </w:p>
    <w:p w:rsidR="00F3427F" w:rsidRPr="00B51CF4" w:rsidRDefault="00F3427F" w:rsidP="00F3427F">
      <w:pPr>
        <w:pStyle w:val="Paragrafi"/>
        <w:rPr>
          <w:rFonts w:cs="Times New Roman"/>
        </w:rPr>
      </w:pPr>
    </w:p>
    <w:p w:rsidR="00F3427F" w:rsidRPr="00B51CF4" w:rsidRDefault="00F3427F" w:rsidP="00F3427F">
      <w:pPr>
        <w:pStyle w:val="Paragrafi"/>
      </w:pPr>
      <w:r w:rsidRPr="00B51CF4">
        <w:t>1. Në rregulloren “Mbi tra</w:t>
      </w:r>
      <w:r>
        <w:t>n</w:t>
      </w:r>
      <w:r w:rsidRPr="00B51CF4">
        <w:t xml:space="preserve">sparencën </w:t>
      </w:r>
      <w:r>
        <w:t>për produk</w:t>
      </w:r>
      <w:r w:rsidRPr="00B51CF4">
        <w:t>tet dhe shërbimet bankare e financiare” miratuar me vendimin nr.59, datë 29.8.2008 të Këshillit Mbikëqyrës të Bankës së Shqipërisë, të bëhen ndryshime e mëposhtme:</w:t>
      </w:r>
    </w:p>
    <w:p w:rsidR="00F3427F" w:rsidRPr="00B51CF4" w:rsidRDefault="00F3427F" w:rsidP="00F3427F">
      <w:pPr>
        <w:pStyle w:val="Paragrafi"/>
      </w:pPr>
      <w:r w:rsidRPr="00B51CF4">
        <w:t>a) Në nenin 4, shtohen respektivisht shkronja “c” dhe “d” me përmbajtjen e mëposhtme:</w:t>
      </w:r>
    </w:p>
    <w:p w:rsidR="00F3427F" w:rsidRPr="00B51CF4" w:rsidRDefault="00F3427F" w:rsidP="00F3427F">
      <w:pPr>
        <w:pStyle w:val="Paragrafi"/>
      </w:pPr>
      <w:r w:rsidRPr="00B51CF4">
        <w:t>“c)… “normë fikse e interesit për kreditë”</w:t>
      </w:r>
      <w:r>
        <w:t xml:space="preserve"> </w:t>
      </w:r>
      <w:r w:rsidRPr="00B51CF4">
        <w:t>është norma e interesit, për të cilën banka dhe kredimarrësi bie</w:t>
      </w:r>
      <w:r>
        <w:t>n</w:t>
      </w:r>
      <w:r w:rsidRPr="00B51CF4">
        <w:t xml:space="preserve"> dakord në marrëveshjen e kredisë, që të jetë një përqindje fikse e pandryshuar për gjithë kohëzgjatjen e marrëveshjes së kredisë ose disa përqindje fikse të pandryshuara për periudha të</w:t>
      </w:r>
      <w:r>
        <w:t xml:space="preserve"> pje</w:t>
      </w:r>
      <w:r w:rsidRPr="00B51CF4">
        <w:t>sshme.</w:t>
      </w:r>
    </w:p>
    <w:p w:rsidR="00F3427F" w:rsidRPr="00B51CF4" w:rsidRDefault="00F3427F" w:rsidP="00F3427F">
      <w:pPr>
        <w:pStyle w:val="Paragrafi"/>
        <w:rPr>
          <w:rFonts w:cs="Times New Roman"/>
        </w:rPr>
      </w:pPr>
      <w:r>
        <w:t>d… “</w:t>
      </w:r>
      <w:r w:rsidRPr="00B51CF4">
        <w:t>normë e ndryshueshme e interesit pë</w:t>
      </w:r>
      <w:r>
        <w:t>r k</w:t>
      </w:r>
      <w:r w:rsidRPr="00B51CF4">
        <w:t>reditë</w:t>
      </w:r>
      <w:r>
        <w:t>”</w:t>
      </w:r>
      <w:r w:rsidRPr="00B51CF4">
        <w:t xml:space="preserve"> është</w:t>
      </w:r>
      <w:r>
        <w:t xml:space="preserve"> norma e interesit</w:t>
      </w:r>
      <w:r w:rsidRPr="00B51CF4">
        <w:t>, për të cilën banka dhe kredimarrësi bie</w:t>
      </w:r>
      <w:r>
        <w:t>n</w:t>
      </w:r>
      <w:r w:rsidRPr="00B51CF4">
        <w:t xml:space="preserve"> dakord në momentin e nënshkrimit/lidhjes së marrëveshjes/kontratës së kredisë, e cila llogaritet mbi baz</w:t>
      </w:r>
      <w:r>
        <w:t>ë</w:t>
      </w:r>
      <w:r w:rsidRPr="00B51CF4">
        <w:t>n e një indeksi orientues dhe një marzhi fiks.</w:t>
      </w:r>
      <w:r>
        <w:t>”</w:t>
      </w:r>
    </w:p>
    <w:p w:rsidR="00F3427F" w:rsidRPr="00B51CF4" w:rsidRDefault="00F3427F" w:rsidP="00F3427F">
      <w:pPr>
        <w:pStyle w:val="Paragrafi"/>
      </w:pPr>
      <w:r w:rsidRPr="00B51CF4">
        <w:t>b) Në nenin 5, paragrafi 1 ndryshohet si më poshtë:</w:t>
      </w:r>
    </w:p>
    <w:p w:rsidR="00F3427F" w:rsidRPr="00B51CF4" w:rsidRDefault="00F3427F" w:rsidP="00F3427F">
      <w:pPr>
        <w:pStyle w:val="Paragrafi"/>
      </w:pPr>
      <w:r w:rsidRPr="00B51CF4">
        <w:t>“1. Banka</w:t>
      </w:r>
      <w:r>
        <w:t>t</w:t>
      </w:r>
      <w:r w:rsidRPr="00B51CF4">
        <w:t xml:space="preserve"> publikojnë dukshëm dhe qartësisht në faqet e tyre të internetit dhe në ambientet e tyre të punës informacionin mbi normat e intere</w:t>
      </w:r>
      <w:r>
        <w:t>sit të kredive dhe depozitave, s</w:t>
      </w:r>
      <w:r w:rsidRPr="00B51CF4">
        <w:t>i dhe komis</w:t>
      </w:r>
      <w:r>
        <w:t>i</w:t>
      </w:r>
      <w:r w:rsidRPr="00B51CF4">
        <w:t>onet për produktet dhe shërbimet që ato ofrojnë për klientët.”.</w:t>
      </w:r>
    </w:p>
    <w:p w:rsidR="00F3427F" w:rsidRPr="00B51CF4" w:rsidRDefault="00F3427F" w:rsidP="00F3427F">
      <w:pPr>
        <w:pStyle w:val="Paragrafi"/>
      </w:pPr>
      <w:r w:rsidRPr="00B51CF4">
        <w:t>c) Në nenin 5, shtohen paragrafët 8, 9, 10 dhe 11 me përmbajtjen e mëposhtme:</w:t>
      </w:r>
    </w:p>
    <w:p w:rsidR="00F3427F" w:rsidRPr="00B51CF4" w:rsidRDefault="00F3427F" w:rsidP="00F3427F">
      <w:pPr>
        <w:pStyle w:val="Paragrafi"/>
      </w:pPr>
      <w:r w:rsidRPr="00B51CF4">
        <w:t>“8. Bankat hartojnë dhe miratojnë sipas mënyrave të parashiku</w:t>
      </w:r>
      <w:r>
        <w:t>a</w:t>
      </w:r>
      <w:r w:rsidRPr="00B51CF4">
        <w:t>ra në rregulloret e tyre të brendshme metodën/politikën e llogaritjes:</w:t>
      </w:r>
    </w:p>
    <w:p w:rsidR="00F3427F" w:rsidRPr="00B51CF4" w:rsidRDefault="00F3427F" w:rsidP="00F3427F">
      <w:pPr>
        <w:pStyle w:val="Paragrafi"/>
      </w:pPr>
      <w:r w:rsidRPr="00B51CF4">
        <w:t>a) të normave të interesave për kreditë dhe depozitat;</w:t>
      </w:r>
    </w:p>
    <w:p w:rsidR="00F3427F" w:rsidRPr="00B51CF4" w:rsidRDefault="00F3427F" w:rsidP="00F3427F">
      <w:pPr>
        <w:pStyle w:val="Paragrafi"/>
      </w:pPr>
      <w:r w:rsidRPr="00B51CF4">
        <w:t>b) të komisioneve pë</w:t>
      </w:r>
      <w:r>
        <w:t>r produktet</w:t>
      </w:r>
      <w:r w:rsidRPr="00B51CF4">
        <w:t xml:space="preserve"> dhe shërbimet bankare dhe financiare.</w:t>
      </w:r>
    </w:p>
    <w:p w:rsidR="00F3427F" w:rsidRDefault="00F3427F" w:rsidP="00F3427F">
      <w:pPr>
        <w:pStyle w:val="Paragrafi"/>
        <w:rPr>
          <w:rFonts w:cs="Times New Roman"/>
        </w:rPr>
      </w:pPr>
    </w:p>
    <w:p w:rsidR="00F3427F" w:rsidRPr="00B51CF4" w:rsidRDefault="00F3427F" w:rsidP="00F3427F">
      <w:pPr>
        <w:pStyle w:val="Paragrafi"/>
      </w:pPr>
      <w:r w:rsidRPr="00B51CF4">
        <w:t>9. Bankat nuk ndryshojnë, pa pëlqimin e klientit, gjatë kohëzgjatjes së kontratës/marrëveshjes së kredisë metodën/metodologjinë e llogaritjes së normës së interesit dhe/ose element</w:t>
      </w:r>
      <w:r>
        <w:t>e</w:t>
      </w:r>
      <w:r w:rsidRPr="00B51CF4">
        <w:t>t përbërës</w:t>
      </w:r>
      <w:r>
        <w:t>e</w:t>
      </w:r>
      <w:r w:rsidRPr="00B51CF4">
        <w:t xml:space="preserve"> të saj, për të cilën/at është rënë dakord me klientët në momentin e lidhjes të marrëveshjes/kontratës së kredisë.</w:t>
      </w:r>
    </w:p>
    <w:p w:rsidR="00F3427F" w:rsidRPr="00B51CF4" w:rsidRDefault="00F3427F" w:rsidP="00F3427F">
      <w:pPr>
        <w:pStyle w:val="Paragrafi"/>
      </w:pPr>
      <w:r w:rsidRPr="00B51CF4">
        <w:t>10. Banka paraqet pranë Bankës së Shqipërisë raportet në baza tremujore mbi normat e interesave  për kreditë dhe depozitat dhe komisionet pë</w:t>
      </w:r>
      <w:r>
        <w:t>r produk</w:t>
      </w:r>
      <w:r w:rsidRPr="00B51CF4">
        <w:t>tet dhe shërbimet bankare dhe financiare që ajo i ofron klientëve. Këto raporte paraqiten brenda 15 (pesëmbëdhjetë) ditëve pas përfundimit të periudhës tremujore, sipas formës së raportimit të miratuara nga Banka e Shqipërisë.</w:t>
      </w:r>
    </w:p>
    <w:p w:rsidR="00F3427F" w:rsidRPr="00B51CF4" w:rsidRDefault="00F3427F" w:rsidP="00F3427F">
      <w:pPr>
        <w:pStyle w:val="Paragrafi"/>
      </w:pPr>
      <w:r w:rsidRPr="00B51CF4">
        <w:t>11. Banka e Shqipërisë publikon në mënyrë të përmbledhur dhe krahasimore normat e interesave për kreditë dhe depozitat dhe komisionet pë</w:t>
      </w:r>
      <w:r>
        <w:t>r produk</w:t>
      </w:r>
      <w:r w:rsidRPr="00B51CF4">
        <w:t>tet dhe shërbimet bankare dhe financiare të</w:t>
      </w:r>
      <w:r>
        <w:t xml:space="preserve"> raport</w:t>
      </w:r>
      <w:r w:rsidRPr="00B51CF4">
        <w:t>uara për të gjitha subjektet.”.</w:t>
      </w:r>
    </w:p>
    <w:p w:rsidR="00F3427F" w:rsidRPr="00B51CF4" w:rsidRDefault="00F3427F" w:rsidP="00F3427F">
      <w:pPr>
        <w:pStyle w:val="Paragrafi"/>
      </w:pPr>
      <w:r w:rsidRPr="00B51CF4">
        <w:t>d) Në nenin 6, paragrafi 10 ndryshon si më poshtë:</w:t>
      </w:r>
    </w:p>
    <w:p w:rsidR="00F3427F" w:rsidRPr="00B51CF4" w:rsidRDefault="00F3427F" w:rsidP="00F3427F">
      <w:pPr>
        <w:pStyle w:val="Paragrafi"/>
      </w:pPr>
      <w:r w:rsidRPr="00B51CF4">
        <w:t>“10 Banka e Shqipërisë publikon të dhëna mbi normat efektive të interesit</w:t>
      </w:r>
      <w:r>
        <w:t>,</w:t>
      </w:r>
      <w:r w:rsidRPr="00B51CF4">
        <w:t xml:space="preserve"> të raportuara nga subjektet e kësaj rregulloreje, duke ruajtur sekretin e informacionit për klientin/ët.</w:t>
      </w:r>
    </w:p>
    <w:p w:rsidR="00F3427F" w:rsidRPr="00B51CF4" w:rsidRDefault="00F3427F" w:rsidP="00F3427F">
      <w:pPr>
        <w:pStyle w:val="Paragrafi"/>
      </w:pPr>
      <w:r w:rsidRPr="00B51CF4">
        <w:t>e) Në nenin 7, paragrafi 1, shkronja “c” ndryshohen si më poshtë:</w:t>
      </w:r>
    </w:p>
    <w:p w:rsidR="00F3427F" w:rsidRPr="00B51CF4" w:rsidRDefault="00F3427F" w:rsidP="00F3427F">
      <w:pPr>
        <w:pStyle w:val="Paragrafi"/>
      </w:pPr>
      <w:r w:rsidRPr="00B51CF4">
        <w:t xml:space="preserve">“c) kushtet e kredisë që lidhen me vlerën, njësinë monetare, datën e dhënies, datën e maturimit, normën nominale vjetore të interesit dhe llojin e saj (e ndryshueshme ose e pandryshueshme), indeksin orientues (norma e marrëveshjes së riblerjes e Bankës së Shqipërisë, norma e bonove të thesarit, libor, euribor, tribor) marzhi, normën efektive të interesit, frekuencën e ndryshimit të normës së interesit apo pjesëve përbërëse të saj. Vlerën periodike të shlyerjes së kredisë </w:t>
      </w:r>
      <w:r w:rsidRPr="00B51CF4">
        <w:lastRenderedPageBreak/>
        <w:t>(kësti) dhe datat ose periudhën e shlyerjes”.</w:t>
      </w:r>
    </w:p>
    <w:p w:rsidR="00F3427F" w:rsidRPr="00B51CF4" w:rsidRDefault="00F3427F" w:rsidP="00F3427F">
      <w:pPr>
        <w:pStyle w:val="Paragrafi"/>
      </w:pPr>
      <w:r w:rsidRPr="00B51CF4">
        <w:t>f) Në nenin 8, pika 1 paragrafi i parë ndryshon si më poshtë:</w:t>
      </w:r>
    </w:p>
    <w:p w:rsidR="00F3427F" w:rsidRPr="00B51CF4" w:rsidRDefault="00F3427F" w:rsidP="00F3427F">
      <w:pPr>
        <w:pStyle w:val="Paragrafi"/>
      </w:pPr>
      <w:r w:rsidRPr="00B51CF4">
        <w:t>“1. Banka, në rast të aplikimit të një norme të ndryshueshme interesi, i siguron me shkrim kredimarrësit të paktën një herë në 12 muaj, informacionin e mëposhtëm</w:t>
      </w:r>
      <w:r>
        <w:t>…</w:t>
      </w:r>
      <w:r w:rsidRPr="00B51CF4">
        <w:t>”</w:t>
      </w:r>
    </w:p>
    <w:p w:rsidR="00F3427F" w:rsidRPr="00B51CF4" w:rsidRDefault="00F3427F" w:rsidP="00F3427F">
      <w:pPr>
        <w:pStyle w:val="Paragrafi"/>
      </w:pPr>
      <w:r w:rsidRPr="00B51CF4">
        <w:t>g) Në nenin 8, paragrafi 2 shfuqizohet.</w:t>
      </w:r>
    </w:p>
    <w:p w:rsidR="00F3427F" w:rsidRPr="00B51CF4" w:rsidRDefault="00F3427F" w:rsidP="00F3427F">
      <w:pPr>
        <w:pStyle w:val="Paragrafi"/>
      </w:pPr>
      <w:r w:rsidRPr="00B51CF4">
        <w:t>2. Autorizohet Zëvendësguvernatori i Parë i Bankës së Shqipërisë të miratojë përmbajtjen dhe formën e raportimit të përcaktuar në nenin 5, paragrafi 10 i kësaj rregulloreje.</w:t>
      </w:r>
    </w:p>
    <w:p w:rsidR="00F3427F" w:rsidRPr="00B51CF4" w:rsidRDefault="00F3427F" w:rsidP="00F3427F">
      <w:pPr>
        <w:pStyle w:val="Paragrafi"/>
      </w:pPr>
      <w:r w:rsidRPr="00B51CF4">
        <w:t>3. Ngarkohet Departamenti i Mbik</w:t>
      </w:r>
      <w:r>
        <w:t>ë</w:t>
      </w:r>
      <w:r w:rsidRPr="00B51CF4">
        <w:t>qyrjes për ndjekjen e zbatimit të këtij vendimi.</w:t>
      </w:r>
    </w:p>
    <w:p w:rsidR="00F3427F" w:rsidRPr="00B51CF4" w:rsidRDefault="00F3427F" w:rsidP="00F3427F">
      <w:pPr>
        <w:pStyle w:val="Paragrafi"/>
      </w:pPr>
      <w:r w:rsidRPr="00B51CF4">
        <w:t>4. Ngarkohet Departamenti i Marrëdhënieve me Jashtë, Integrimit Europian dhe Komunikimit, për publikimin e ndryshimeve dhe shtesave të rregullores “Mbi tra</w:t>
      </w:r>
      <w:r>
        <w:t>n</w:t>
      </w:r>
      <w:r w:rsidRPr="00B51CF4">
        <w:t>sparencën për produktet dhe shërbimet bankare e financiare” të miratuara me këtë vendim në Fletoren Zyrtare të Republikës së Shqipërisë dhe në Buletinin Zyrtar të Bankës së Shqipërisë.</w:t>
      </w:r>
    </w:p>
    <w:p w:rsidR="00F3427F" w:rsidRPr="00B51CF4" w:rsidRDefault="00F3427F" w:rsidP="00F3427F">
      <w:pPr>
        <w:pStyle w:val="Paragrafi"/>
      </w:pPr>
      <w:r w:rsidRPr="00B51CF4">
        <w:t>5. Ky vendim hyn në fuqi 15 (pesëmbëdhjetë) ditë pas botimit të Fletores Zyrtare.</w:t>
      </w:r>
    </w:p>
    <w:p w:rsidR="00F3427F" w:rsidRPr="00B51CF4" w:rsidRDefault="00F3427F" w:rsidP="00F3427F">
      <w:pPr>
        <w:pStyle w:val="Paragrafi"/>
      </w:pPr>
    </w:p>
    <w:p w:rsidR="00F3427F" w:rsidRPr="00B51CF4" w:rsidRDefault="00F3427F" w:rsidP="00F3427F">
      <w:pPr>
        <w:pStyle w:val="Autoriteti"/>
      </w:pPr>
      <w:r w:rsidRPr="00B51CF4">
        <w:t>Kryetari</w:t>
      </w:r>
    </w:p>
    <w:p w:rsidR="00F3427F" w:rsidRPr="00B51CF4" w:rsidRDefault="00F3427F" w:rsidP="00F3427F">
      <w:pPr>
        <w:pStyle w:val="AutoritetiEmer"/>
      </w:pPr>
      <w:r w:rsidRPr="00B51CF4">
        <w:t>Ardian Fullani</w:t>
      </w:r>
    </w:p>
    <w:sectPr w:rsidR="00F3427F" w:rsidRPr="00B51CF4" w:rsidSect="00F3427F">
      <w:footerReference w:type="even" r:id="rId7"/>
      <w:footerReference w:type="default" r:id="rId8"/>
      <w:pgSz w:w="11907" w:h="16840" w:code="9"/>
      <w:pgMar w:top="1418" w:right="1418" w:bottom="1418" w:left="1418" w:header="1304" w:footer="1134" w:gutter="0"/>
      <w:pgNumType w:start="113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759AC">
      <w:r>
        <w:separator/>
      </w:r>
    </w:p>
  </w:endnote>
  <w:endnote w:type="continuationSeparator" w:id="0">
    <w:p w:rsidR="00000000" w:rsidRDefault="00875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27F" w:rsidRPr="007321CB" w:rsidRDefault="00F3427F">
    <w:pPr>
      <w:pStyle w:val="Footer"/>
      <w:rPr>
        <w:rFonts w:ascii="CG Times" w:hAnsi="CG Times" w:cs="CG Times"/>
        <w:sz w:val="22"/>
        <w:szCs w:val="22"/>
      </w:rPr>
    </w:pPr>
    <w:r w:rsidRPr="007321CB">
      <w:rPr>
        <w:rFonts w:ascii="CG Times" w:hAnsi="CG Times" w:cs="CG Times"/>
        <w:sz w:val="22"/>
        <w:szCs w:val="22"/>
      </w:rPr>
      <w:fldChar w:fldCharType="begin"/>
    </w:r>
    <w:r w:rsidRPr="007321CB">
      <w:rPr>
        <w:rFonts w:ascii="CG Times" w:hAnsi="CG Times" w:cs="CG Times"/>
        <w:sz w:val="22"/>
        <w:szCs w:val="22"/>
      </w:rPr>
      <w:instrText xml:space="preserve"> PAGE   \* MERGEFORMAT </w:instrText>
    </w:r>
    <w:r w:rsidRPr="007321CB">
      <w:rPr>
        <w:rFonts w:ascii="CG Times" w:hAnsi="CG Times" w:cs="CG Times"/>
        <w:sz w:val="22"/>
        <w:szCs w:val="22"/>
      </w:rPr>
      <w:fldChar w:fldCharType="separate"/>
    </w:r>
    <w:r>
      <w:rPr>
        <w:rFonts w:ascii="CG Times" w:hAnsi="CG Times" w:cs="CG Times"/>
        <w:noProof/>
        <w:sz w:val="22"/>
        <w:szCs w:val="22"/>
      </w:rPr>
      <w:t>1146</w:t>
    </w:r>
    <w:r w:rsidRPr="007321CB">
      <w:rPr>
        <w:rFonts w:ascii="CG Times" w:hAnsi="CG Times" w:cs="CG Times"/>
        <w:sz w:val="22"/>
        <w:szCs w:val="22"/>
      </w:rPr>
      <w:fldChar w:fldCharType="end"/>
    </w:r>
  </w:p>
  <w:p w:rsidR="00F3427F" w:rsidRPr="007321CB" w:rsidRDefault="00F3427F">
    <w:pPr>
      <w:pStyle w:val="Footer"/>
      <w:rPr>
        <w:rFonts w:ascii="CG Times" w:hAnsi="CG Times" w:cs="CG Times"/>
        <w:sz w:val="22"/>
        <w:szCs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27F" w:rsidRPr="007321CB" w:rsidRDefault="00F3427F">
    <w:pPr>
      <w:pStyle w:val="Footer"/>
      <w:jc w:val="right"/>
      <w:rPr>
        <w:rFonts w:ascii="CG Times" w:hAnsi="CG Times" w:cs="CG Times"/>
        <w:sz w:val="22"/>
        <w:szCs w:val="22"/>
      </w:rPr>
    </w:pPr>
    <w:r w:rsidRPr="007321CB">
      <w:rPr>
        <w:rFonts w:ascii="CG Times" w:hAnsi="CG Times" w:cs="CG Times"/>
        <w:sz w:val="22"/>
        <w:szCs w:val="22"/>
      </w:rPr>
      <w:fldChar w:fldCharType="begin"/>
    </w:r>
    <w:r w:rsidRPr="007321CB">
      <w:rPr>
        <w:rFonts w:ascii="CG Times" w:hAnsi="CG Times" w:cs="CG Times"/>
        <w:sz w:val="22"/>
        <w:szCs w:val="22"/>
      </w:rPr>
      <w:instrText xml:space="preserve"> PAGE   \* MERGEFORMAT </w:instrText>
    </w:r>
    <w:r w:rsidRPr="007321CB">
      <w:rPr>
        <w:rFonts w:ascii="CG Times" w:hAnsi="CG Times" w:cs="CG Times"/>
        <w:sz w:val="22"/>
        <w:szCs w:val="22"/>
      </w:rPr>
      <w:fldChar w:fldCharType="separate"/>
    </w:r>
    <w:r w:rsidR="008759AC">
      <w:rPr>
        <w:rFonts w:ascii="CG Times" w:hAnsi="CG Times" w:cs="CG Times"/>
        <w:noProof/>
        <w:sz w:val="22"/>
        <w:szCs w:val="22"/>
      </w:rPr>
      <w:t>1136</w:t>
    </w:r>
    <w:r w:rsidRPr="007321CB">
      <w:rPr>
        <w:rFonts w:ascii="CG Times" w:hAnsi="CG Times" w:cs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759AC">
      <w:r>
        <w:separator/>
      </w:r>
    </w:p>
  </w:footnote>
  <w:footnote w:type="continuationSeparator" w:id="0">
    <w:p w:rsidR="00000000" w:rsidRDefault="008759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3427F"/>
    <w:rsid w:val="0000709E"/>
    <w:rsid w:val="000168D2"/>
    <w:rsid w:val="00034533"/>
    <w:rsid w:val="00074ECB"/>
    <w:rsid w:val="000E26BA"/>
    <w:rsid w:val="0012658B"/>
    <w:rsid w:val="00134B4F"/>
    <w:rsid w:val="00142511"/>
    <w:rsid w:val="00185D06"/>
    <w:rsid w:val="001F6849"/>
    <w:rsid w:val="00215F4C"/>
    <w:rsid w:val="00234711"/>
    <w:rsid w:val="00241BA6"/>
    <w:rsid w:val="00266926"/>
    <w:rsid w:val="00285E2F"/>
    <w:rsid w:val="002908B3"/>
    <w:rsid w:val="002A7911"/>
    <w:rsid w:val="002E20F9"/>
    <w:rsid w:val="00332540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877D3"/>
    <w:rsid w:val="007B4080"/>
    <w:rsid w:val="007F180F"/>
    <w:rsid w:val="00817EE7"/>
    <w:rsid w:val="008634B8"/>
    <w:rsid w:val="008759AC"/>
    <w:rsid w:val="0089132F"/>
    <w:rsid w:val="008A6769"/>
    <w:rsid w:val="008B4EF7"/>
    <w:rsid w:val="008E6154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55AB4"/>
    <w:rsid w:val="00B71725"/>
    <w:rsid w:val="00BA2385"/>
    <w:rsid w:val="00BD753C"/>
    <w:rsid w:val="00BF1117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D41D0"/>
    <w:rsid w:val="00DD54D4"/>
    <w:rsid w:val="00E20AA5"/>
    <w:rsid w:val="00E4648D"/>
    <w:rsid w:val="00E87941"/>
    <w:rsid w:val="00EF672B"/>
    <w:rsid w:val="00F025AC"/>
    <w:rsid w:val="00F31BCD"/>
    <w:rsid w:val="00F3427F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F5196B-E68C-497E-90F7-3E70B37F4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427F"/>
    <w:rPr>
      <w:rFonts w:ascii="Book Antiqua" w:eastAsia="MS Mincho" w:hAnsi="Book Antiqua" w:cs="Book Antiqua"/>
      <w:sz w:val="24"/>
      <w:szCs w:val="24"/>
      <w:lang w:val="sq-AL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sz w:val="22"/>
      <w:szCs w:val="22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link w:val="FooterChar"/>
    <w:rsid w:val="006A303A"/>
    <w:pPr>
      <w:tabs>
        <w:tab w:val="center" w:pos="4320"/>
        <w:tab w:val="right" w:pos="8640"/>
      </w:tabs>
    </w:p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sz w:val="20"/>
      <w:szCs w:val="20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hAnsi="Trebuchet MS" w:cs="Trebuchet MS"/>
      <w:sz w:val="22"/>
      <w:szCs w:val="22"/>
      <w:lang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basedOn w:val="DefaultParagraphFont"/>
    <w:link w:val="Paragrafi"/>
    <w:locked/>
    <w:rsid w:val="00F3427F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locked/>
    <w:rsid w:val="00F3427F"/>
    <w:rPr>
      <w:rFonts w:eastAsia="MS Mincho"/>
      <w:sz w:val="24"/>
      <w:szCs w:val="24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4753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2019-03-19T14:09:00Z</dcterms:created>
  <dcterms:modified xsi:type="dcterms:W3CDTF">2019-03-19T14:09:00Z</dcterms:modified>
</cp:coreProperties>
</file>