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8C0" w:rsidRPr="003F07C9" w:rsidRDefault="00E358C0" w:rsidP="00E358C0">
      <w:pPr>
        <w:pStyle w:val="Akti"/>
        <w:keepNext w:val="0"/>
        <w:rPr>
          <w:lang w:val="sq-AL"/>
        </w:rPr>
      </w:pPr>
      <w:bookmarkStart w:id="0" w:name="_GoBack"/>
      <w:bookmarkEnd w:id="0"/>
      <w:r w:rsidRPr="003F07C9">
        <w:rPr>
          <w:lang w:val="sq-AL"/>
        </w:rPr>
        <w:t>VENDIM</w:t>
      </w:r>
    </w:p>
    <w:p w:rsidR="00E358C0" w:rsidRPr="003F07C9" w:rsidRDefault="00E358C0" w:rsidP="00E358C0">
      <w:pPr>
        <w:pStyle w:val="NumriData"/>
        <w:keepNext w:val="0"/>
        <w:rPr>
          <w:lang w:val="sq-AL"/>
        </w:rPr>
      </w:pPr>
      <w:r w:rsidRPr="003F07C9">
        <w:rPr>
          <w:lang w:val="sq-AL"/>
        </w:rPr>
        <w:t>Nr. 3, datë 17.1.2013</w:t>
      </w:r>
    </w:p>
    <w:p w:rsidR="00E358C0" w:rsidRPr="003F07C9" w:rsidRDefault="00E358C0" w:rsidP="00E358C0">
      <w:pPr>
        <w:pStyle w:val="Paragrafi"/>
        <w:rPr>
          <w:lang w:val="sq-AL"/>
        </w:rPr>
      </w:pPr>
    </w:p>
    <w:p w:rsidR="00E358C0" w:rsidRDefault="00E358C0" w:rsidP="00E358C0">
      <w:pPr>
        <w:pStyle w:val="Titulli"/>
        <w:keepNext w:val="0"/>
        <w:rPr>
          <w:lang w:val="sq-AL"/>
        </w:rPr>
      </w:pPr>
      <w:r w:rsidRPr="003F07C9">
        <w:rPr>
          <w:lang w:val="sq-AL"/>
        </w:rPr>
        <w:t>PËR DISA SHTESA DHE NDRYSHIME NË RREGULLOREN</w:t>
      </w:r>
      <w:r>
        <w:rPr>
          <w:lang w:val="sq-AL"/>
        </w:rPr>
        <w:t xml:space="preserve"> </w:t>
      </w:r>
      <w:r w:rsidRPr="003F07C9">
        <w:rPr>
          <w:lang w:val="sq-AL"/>
        </w:rPr>
        <w:t xml:space="preserve">“PËR INSTRUMENTET </w:t>
      </w:r>
    </w:p>
    <w:p w:rsidR="00E358C0" w:rsidRPr="003F07C9" w:rsidRDefault="00E358C0" w:rsidP="00E358C0">
      <w:pPr>
        <w:pStyle w:val="Titulli"/>
        <w:keepNext w:val="0"/>
        <w:rPr>
          <w:lang w:val="sq-AL"/>
        </w:rPr>
      </w:pPr>
      <w:r w:rsidRPr="003F07C9">
        <w:rPr>
          <w:lang w:val="sq-AL"/>
        </w:rPr>
        <w:t xml:space="preserve">E PAGESAVE ELEKTRONIKE” </w:t>
      </w:r>
    </w:p>
    <w:p w:rsidR="00E358C0" w:rsidRPr="003F07C9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Në</w:t>
      </w:r>
      <w:r>
        <w:rPr>
          <w:lang w:val="sq-AL"/>
        </w:rPr>
        <w:t xml:space="preserve"> bazë dhe për zbatim të nenit 1 pika 4 shkronja “</w:t>
      </w:r>
      <w:r w:rsidRPr="003F07C9">
        <w:rPr>
          <w:lang w:val="sq-AL"/>
        </w:rPr>
        <w:t>b”; nen</w:t>
      </w:r>
      <w:r>
        <w:rPr>
          <w:lang w:val="sq-AL"/>
        </w:rPr>
        <w:t>it 21, nenit 43</w:t>
      </w:r>
      <w:r w:rsidRPr="003F07C9">
        <w:rPr>
          <w:lang w:val="sq-AL"/>
        </w:rPr>
        <w:t xml:space="preserve"> shkronja “c” e ligjit nr. 8269, datë 23.12.1</w:t>
      </w:r>
      <w:r>
        <w:rPr>
          <w:lang w:val="sq-AL"/>
        </w:rPr>
        <w:t>997 “Për Bankën e Shqipërisë”, të</w:t>
      </w:r>
      <w:r w:rsidRPr="003F07C9">
        <w:rPr>
          <w:lang w:val="sq-AL"/>
        </w:rPr>
        <w:t xml:space="preserve"> ndryshuar; nenit 126 të ligjit nr. 9662, datë 18.12.2006 “Për bankat në Republikën e Shqipërisë”, i ndryshuar, me propozim të Departamentit të Sistemeve të Pagesave dhe Departamentit të Mbikëqyrjes, Këshilli Mbi</w:t>
      </w:r>
      <w:r>
        <w:rPr>
          <w:lang w:val="sq-AL"/>
        </w:rPr>
        <w:t>këqyrës i Bankës së Shqipërisë</w:t>
      </w:r>
    </w:p>
    <w:p w:rsidR="00E358C0" w:rsidRPr="003F07C9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VENDOSI"/>
        <w:keepNext w:val="0"/>
        <w:rPr>
          <w:lang w:val="sq-AL"/>
        </w:rPr>
      </w:pPr>
      <w:r w:rsidRPr="003F07C9">
        <w:rPr>
          <w:lang w:val="sq-AL"/>
        </w:rPr>
        <w:t>VENDOSI:</w:t>
      </w:r>
    </w:p>
    <w:p w:rsidR="00E358C0" w:rsidRPr="003F07C9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1. Në rregulloren “Për instrumentet e pagesave elektronike” miratuar me vendimin nr. 11, datë 06.02.2008 të Këshillit Mbikëqyrës të Bankës së Shqipërisë, të bëhen ndryshimet e mëposhtme: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a) Në nenin 3, pika 1, pas togfjalëshit “degët e bankave të huaja” shtohet togfjalëshi “si dhe institucionet e parasë elektronike, të licencuara nga Banka e Shqipërisë”;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b) Shkronjat “f”, “g”, “h” dhe “i” të nenit 4 shfuqizohen;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c) Shkronja “e” e nenit 4 ndryshon, me përmbajtje si më poshtë: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“Shërbime të tjera elektronike bankare – janë shërbimet bankare të realizuara online, të tilla si: home banking,  të cilat mund të aksesohen nga klientët e subjekteve të kësaj rregulloreje, nëpërmjet përdorimit të mjeteve të ndryshme të telekomunikacionit, si për shembull, telefoni, celulari,  terminalet ose kompjuterat personalë etj.”;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d) Shkronja “k” e nenit 4 ndryshon, me përmbajtje si më poshtë: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“Emetues – janë banka, dega e bankës së huaj ose  institucioni i  parasë elektronike, të cilët emetojnë IPE,  sipas kontratës  me mbajtësin e IPE-ve.”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e) Në nenin 7, pika 1, pas togfjalëshit “degët e bankave të huaja”, shtohet togfjalëshi “dhe institucionet e parasë elektronike”.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f) Paragrafi 1 i nenit 22 ndryshon, me përmbajtje si më poshtë: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“Shlyerja e pagesave në lekë/valutë me kartë bankare të emetuar në territorin e Republikës së Shqipërisë, kryhet nëpërmjet shoqërive ndërkombëtare të kartave apo ofruesve lokalë të shërbimeve për pagesa, me karta dhe/ose bankave korrespondente të huaja, në përputhje me marrëveshjet dy ose shumëpalëshe, të lidhura ndërmjet emetuesit/pranuesit me shoqëritë e kartave apo me ofruesit  lokalë të shërbimeve për pagesa me karta.”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g) Në nenin 22, paragrafi 2, pas togfjalëshit “me shoqëri ndërkombëtare të kartave” shtohet togfjalëshi “apo me ofruesit  lokalë të shërbimeve për  pagesa  me karta”.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h) Neni 23 dhe 25 shfuqizohen.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i) Neni 26 ndryshon me përmbajtje, si më poshtë: </w:t>
      </w:r>
    </w:p>
    <w:p w:rsidR="00E358C0" w:rsidRPr="003F07C9" w:rsidRDefault="00E358C0" w:rsidP="00E358C0">
      <w:pPr>
        <w:pStyle w:val="Paragrafi"/>
        <w:rPr>
          <w:lang w:val="sq-AL"/>
        </w:rPr>
      </w:pPr>
      <w:r>
        <w:rPr>
          <w:lang w:val="sq-AL"/>
        </w:rPr>
        <w:t>“</w:t>
      </w:r>
      <w:r w:rsidRPr="003F07C9">
        <w:rPr>
          <w:lang w:val="sq-AL"/>
        </w:rPr>
        <w:t xml:space="preserve">1. Instrumentet e parasë elektronike mund të jenë në formën e: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a) kartave të parapaguara, të cilat paraqiten si karta plastike me fuqi blerëse; dhe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b) produkteve të parapaguara, të cilat konsistojnë në programe të veçanta, që i mundësojnë mbajtësit, transferimin e parasë elektronike nëpërmjet rrjeteve elektronike të komunikimit.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2. Lista e instrumenteve të parasë elektronike të përcaktuara në pikën 1 të këtij neni, nuk është  shteruese dhe varet nga zhvillimet e mëtejshme të teknologjisë.</w:t>
      </w:r>
      <w:r>
        <w:rPr>
          <w:lang w:val="sq-AL"/>
        </w:rPr>
        <w:t>”</w:t>
      </w:r>
      <w:r w:rsidRPr="003F07C9">
        <w:rPr>
          <w:lang w:val="sq-AL"/>
        </w:rPr>
        <w:t xml:space="preserve">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j) Pas nenit 26, shtohet neni  26/1, me përmbajtje si më poshtë : </w:t>
      </w:r>
    </w:p>
    <w:p w:rsidR="00E358C0" w:rsidRDefault="00E358C0" w:rsidP="00E358C0">
      <w:pPr>
        <w:pStyle w:val="Paragrafi"/>
        <w:rPr>
          <w:lang w:val="sq-AL"/>
        </w:rPr>
      </w:pPr>
    </w:p>
    <w:p w:rsidR="00E358C0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NeniNr"/>
        <w:keepNext w:val="0"/>
        <w:rPr>
          <w:lang w:val="sq-AL"/>
        </w:rPr>
      </w:pPr>
      <w:r>
        <w:rPr>
          <w:lang w:val="sq-AL"/>
        </w:rPr>
        <w:t>“</w:t>
      </w:r>
      <w:r w:rsidRPr="003F07C9">
        <w:rPr>
          <w:lang w:val="sq-AL"/>
        </w:rPr>
        <w:t>Neni 26/1</w:t>
      </w:r>
    </w:p>
    <w:p w:rsidR="00E358C0" w:rsidRPr="003F07C9" w:rsidRDefault="00E358C0" w:rsidP="00E358C0">
      <w:pPr>
        <w:pStyle w:val="NeniTitull"/>
        <w:keepNext w:val="0"/>
        <w:rPr>
          <w:lang w:val="sq-AL"/>
        </w:rPr>
      </w:pPr>
      <w:r w:rsidRPr="003F07C9">
        <w:rPr>
          <w:lang w:val="sq-AL"/>
        </w:rPr>
        <w:t>Raste përjashtimore</w:t>
      </w:r>
    </w:p>
    <w:p w:rsidR="00E358C0" w:rsidRPr="003F07C9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Për qëllime të kësaj rregulloreje, nuk do të konsiderohet si para elektronike: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a) vlerat monetare që ruhen në instrumente të parapaguara, që përdoren me qëllimin për të përmbushur nevoja specifike të klientëve dhe që mund të përdoren në mënyrë të kufizuar sepse: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i) i japin mundësinë mbajtësit të blejë mallra dhe/ose shërbime të caktuara, të ofruara nga emetuesi vetëm në ambientet ku zhvillon veprimtarinë  emetuesi i parasë elektronike ose brenda një rrjeti të përcaktuar ofruesish shërbimesh, subjekte të një marrëveshjeje tregtare me emetuesin e parasë elektronike (një dyqan i caktuar, zinxhir dyqanesh etj.); ose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ii) mund të përdoren për të blerë vetëm një numër të kufizuar mallrash dhe/ose shërbimesh.</w:t>
      </w:r>
    </w:p>
    <w:p w:rsidR="00E358C0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b) vlera monetare që përdoret për të blerë mallra ose shërbime dixhitale dhe që përdoren vetëm nëpërmjet një pajisjeje dixhitale, të tillë si kompjuter dhe/ose telefon celular, për aq kohë sa operatori i komunikimeve elektronike, IT ose dixhital nuk luan vetëm rolin e një ndërmjetësi midis përdoruesit të shërbimit të pagesave dhe ofruesit të mallrave.</w:t>
      </w:r>
      <w:r>
        <w:rPr>
          <w:lang w:val="sq-AL"/>
        </w:rPr>
        <w:t>”</w:t>
      </w:r>
    </w:p>
    <w:p w:rsidR="00E358C0" w:rsidRPr="003F07C9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k) Neni  27 ndryshon, me përmbajtje si më poshtë</w:t>
      </w:r>
      <w:r>
        <w:rPr>
          <w:lang w:val="sq-AL"/>
        </w:rPr>
        <w:t>:</w:t>
      </w:r>
    </w:p>
    <w:p w:rsidR="00E358C0" w:rsidRPr="00266A34" w:rsidRDefault="00E358C0" w:rsidP="00E358C0">
      <w:pPr>
        <w:pStyle w:val="Paragrafi"/>
        <w:rPr>
          <w:sz w:val="16"/>
          <w:lang w:val="sq-AL"/>
        </w:rPr>
      </w:pPr>
    </w:p>
    <w:p w:rsidR="00E358C0" w:rsidRPr="003F07C9" w:rsidRDefault="00E358C0" w:rsidP="00E358C0">
      <w:pPr>
        <w:pStyle w:val="NeniNr"/>
        <w:keepNext w:val="0"/>
        <w:rPr>
          <w:lang w:val="sq-AL"/>
        </w:rPr>
      </w:pPr>
      <w:r>
        <w:rPr>
          <w:lang w:val="sq-AL"/>
        </w:rPr>
        <w:t>“</w:t>
      </w:r>
      <w:r w:rsidRPr="003F07C9">
        <w:rPr>
          <w:lang w:val="sq-AL"/>
        </w:rPr>
        <w:t>Neni 27</w:t>
      </w:r>
    </w:p>
    <w:p w:rsidR="00E358C0" w:rsidRPr="003F07C9" w:rsidRDefault="00E358C0" w:rsidP="00E358C0">
      <w:pPr>
        <w:pStyle w:val="NeniTitull"/>
        <w:keepNext w:val="0"/>
        <w:rPr>
          <w:lang w:val="sq-AL"/>
        </w:rPr>
      </w:pPr>
      <w:r w:rsidRPr="003F07C9">
        <w:rPr>
          <w:lang w:val="sq-AL"/>
        </w:rPr>
        <w:t>Emetimi i parasë elektronike</w:t>
      </w:r>
    </w:p>
    <w:p w:rsidR="00E358C0" w:rsidRPr="00266A34" w:rsidRDefault="00E358C0" w:rsidP="00E358C0">
      <w:pPr>
        <w:pStyle w:val="Paragrafi"/>
        <w:rPr>
          <w:sz w:val="14"/>
          <w:lang w:val="sq-AL"/>
        </w:rPr>
      </w:pPr>
      <w:r w:rsidRPr="003F07C9">
        <w:rPr>
          <w:lang w:val="sq-AL"/>
        </w:rPr>
        <w:t xml:space="preserve">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1. Emetuesi i parasë elektronike emeton para elektronike për një vlerë të barabartë me vlerën nominale të fondeve të marra nga mbajtësi i parasë elektronike.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2. Mbajtësi i parasë elektronike është pronari i fondeve që pranohen nga emetuesi i parasë elektronike për emetimin e parasë elektronike.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3. Emetuesi i parasë elektronike dhe mbajtësi i parasë elektronike lidhin një kontratë me shkrim, me qëllim krijimin dhe rregullimin e marrëdhënies për emetimin e parasë elektronike.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4. Kontrata midis emetuesit të parasë elektronike dhe mbajtësit të parasë elektronike përcakton qartë dhe në formë të kuptueshme kushtet në lidhje me emetimin dhe ripagimin.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5. Kufijtë minimalë dhe maksimalë, brenda të cilëve emetohet paraja elektronike, përcaktohen në kontratën e emetimit të parasë elektronike, duke respektuar kufijtë e mëposhtëm: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a) në rastin e instrumenteve të parasë elektronike pa rimbushje, shuma maksimale e ruajtur nuk duhet të jetë më shumë se 35 000 lekë ose kundravlefta e saj në monedhë të huaj;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b) në rastet e  instrumenteve me rimbushje, kufiri maksimal i  transaksioneve të kryera brenda një viti kalendarik, nuk duhet të tejkalojë 350 000 lekë ose kundravleftën e saj në monedhë të huaj, me përjashtim të rastit kur mbajtësi i parasë elektronike ka kërkuar ripagim, sipas kushteve të parashikuara në nenin 31 të kësaj rregulloreje për një shumë prej 150 000 lekë ose më shumë.   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6. Emetuesi i parasë elektronike informon mbajtësin e parasë elektronike, para nënshkrimit të kontratës, në përputhje me shkronjën “b”, pika 1, të nenit 7 të kësaj rregulloreje. </w:t>
      </w:r>
    </w:p>
    <w:p w:rsidR="00E358C0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7. Emetuesi i parasë elektronike ndalohet t’i paguajë interes ose ndonjë përfitim tjetër, mbajtësit të parasë elektronike, për periudhën gjatë së cilës ky i fundit mban paranë elektronike.</w:t>
      </w:r>
      <w:r>
        <w:rPr>
          <w:lang w:val="sq-AL"/>
        </w:rPr>
        <w:t>”</w:t>
      </w:r>
    </w:p>
    <w:p w:rsidR="00E358C0" w:rsidRPr="003F07C9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l) Nenet 28 dhe 29 shfuqizohen.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m) Në nenin 30 fjala “shkatërrohet” zëvendësohet me  togfjalëshin “asgjësohet nga emetuesi i parasë elektronike”.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n) Neni 31 ndryshon, me  përmbajtje si më poshtë: </w:t>
      </w:r>
    </w:p>
    <w:p w:rsidR="00E358C0" w:rsidRPr="00266A34" w:rsidRDefault="00E358C0" w:rsidP="00E358C0">
      <w:pPr>
        <w:pStyle w:val="Paragrafi"/>
        <w:rPr>
          <w:sz w:val="16"/>
          <w:lang w:val="sq-AL"/>
        </w:rPr>
      </w:pPr>
    </w:p>
    <w:p w:rsidR="00E358C0" w:rsidRDefault="00E358C0" w:rsidP="00E358C0">
      <w:pPr>
        <w:pStyle w:val="NeniNr"/>
        <w:keepNext w:val="0"/>
        <w:rPr>
          <w:lang w:val="sq-AL"/>
        </w:rPr>
      </w:pPr>
    </w:p>
    <w:p w:rsidR="00E358C0" w:rsidRDefault="00E358C0" w:rsidP="00E358C0">
      <w:pPr>
        <w:pStyle w:val="NeniNr"/>
        <w:keepNext w:val="0"/>
        <w:rPr>
          <w:lang w:val="sq-AL"/>
        </w:rPr>
      </w:pPr>
    </w:p>
    <w:p w:rsidR="00E358C0" w:rsidRPr="003F07C9" w:rsidRDefault="00E358C0" w:rsidP="00E358C0">
      <w:pPr>
        <w:pStyle w:val="NeniNr"/>
        <w:keepNext w:val="0"/>
        <w:rPr>
          <w:lang w:val="sq-AL"/>
        </w:rPr>
      </w:pPr>
      <w:r>
        <w:rPr>
          <w:lang w:val="sq-AL"/>
        </w:rPr>
        <w:t>“</w:t>
      </w:r>
      <w:r w:rsidRPr="003F07C9">
        <w:rPr>
          <w:lang w:val="sq-AL"/>
        </w:rPr>
        <w:t>Neni 31</w:t>
      </w:r>
    </w:p>
    <w:p w:rsidR="00E358C0" w:rsidRPr="003F07C9" w:rsidRDefault="00E358C0" w:rsidP="00E358C0">
      <w:pPr>
        <w:pStyle w:val="NeniTitull"/>
        <w:keepNext w:val="0"/>
        <w:rPr>
          <w:lang w:val="sq-AL"/>
        </w:rPr>
      </w:pPr>
      <w:r w:rsidRPr="003F07C9">
        <w:rPr>
          <w:lang w:val="sq-AL"/>
        </w:rPr>
        <w:t>Ripagimi i fondeve</w:t>
      </w:r>
    </w:p>
    <w:p w:rsidR="00E358C0" w:rsidRPr="00266A34" w:rsidRDefault="00E358C0" w:rsidP="00E358C0">
      <w:pPr>
        <w:pStyle w:val="Paragrafi"/>
        <w:rPr>
          <w:sz w:val="14"/>
          <w:lang w:val="sq-AL"/>
        </w:rPr>
      </w:pPr>
      <w:r w:rsidRPr="003F07C9">
        <w:rPr>
          <w:lang w:val="sq-AL"/>
        </w:rPr>
        <w:t xml:space="preserve">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1. Emetuesi i parasë elektronike, me kërkesë të mbajtësit të parasë elektronike, i ripaguan atij, në çdo moment, në vlerë nominale, vlerën  monetare të parasë  elektronike.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2. Ripagimi mund të jetë objekt i aplikimit të komisioneve, vetëm nëse këto të fundit parashikohen në kontratën midis palëve dhe vetëm në një nga rastet e mëposhtme: 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a) ripagimi kërkohet përpara përfundimit të kontratës;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b) kontrata parashikon një datë për përfundimin e saj dhe mbajtësi i parasë elektronike e përfundon kontratën, para datës së përfundimit; ose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c) ripagimi për shumën e papërdorur, kërkohet pas më shumë se një viti, nga data e përfundimit të kontratës.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3. Në rastet kur mbajtësi i parasë elektronike kërkon ripagim, përpara përfundimit të kontratës, ai ka të drejtën të kërkojë ripagim të plotë ose të pjesshëm të parasë elektronike që zotëron.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4. Në rastet kur ripagimi kërkohet nga mbajtësi i parasë elektronike, një ose deri në një vit, pas datës së përfundimit të kontratës, emetuesi i parasë elektronike ripaguan totalin e vlerës monetare të parasë elektronike të mbartur. 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5. Emetuesit e parasë elektronike, pavarësisht sa parashikohet në këtë nen, në rastet e një personi të ndryshëm nga individi (konsumatori), që pranon para elektronike, përcaktojnë të drejtën e ripagimit në marrëveshjen kontraktuale midis emetuesit të parasë elektronike dhe këtij personi.</w:t>
      </w:r>
    </w:p>
    <w:p w:rsidR="00E358C0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6. Emetuesi është përgjegjës ndaj mbajtësit, në rastet kur, ky i fundit ka pësuar humbje ose dëmtim të parasë elektronike si pasojë e mosfunksionimit të pajisjes, së autorizuar nga emetuesi, për pranimin e instrumentit  të parasë elektronike si mjet pagese.</w:t>
      </w:r>
      <w:r>
        <w:rPr>
          <w:lang w:val="sq-AL"/>
        </w:rPr>
        <w:t>”</w:t>
      </w:r>
    </w:p>
    <w:p w:rsidR="00E358C0" w:rsidRPr="003B6A7A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o) Pas nenit 31 shtohet  neni 31/1 me përmbajtje si më poshtë: </w:t>
      </w:r>
    </w:p>
    <w:p w:rsidR="00E358C0" w:rsidRPr="00092E8B" w:rsidRDefault="00E358C0" w:rsidP="00E358C0">
      <w:pPr>
        <w:pStyle w:val="Paragrafi"/>
        <w:rPr>
          <w:sz w:val="16"/>
          <w:lang w:val="sq-AL"/>
        </w:rPr>
      </w:pPr>
    </w:p>
    <w:p w:rsidR="00E358C0" w:rsidRPr="003F07C9" w:rsidRDefault="00E358C0" w:rsidP="00E358C0">
      <w:pPr>
        <w:pStyle w:val="NeniNr"/>
        <w:keepNext w:val="0"/>
        <w:rPr>
          <w:lang w:val="sq-AL"/>
        </w:rPr>
      </w:pPr>
      <w:r>
        <w:rPr>
          <w:lang w:val="sq-AL"/>
        </w:rPr>
        <w:t>“</w:t>
      </w:r>
      <w:r w:rsidRPr="003F07C9">
        <w:rPr>
          <w:lang w:val="sq-AL"/>
        </w:rPr>
        <w:t>Neni 31/1</w:t>
      </w:r>
    </w:p>
    <w:p w:rsidR="00E358C0" w:rsidRPr="003F07C9" w:rsidRDefault="00E358C0" w:rsidP="00E358C0">
      <w:pPr>
        <w:pStyle w:val="NeniTitull"/>
        <w:keepNext w:val="0"/>
        <w:rPr>
          <w:lang w:val="sq-AL"/>
        </w:rPr>
      </w:pPr>
      <w:r w:rsidRPr="003F07C9">
        <w:rPr>
          <w:lang w:val="sq-AL"/>
        </w:rPr>
        <w:t>E drejta e mbajtësit për informim</w:t>
      </w:r>
    </w:p>
    <w:p w:rsidR="00E358C0" w:rsidRPr="00092E8B" w:rsidRDefault="00E358C0" w:rsidP="00E358C0">
      <w:pPr>
        <w:pStyle w:val="Paragrafi"/>
        <w:rPr>
          <w:sz w:val="14"/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1. Emetuesi informon mbajtësin mbi transaksionet e kryera me instrumentin e parasë elektronike si dhe mbi tepricën e fondeve të mbetura dhe të ruajtura në të. </w:t>
      </w:r>
    </w:p>
    <w:p w:rsidR="00E358C0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2. Informacioni i përcaktuar në paragrafin 1 të këtij neni, vihet në dispozicion të mbajtësit me kërkesën e tij.” </w:t>
      </w:r>
    </w:p>
    <w:p w:rsidR="00E358C0" w:rsidRPr="003F07C9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p) Neni 32 ndryshohet, me përmbajtje si më poshtë:</w:t>
      </w:r>
    </w:p>
    <w:p w:rsidR="00E358C0" w:rsidRPr="00092E8B" w:rsidRDefault="00E358C0" w:rsidP="00E358C0">
      <w:pPr>
        <w:pStyle w:val="Paragrafi"/>
        <w:rPr>
          <w:sz w:val="14"/>
          <w:lang w:val="sq-AL"/>
        </w:rPr>
      </w:pPr>
    </w:p>
    <w:p w:rsidR="00E358C0" w:rsidRPr="003F07C9" w:rsidRDefault="00E358C0" w:rsidP="00E358C0">
      <w:pPr>
        <w:pStyle w:val="NeniNr"/>
        <w:keepNext w:val="0"/>
        <w:rPr>
          <w:lang w:val="sq-AL"/>
        </w:rPr>
      </w:pPr>
      <w:r>
        <w:rPr>
          <w:lang w:val="sq-AL"/>
        </w:rPr>
        <w:t>“</w:t>
      </w:r>
      <w:r w:rsidRPr="003F07C9">
        <w:rPr>
          <w:lang w:val="sq-AL"/>
        </w:rPr>
        <w:t>Neni 32</w:t>
      </w:r>
    </w:p>
    <w:p w:rsidR="00E358C0" w:rsidRPr="003F07C9" w:rsidRDefault="00E358C0" w:rsidP="00E358C0">
      <w:pPr>
        <w:pStyle w:val="NeniTitull"/>
        <w:keepNext w:val="0"/>
        <w:rPr>
          <w:lang w:val="sq-AL"/>
        </w:rPr>
      </w:pPr>
      <w:r w:rsidRPr="003F07C9">
        <w:rPr>
          <w:lang w:val="sq-AL"/>
        </w:rPr>
        <w:t>Humbja ose dëmtimi</w:t>
      </w:r>
    </w:p>
    <w:p w:rsidR="00E358C0" w:rsidRPr="00092E8B" w:rsidRDefault="00E358C0" w:rsidP="00E358C0">
      <w:pPr>
        <w:pStyle w:val="Paragrafi"/>
        <w:rPr>
          <w:sz w:val="16"/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Në rastet e verifikimit të humbjes ose dëmtimit të instrumentit të parasë elektronike, emetuesi i kthen mbajtësit fondet e mbetura, në përputhje me kushtet e përcaktuara në kontratën ndërmjet palëve.</w:t>
      </w:r>
      <w:r>
        <w:rPr>
          <w:lang w:val="sq-AL"/>
        </w:rPr>
        <w:t>”</w:t>
      </w:r>
      <w:r w:rsidRPr="003F07C9">
        <w:rPr>
          <w:lang w:val="sq-AL"/>
        </w:rPr>
        <w:t xml:space="preserve"> </w:t>
      </w:r>
    </w:p>
    <w:p w:rsidR="00E358C0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3F07C9">
        <w:rPr>
          <w:lang w:val="sq-AL"/>
        </w:rPr>
        <w:t xml:space="preserve">Ngarkohen Departamenti i Sistemeve të Pagesave dhe Departamenti i Mbikëqyrjes me ndjekjen e zbatimit të këtij vendimi. </w:t>
      </w:r>
    </w:p>
    <w:p w:rsidR="00E358C0" w:rsidRDefault="00E358C0" w:rsidP="00E358C0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3F07C9">
        <w:rPr>
          <w:lang w:val="sq-AL"/>
        </w:rPr>
        <w:t>Ngarkohet Departamenti i Marrëdhënieve me Jashtë, Integrimit Evropian dhe Komunikimit, për publikimin e këtij vendimi në Fletoren Zyrtare të Republikës së Shqipërisë dhe në Buletinin Zyrtar të Bankës së Shqipërisë.</w:t>
      </w:r>
    </w:p>
    <w:p w:rsidR="00E358C0" w:rsidRDefault="00E358C0" w:rsidP="00E358C0">
      <w:pPr>
        <w:pStyle w:val="Paragrafi"/>
        <w:rPr>
          <w:lang w:val="sq-AL"/>
        </w:rPr>
      </w:pP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>Ky vendim hyn në fuqi 15 (pesëmbëdhjetë) ditë pas botimit në Fletoren Zyrtare të Republikës së Shqipërisë.</w:t>
      </w:r>
    </w:p>
    <w:p w:rsidR="00E358C0" w:rsidRPr="003F07C9" w:rsidRDefault="00E358C0" w:rsidP="00E358C0">
      <w:pPr>
        <w:pStyle w:val="Paragrafi"/>
        <w:rPr>
          <w:lang w:val="sq-AL"/>
        </w:rPr>
      </w:pPr>
      <w:r w:rsidRPr="003F07C9">
        <w:rPr>
          <w:lang w:val="sq-AL"/>
        </w:rPr>
        <w:t xml:space="preserve">      </w:t>
      </w:r>
    </w:p>
    <w:p w:rsidR="00E358C0" w:rsidRPr="003F07C9" w:rsidRDefault="00E358C0" w:rsidP="00E358C0">
      <w:pPr>
        <w:pStyle w:val="Autoriteti"/>
      </w:pPr>
      <w:r w:rsidRPr="003F07C9">
        <w:t>KRYETARI</w:t>
      </w:r>
    </w:p>
    <w:p w:rsidR="00E358C0" w:rsidRPr="00092E8B" w:rsidRDefault="00E358C0" w:rsidP="00E358C0">
      <w:pPr>
        <w:pStyle w:val="AutoritetiEmer"/>
      </w:pPr>
      <w:r w:rsidRPr="003F07C9">
        <w:t>Ardian Fullani</w:t>
      </w:r>
    </w:p>
    <w:sectPr w:rsidR="00E358C0" w:rsidRPr="00092E8B" w:rsidSect="00CA6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358C0"/>
    <w:rsid w:val="00456E2E"/>
    <w:rsid w:val="00CA63D7"/>
    <w:rsid w:val="00E3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D549B6-A9DB-44DD-B069-1C1D3461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3D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358C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358C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358C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E358C0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E358C0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358C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358C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358C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358C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358C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358C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358C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358C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358C0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358C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358C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2019-03-18T13:08:00Z</dcterms:created>
  <dcterms:modified xsi:type="dcterms:W3CDTF">2019-03-18T13:08:00Z</dcterms:modified>
</cp:coreProperties>
</file>