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F12" w:rsidRPr="00640D82" w:rsidRDefault="009D4F12" w:rsidP="009D4F12">
      <w:pPr>
        <w:pStyle w:val="Akti"/>
        <w:rPr>
          <w:lang w:val="sq-AL"/>
        </w:rPr>
      </w:pPr>
      <w:bookmarkStart w:id="0" w:name="_GoBack"/>
      <w:bookmarkEnd w:id="0"/>
      <w:r w:rsidRPr="00640D82">
        <w:rPr>
          <w:lang w:val="sq-AL"/>
        </w:rPr>
        <w:t>Vendim</w:t>
      </w:r>
    </w:p>
    <w:p w:rsidR="009D4F12" w:rsidRPr="00640D82" w:rsidRDefault="009D4F12" w:rsidP="009D4F12">
      <w:pPr>
        <w:pStyle w:val="Numri"/>
        <w:rPr>
          <w:lang w:val="sq-AL"/>
        </w:rPr>
      </w:pPr>
      <w:r w:rsidRPr="00640D82">
        <w:rPr>
          <w:lang w:val="sq-AL"/>
        </w:rPr>
        <w:t xml:space="preserve">Nr. </w:t>
      </w:r>
      <w:r>
        <w:rPr>
          <w:lang w:val="sq-AL"/>
        </w:rPr>
        <w:t>57, datë 11.</w:t>
      </w:r>
      <w:r w:rsidRPr="00640D82">
        <w:rPr>
          <w:lang w:val="sq-AL"/>
        </w:rPr>
        <w:t>9.2013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Titulli"/>
        <w:rPr>
          <w:lang w:val="sq-AL"/>
        </w:rPr>
      </w:pPr>
      <w:r w:rsidRPr="00640D82">
        <w:rPr>
          <w:lang w:val="sq-AL"/>
        </w:rPr>
        <w:t>PËR MIRATIMIN E RREGULLORES  “PËR K</w:t>
      </w:r>
      <w:r w:rsidRPr="00640D82">
        <w:rPr>
          <w:rFonts w:ascii="Times New Roman" w:hAnsi="Times New Roman" w:cs="Times New Roman"/>
          <w:lang w:val="sq-AL"/>
        </w:rPr>
        <w:t>Ё</w:t>
      </w:r>
      <w:r w:rsidRPr="00640D82">
        <w:rPr>
          <w:lang w:val="sq-AL"/>
        </w:rPr>
        <w:t>MBIMIN E KART</w:t>
      </w:r>
      <w:r w:rsidRPr="00640D82">
        <w:rPr>
          <w:rFonts w:ascii="Times New Roman" w:hAnsi="Times New Roman" w:cs="Times New Roman"/>
          <w:lang w:val="sq-AL"/>
        </w:rPr>
        <w:t>Ё</w:t>
      </w:r>
      <w:r w:rsidRPr="00640D82">
        <w:rPr>
          <w:lang w:val="sq-AL"/>
        </w:rPr>
        <w:t>MONEDHAVE DHE MONEDHAVE SHQIPTARE TË DËMTUARA”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bookmarkStart w:id="1" w:name="OLE_LINK3"/>
      <w:r w:rsidRPr="00640D82">
        <w:rPr>
          <w:lang w:val="sq-AL"/>
        </w:rPr>
        <w:t>Në bazë dhe për zbatim të nenit 12, shkronja “a”, nenit 43, shkronja “c” dhe kreut V të ligjit nr. 8269, datë 23.12.1</w:t>
      </w:r>
      <w:r>
        <w:rPr>
          <w:lang w:val="sq-AL"/>
        </w:rPr>
        <w:t>997 “Për Bankën e Shqipërisë”, të</w:t>
      </w:r>
      <w:r w:rsidRPr="00640D82">
        <w:rPr>
          <w:lang w:val="sq-AL"/>
        </w:rPr>
        <w:t xml:space="preserve"> ndryshuar; </w:t>
      </w:r>
      <w:bookmarkEnd w:id="1"/>
      <w:r w:rsidRPr="00640D82">
        <w:rPr>
          <w:lang w:val="sq-AL"/>
        </w:rPr>
        <w:t>dhe të ligjit nr. 9662, datë 18.12.2006 “Për bankat në Republ</w:t>
      </w:r>
      <w:r>
        <w:rPr>
          <w:lang w:val="sq-AL"/>
        </w:rPr>
        <w:t>ikën e Shqipërisë”, të</w:t>
      </w:r>
      <w:r w:rsidRPr="00640D82">
        <w:rPr>
          <w:lang w:val="sq-AL"/>
        </w:rPr>
        <w:t xml:space="preserve"> ndryshuar, me propozimin e Departamentit të Emisionit, Këshilli Mbikëqyrë</w:t>
      </w:r>
      <w:r>
        <w:rPr>
          <w:lang w:val="sq-AL"/>
        </w:rPr>
        <w:t>s i Bankës së Shqipërisë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VENDOSI"/>
        <w:rPr>
          <w:lang w:val="sq-AL"/>
        </w:rPr>
      </w:pPr>
      <w:r w:rsidRPr="00640D82">
        <w:rPr>
          <w:lang w:val="sq-AL"/>
        </w:rPr>
        <w:t>VENDOSI: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 xml:space="preserve">1. Miratimin e rregullores </w:t>
      </w:r>
      <w:bookmarkStart w:id="2" w:name="OLE_LINK5"/>
      <w:bookmarkStart w:id="3" w:name="OLE_LINK4"/>
      <w:r w:rsidRPr="00640D82">
        <w:rPr>
          <w:lang w:val="sq-AL"/>
        </w:rPr>
        <w:t xml:space="preserve">“Për këmbimin e kartëmonedhave dhe monedhave shqiptare të dëmtuara”, sipas tekstit </w:t>
      </w:r>
      <w:bookmarkEnd w:id="2"/>
      <w:bookmarkEnd w:id="3"/>
      <w:r w:rsidRPr="00640D82">
        <w:rPr>
          <w:lang w:val="sq-AL"/>
        </w:rPr>
        <w:t>bashkëlidhur këtij vendimi.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2. Ngarkohet Departamenti i Emisionit në Bankën e Shqipërisë për zbatimin e këtij vendimi.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3. Ngarkohet Departamenti i Marrëdhënieve me Jashtë, Integrimit Evropian dhe Komunikimit, për publikimin e kësaj rregulloreje në Buletinin Zyrtar të Bankës së Shqipërisë dhe në Fletoren Zyrtare të Republikës së Shqipërisë.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4. Me hyrjen në fuqi të kësaj rregulloreje, shfuqizohet udhëzimi “Për monedhat e dëmtuara dhe kriteret e këmbimit të tyre”, miratuar me vendimin e Këshil</w:t>
      </w:r>
      <w:r>
        <w:rPr>
          <w:lang w:val="sq-AL"/>
        </w:rPr>
        <w:t>lit Mbikëqyrës nr. 29, datë 30.</w:t>
      </w:r>
      <w:r w:rsidRPr="00640D82">
        <w:rPr>
          <w:lang w:val="sq-AL"/>
        </w:rPr>
        <w:t xml:space="preserve">3.1998. 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Kjo rregullore hyn në fuqi 15 (pesëmbëdhjetë) ditë pas botimit në Fletoren Zyrtare të Republikës së Shqipërisë.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Autoriteti"/>
        <w:rPr>
          <w:lang w:val="sq-AL"/>
        </w:rPr>
      </w:pPr>
      <w:r w:rsidRPr="00640D82">
        <w:rPr>
          <w:lang w:val="sq-AL"/>
        </w:rPr>
        <w:t xml:space="preserve">KRYETARI </w:t>
      </w:r>
    </w:p>
    <w:p w:rsidR="009D4F12" w:rsidRPr="00640D82" w:rsidRDefault="009D4F12" w:rsidP="009D4F12">
      <w:pPr>
        <w:pStyle w:val="AutoritetiEmer"/>
        <w:rPr>
          <w:lang w:val="sq-AL"/>
        </w:rPr>
      </w:pPr>
      <w:r w:rsidRPr="00640D82">
        <w:rPr>
          <w:lang w:val="sq-AL"/>
        </w:rPr>
        <w:t>Ardian Fullani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Akti"/>
        <w:rPr>
          <w:lang w:val="sq-AL"/>
        </w:rPr>
      </w:pPr>
    </w:p>
    <w:p w:rsidR="009D4F12" w:rsidRPr="00640D82" w:rsidRDefault="009D4F12" w:rsidP="009D4F12">
      <w:pPr>
        <w:pStyle w:val="Akti"/>
        <w:rPr>
          <w:lang w:val="sq-AL"/>
        </w:rPr>
      </w:pPr>
      <w:r w:rsidRPr="00640D82">
        <w:rPr>
          <w:lang w:val="sq-AL"/>
        </w:rPr>
        <w:t>RREGULLORE</w:t>
      </w:r>
    </w:p>
    <w:p w:rsidR="009D4F12" w:rsidRPr="00640D82" w:rsidRDefault="009D4F12" w:rsidP="009D4F12">
      <w:pPr>
        <w:pStyle w:val="TitulliTitull"/>
        <w:rPr>
          <w:lang w:val="sq-AL"/>
        </w:rPr>
      </w:pPr>
      <w:r w:rsidRPr="00640D82">
        <w:rPr>
          <w:lang w:val="sq-AL"/>
        </w:rPr>
        <w:t>PËR K</w:t>
      </w:r>
      <w:r w:rsidRPr="00640D82">
        <w:rPr>
          <w:rFonts w:ascii="Times New Roman" w:hAnsi="Times New Roman" w:cs="Times New Roman"/>
          <w:lang w:val="sq-AL"/>
        </w:rPr>
        <w:t>Ё</w:t>
      </w:r>
      <w:r w:rsidRPr="00640D82">
        <w:rPr>
          <w:lang w:val="sq-AL"/>
        </w:rPr>
        <w:t>MBIMIN E KART</w:t>
      </w:r>
      <w:r w:rsidRPr="00640D82">
        <w:rPr>
          <w:rFonts w:ascii="Times New Roman" w:hAnsi="Times New Roman" w:cs="Times New Roman"/>
          <w:lang w:val="sq-AL"/>
        </w:rPr>
        <w:t>Ё</w:t>
      </w:r>
      <w:r w:rsidRPr="00640D82">
        <w:rPr>
          <w:lang w:val="sq-AL"/>
        </w:rPr>
        <w:t>MONEDHAVE DHE MONEDHAVE SHQIPTARE TË DËMTUARA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TitulliTitull"/>
        <w:rPr>
          <w:lang w:val="sq-AL"/>
        </w:rPr>
      </w:pPr>
      <w:r w:rsidRPr="00640D82">
        <w:rPr>
          <w:lang w:val="sq-AL"/>
        </w:rPr>
        <w:t>Kreu I</w:t>
      </w:r>
    </w:p>
    <w:p w:rsidR="009D4F12" w:rsidRPr="00640D82" w:rsidRDefault="009D4F12" w:rsidP="009D4F12">
      <w:pPr>
        <w:pStyle w:val="TitulliTitull"/>
        <w:rPr>
          <w:lang w:val="sq-AL"/>
        </w:rPr>
      </w:pPr>
      <w:r w:rsidRPr="00640D82">
        <w:rPr>
          <w:lang w:val="sq-AL"/>
        </w:rPr>
        <w:t xml:space="preserve">Të përgjithshme 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1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>Objekti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Objekti i kësaj rregulloreje është përcaktimi i kritereve dhe procedurave</w:t>
      </w:r>
      <w:r w:rsidRPr="00640D82" w:rsidDel="005A379B">
        <w:rPr>
          <w:lang w:val="sq-AL"/>
        </w:rPr>
        <w:t xml:space="preserve"> </w:t>
      </w:r>
      <w:r w:rsidRPr="00640D82">
        <w:rPr>
          <w:lang w:val="sq-AL"/>
        </w:rPr>
        <w:t>për këmbimin e kartëmonedhave dhe monedhave shqiptare të dëmtuara dhe tërheqjen e tyre nga qarkullimi.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2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>Baza juridike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Kjo rregullore nxirret në bazë dhe për zbatim të: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a) nenit 12, shkronja “a”, nenit 43, shkronja “c” dhe kreut V të ligjit nr. 8269, datë 23.12.1</w:t>
      </w:r>
      <w:r>
        <w:rPr>
          <w:lang w:val="sq-AL"/>
        </w:rPr>
        <w:t>997 “Për Bankën e Shqipërisë”, të</w:t>
      </w:r>
      <w:r w:rsidRPr="00640D82">
        <w:rPr>
          <w:lang w:val="sq-AL"/>
        </w:rPr>
        <w:t xml:space="preserve"> ndryshuar; 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b) ligjit nr. 9662, datë 18.12.2006 “Për banka</w:t>
      </w:r>
      <w:r>
        <w:rPr>
          <w:lang w:val="sq-AL"/>
        </w:rPr>
        <w:t>t në Republikën e Shqipërisë”, të</w:t>
      </w:r>
      <w:r w:rsidRPr="00640D82">
        <w:rPr>
          <w:lang w:val="sq-AL"/>
        </w:rPr>
        <w:t xml:space="preserve"> ndryshuar, i cili këtu e më poshtë në këtë rregullore do të quhet “ligji për bankat”.</w:t>
      </w: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3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>Subjektet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 xml:space="preserve">Subjekte të kësaj rregulloreje janë bankat dhe degët e bankave të huaja të licencuara për të ushtruar veprimtari bankare dhe/ose financiare në Republikën e Shqipërisë, në përputhje me licencën e lëshuar nga Banka e Shqipërisë.  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4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>Përkufizime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1. Për qëllime të zbatimit të kësaj rregulloreje, termat e mëposhtëm do të kenë këto kuptime: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 xml:space="preserve">a) </w:t>
      </w:r>
      <w:r>
        <w:rPr>
          <w:lang w:val="sq-AL"/>
        </w:rPr>
        <w:t>“</w:t>
      </w:r>
      <w:r w:rsidRPr="00640D82">
        <w:rPr>
          <w:lang w:val="sq-AL"/>
        </w:rPr>
        <w:t>autoritete kompetente</w:t>
      </w:r>
      <w:r>
        <w:rPr>
          <w:lang w:val="sq-AL"/>
        </w:rPr>
        <w:t>”</w:t>
      </w:r>
      <w:r w:rsidRPr="00640D82">
        <w:rPr>
          <w:lang w:val="sq-AL"/>
        </w:rPr>
        <w:t xml:space="preserve"> janë autoritetet e zbatimit të ligjit në Shqipëri, të tilla si</w:t>
      </w:r>
      <w:r>
        <w:rPr>
          <w:lang w:val="sq-AL"/>
        </w:rPr>
        <w:t>:</w:t>
      </w:r>
      <w:r w:rsidRPr="00640D82">
        <w:rPr>
          <w:lang w:val="sq-AL"/>
        </w:rPr>
        <w:t xml:space="preserve"> Policia e Shtetit, prokuroria etj.;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 xml:space="preserve">b) </w:t>
      </w:r>
      <w:r>
        <w:rPr>
          <w:lang w:val="sq-AL"/>
        </w:rPr>
        <w:t>“</w:t>
      </w:r>
      <w:r w:rsidRPr="00640D82">
        <w:rPr>
          <w:lang w:val="sq-AL"/>
        </w:rPr>
        <w:t>pajisje antivjedhje</w:t>
      </w:r>
      <w:r>
        <w:rPr>
          <w:lang w:val="sq-AL"/>
        </w:rPr>
        <w:t>”</w:t>
      </w:r>
      <w:r w:rsidRPr="00640D82">
        <w:rPr>
          <w:lang w:val="sq-AL"/>
        </w:rPr>
        <w:t xml:space="preserve"> janë pajisjet e instaluara në vendet e depozitimit ose mjetet e transportit të kartëmonedhave, të cilat në rast tentative për vjedhje aktivizohen duke çngjyrosur, njollosur me bojë ose dëmtuar kartëmonedhat në një shkallë të tillë, që i bën të papërdorshme në transaksione </w:t>
      </w:r>
      <w:r w:rsidRPr="00252ED2">
        <w:rPr>
          <w:i/>
          <w:lang w:val="sq-AL"/>
        </w:rPr>
        <w:t>cash</w:t>
      </w:r>
      <w:r w:rsidRPr="00640D82">
        <w:rPr>
          <w:lang w:val="sq-AL"/>
        </w:rPr>
        <w:t xml:space="preserve">; 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c) “pliko” është ambalazhi i mbyllur</w:t>
      </w:r>
      <w:r>
        <w:rPr>
          <w:lang w:val="sq-AL"/>
        </w:rPr>
        <w:t>,</w:t>
      </w:r>
      <w:r w:rsidRPr="00640D82">
        <w:rPr>
          <w:lang w:val="sq-AL"/>
        </w:rPr>
        <w:t xml:space="preserve"> i tillë</w:t>
      </w:r>
      <w:r>
        <w:rPr>
          <w:lang w:val="sq-AL"/>
        </w:rPr>
        <w:t>:</w:t>
      </w:r>
      <w:r w:rsidRPr="00640D82">
        <w:rPr>
          <w:lang w:val="sq-AL"/>
        </w:rPr>
        <w:t xml:space="preserve"> si zarf, kuti ose qese ku vendosen kartëmonedha ose monedha metalike.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TitulliTitull"/>
        <w:rPr>
          <w:lang w:val="sq-AL"/>
        </w:rPr>
      </w:pPr>
      <w:r w:rsidRPr="00640D82">
        <w:rPr>
          <w:lang w:val="sq-AL"/>
        </w:rPr>
        <w:t>Kreu II</w:t>
      </w:r>
    </w:p>
    <w:p w:rsidR="009D4F12" w:rsidRPr="00640D82" w:rsidRDefault="009D4F12" w:rsidP="009D4F12">
      <w:pPr>
        <w:pStyle w:val="TitulliTitull"/>
        <w:rPr>
          <w:lang w:val="sq-AL"/>
        </w:rPr>
      </w:pPr>
      <w:r w:rsidRPr="00640D82">
        <w:rPr>
          <w:lang w:val="sq-AL"/>
        </w:rPr>
        <w:t xml:space="preserve">Kërkesat për këmbimin e kartëmonedhave dhe monedhave të dëmtuara 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5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>Kërkesa të përgjithshme për këmbimin e kartëmonedhave të dëmtuara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1. Banka e Shqipërisë, në përputhje me procedurat e përcaktuara në këtë rregullore, këmben kundrejt vlerës së tyre nominale kartëmonedhat lekë të dëmtuara në rastet kur: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a) ekziston më shumë se 50% e sipërfaqes së kartëmonedhës;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 xml:space="preserve">b) ekziston jo më shumë se 50% e sipërfaqes së kartëmonedhës, por </w:t>
      </w:r>
      <w:r>
        <w:rPr>
          <w:lang w:val="sq-AL"/>
        </w:rPr>
        <w:t>kartëmonedha, për arsye madhore</w:t>
      </w:r>
      <w:r w:rsidRPr="00640D82">
        <w:rPr>
          <w:lang w:val="sq-AL"/>
        </w:rPr>
        <w:t xml:space="preserve"> që nuk varen nga përdoruesi, është djegur, përmbytur apo dëmtuar dhe pjesët e munguara të kartëmonedhës janë shkatërruar plotësisht.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 xml:space="preserve">2. Aplikanti duhet të paraqesë një deklaratë me shkrim që shpjegon burimin e dëmtimit në rastin kur kartëmonedhat e paraqitura për këmbim janë të njollosura me bojë, të ndotura, të përmbytura ose të dëmtuara në mbi 50% të sipërfaqes së tyre. 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3. Në rastin kur ekziston jo më shumë se 50% e sipërfaqes së kartëmonedhës, përveç kërkesave të pikës 2 të këtij neni, Banka e Shqipërisë mund t’i kërkojë aplikantit paraqitjen e dokumenteve shtesë nga organet kompetente ose nga organet e pushtetit vendor</w:t>
      </w:r>
      <w:r>
        <w:rPr>
          <w:lang w:val="sq-AL"/>
        </w:rPr>
        <w:t>,</w:t>
      </w:r>
      <w:r w:rsidRPr="00640D82">
        <w:rPr>
          <w:lang w:val="sq-AL"/>
        </w:rPr>
        <w:t xml:space="preserve"> mbi burimin dhe rrethanat e dëmtimit.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6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>Kërkesa të përgjithshme për këmbimin e monedhave të dëmtuara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Banka e Shqipërisë, në përputhje me procedurat e përcaktuara në këtë rregullore, këmben kundrejt vlerës së tyre nominale monedhat lekë të dëmtuara në rastet kur ekziston më shumë se 50% e sipërfaqes së monedhës.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7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>Refuzimi për këmbimin e kartëmonedhave ose monedhave të dëmtuara</w:t>
      </w:r>
    </w:p>
    <w:p w:rsidR="009D4F12" w:rsidRPr="00640D82" w:rsidRDefault="009D4F12" w:rsidP="009D4F12">
      <w:pPr>
        <w:pStyle w:val="NeniTitull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1. Banka e Shqipërisë do të refuzojë këmbimin e kartëmonedhave dhe monedhave metalike të dëmtuara në rastin kur ka dijeni ose ka arsye të mjaftueshme për të besuar se: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a) kartëmonedhat dhe monedhat metalike t</w:t>
      </w:r>
      <w:r>
        <w:rPr>
          <w:lang w:val="sq-AL"/>
        </w:rPr>
        <w:t>ë</w:t>
      </w:r>
      <w:r w:rsidRPr="00640D82">
        <w:rPr>
          <w:lang w:val="sq-AL"/>
        </w:rPr>
        <w:t xml:space="preserve"> paraqitura për këmbim janë të dëmtuara qëllimisht; ose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b) kartëmonedhat dhe monedhat metalike t</w:t>
      </w:r>
      <w:r>
        <w:rPr>
          <w:lang w:val="sq-AL"/>
        </w:rPr>
        <w:t>ë</w:t>
      </w:r>
      <w:r w:rsidRPr="00640D82">
        <w:rPr>
          <w:lang w:val="sq-AL"/>
        </w:rPr>
        <w:t xml:space="preserve"> paraqitura për këmbim janë përfituar si pasojë e kryerjes së një vepre penale.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2. Kartëmonedhat dhe monedhat metalike t</w:t>
      </w:r>
      <w:r>
        <w:rPr>
          <w:lang w:val="sq-AL"/>
        </w:rPr>
        <w:t>ë</w:t>
      </w:r>
      <w:r w:rsidRPr="00640D82">
        <w:rPr>
          <w:lang w:val="sq-AL"/>
        </w:rPr>
        <w:t xml:space="preserve"> dëmtuara qëllimisht do të konfiskohen pa kompensim dhe do të asgjësohen sipas procedurave të Bankës së Shqipërisë. Kartëmonedhat dhe monedhat metalike me dëmtime të lehta</w:t>
      </w:r>
      <w:r>
        <w:rPr>
          <w:lang w:val="sq-AL"/>
        </w:rPr>
        <w:t>, të tilla:</w:t>
      </w:r>
      <w:r w:rsidRPr="00640D82">
        <w:rPr>
          <w:lang w:val="sq-AL"/>
        </w:rPr>
        <w:t xml:space="preserve"> si shënime ose fjalë të shkruara, njolla, vrima apo grisje të lehta, gërvishtje apo deformime t</w:t>
      </w:r>
      <w:r>
        <w:rPr>
          <w:lang w:val="sq-AL"/>
        </w:rPr>
        <w:t>ë</w:t>
      </w:r>
      <w:r w:rsidRPr="00640D82">
        <w:rPr>
          <w:lang w:val="sq-AL"/>
        </w:rPr>
        <w:t xml:space="preserve"> lehta etj., nuk do të konsiderohen si të dëmtuara qëllimisht.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3. Kartëmonedhat dhe monedhat metalike t</w:t>
      </w:r>
      <w:r>
        <w:rPr>
          <w:lang w:val="sq-AL"/>
        </w:rPr>
        <w:t>ë</w:t>
      </w:r>
      <w:r w:rsidRPr="00640D82">
        <w:rPr>
          <w:lang w:val="sq-AL"/>
        </w:rPr>
        <w:t xml:space="preserve"> klasifikuara sipas shkronjës “b” të pikës 1 të këtij neni do të kualifikohen për këmbim vetëm nëse pas verifikimit me autoritetet kompetente përcaktohet se burimi i kartëmonedhave të paraqitura është i ligjshëm. 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8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>Kartëmonedhat ose monedhat e dëmtuara qëllimisht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1. Kartëmonedhat ose monedhat e formuara nga bashkimi i dy ose më shumë pjesëve nga kartëmonedha ose monedha të ndryshme do të konsiderohen si kartëmonedha ose monedha të dëmtuara qëllimisht.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2. Kartëmonedhat ose monedhat e cilësuara si të dëmtuara qëllimisht, sipas pik</w:t>
      </w:r>
      <w:r>
        <w:rPr>
          <w:lang w:val="sq-AL"/>
        </w:rPr>
        <w:t>ë</w:t>
      </w:r>
      <w:r w:rsidRPr="00640D82">
        <w:rPr>
          <w:lang w:val="sq-AL"/>
        </w:rPr>
        <w:t>s 1 t</w:t>
      </w:r>
      <w:r>
        <w:rPr>
          <w:lang w:val="sq-AL"/>
        </w:rPr>
        <w:t>ë</w:t>
      </w:r>
      <w:r w:rsidRPr="00640D82">
        <w:rPr>
          <w:lang w:val="sq-AL"/>
        </w:rPr>
        <w:t xml:space="preserve"> këtij neni, do të konfiskohen pa kompensim dhe do të shkatërrohen sipas procedurave në Bankën e Shqipërisë.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9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 xml:space="preserve">Kartëmonedhat e dëmtuara nga pajisjet e sigurisë ose pajisjet për trajtimin dhe shpërndarjen e kartëmonedhave 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1. Banka e Shqipërisë, në përputhje me procedurat e përcaktuara në këtë rregullore, këmben kartëmonedhat lekë të dëmtuara nga pajisjet antivjedhje ose pajisjet për trajtimin dhe shpërndarjen e kartëmonedhave.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2. Në rastin e këmbimit të përcaktuar në pikën 1 të këtij neni zbatohen kërkesat e mëposhtme: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a) kartëmonedhat duhet të paraqiten për këmbim në grupe prej 100 copë kartëmonedhash, me kusht që shuma e kartëmonedhave lekë të paraqitura të jetë e mjaftueshme për të formuar grupe të tilla;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b) aplikantët duhet të paraqesin një shpjegim me shkrim mbi shkakun dhe natyrën e dëmtimit.</w:t>
      </w:r>
    </w:p>
    <w:p w:rsidR="009D4F12" w:rsidRDefault="009D4F12" w:rsidP="009D4F12">
      <w:pPr>
        <w:pStyle w:val="VENDOSI"/>
        <w:keepNext w:val="0"/>
        <w:rPr>
          <w:lang w:val="sq-AL"/>
        </w:rPr>
      </w:pPr>
    </w:p>
    <w:p w:rsidR="009D4F12" w:rsidRPr="00640D82" w:rsidRDefault="009D4F12" w:rsidP="009D4F12">
      <w:pPr>
        <w:pStyle w:val="VENDOSI"/>
        <w:rPr>
          <w:lang w:val="sq-AL"/>
        </w:rPr>
      </w:pPr>
      <w:r w:rsidRPr="00640D82">
        <w:rPr>
          <w:lang w:val="sq-AL"/>
        </w:rPr>
        <w:t>KREU III</w:t>
      </w:r>
    </w:p>
    <w:p w:rsidR="009D4F12" w:rsidRPr="00640D82" w:rsidRDefault="009D4F12" w:rsidP="009D4F12">
      <w:pPr>
        <w:pStyle w:val="VENDOSI"/>
        <w:rPr>
          <w:lang w:val="sq-AL"/>
        </w:rPr>
      </w:pPr>
      <w:r w:rsidRPr="00640D82">
        <w:rPr>
          <w:lang w:val="sq-AL"/>
        </w:rPr>
        <w:t>Këmbimi i kartëmonedhave dhe</w:t>
      </w:r>
      <w:r>
        <w:rPr>
          <w:lang w:val="sq-AL"/>
        </w:rPr>
        <w:t xml:space="preserve"> I</w:t>
      </w:r>
      <w:r w:rsidRPr="00640D82">
        <w:rPr>
          <w:lang w:val="sq-AL"/>
        </w:rPr>
        <w:t xml:space="preserve"> monedhave të dëmtuara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10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 xml:space="preserve">Dorëzimi për këmbim i kartëmonedhave dhe </w:t>
      </w:r>
      <w:r>
        <w:rPr>
          <w:lang w:val="sq-AL"/>
        </w:rPr>
        <w:t xml:space="preserve">i </w:t>
      </w:r>
      <w:r w:rsidRPr="00640D82">
        <w:rPr>
          <w:lang w:val="sq-AL"/>
        </w:rPr>
        <w:t>monedhave të dëmtuara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1. Kartëmonedhat dhe monedhat e dëmtuara dorëzohen për këmbim në sportelet e subjekteve</w:t>
      </w:r>
      <w:r>
        <w:rPr>
          <w:lang w:val="sq-AL"/>
        </w:rPr>
        <w:t>,</w:t>
      </w:r>
      <w:r w:rsidRPr="00640D82">
        <w:rPr>
          <w:lang w:val="sq-AL"/>
        </w:rPr>
        <w:t xml:space="preserve"> së bashku me kërkesën për këmbim të p</w:t>
      </w:r>
      <w:r>
        <w:rPr>
          <w:lang w:val="sq-AL"/>
        </w:rPr>
        <w:t>lotësuar sipas aneksit 1, bashkë</w:t>
      </w:r>
      <w:r w:rsidRPr="00640D82">
        <w:rPr>
          <w:lang w:val="sq-AL"/>
        </w:rPr>
        <w:t>ngjitur kësaj rregulloreje, si dhe kur është e zbatueshme, çdo dokument tjetër të nevojshëm për përcaktimin e burimit dhe rrethanat e dëmtimit të tyre.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2. Subjektet dërgojnë në Bankën e Shqipërisë, në pliko të mbyllur, kartëmonedhat e dëmtuara së bashku me kërkesën për këmbimin e tyre, jo më vonë se 10 ditë pune nga data e plotësimit të kërkesës nga klienti.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 xml:space="preserve"> </w:t>
      </w: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11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 xml:space="preserve">Këmbimi i kartëmonedhave dhe </w:t>
      </w:r>
      <w:r>
        <w:rPr>
          <w:lang w:val="sq-AL"/>
        </w:rPr>
        <w:t xml:space="preserve">i </w:t>
      </w:r>
      <w:r w:rsidRPr="00640D82">
        <w:rPr>
          <w:lang w:val="sq-AL"/>
        </w:rPr>
        <w:t>monedhave në sportel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1. Subjektet, pavarësisht përcaktimeve në pikën 2 të nenit 10 të kësaj rregulloreje, këmbejnë në sportel kundrejt vlerës nominale kartëmonedhat me dëmtime të lehta</w:t>
      </w:r>
      <w:r>
        <w:rPr>
          <w:lang w:val="sq-AL"/>
        </w:rPr>
        <w:t>,</w:t>
      </w:r>
      <w:r w:rsidRPr="00640D82">
        <w:rPr>
          <w:lang w:val="sq-AL"/>
        </w:rPr>
        <w:t xml:space="preserve"> të tilla si</w:t>
      </w:r>
      <w:r>
        <w:rPr>
          <w:lang w:val="sq-AL"/>
        </w:rPr>
        <w:t>:</w:t>
      </w:r>
      <w:r w:rsidRPr="00640D82">
        <w:rPr>
          <w:lang w:val="sq-AL"/>
        </w:rPr>
        <w:t xml:space="preserve"> shënime ose fjalë të shkruara, njolla, vrima apo grisje të lehta etj.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2. Kartëmonedhat e këmbyera</w:t>
      </w:r>
      <w:r>
        <w:rPr>
          <w:lang w:val="sq-AL"/>
        </w:rPr>
        <w:t>,</w:t>
      </w:r>
      <w:r w:rsidRPr="00640D82">
        <w:rPr>
          <w:lang w:val="sq-AL"/>
        </w:rPr>
        <w:t xml:space="preserve"> sipas pikës 1 të këtij neni, dërgohen në Bankën e Shqipërisë së bashku me kartëmonedhat e tjera të rezultuara të papërshtatshme për qarkullim nga procesi i përpunimit.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12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 xml:space="preserve">Këmbimi i kartëmonedhave dhe </w:t>
      </w:r>
      <w:r>
        <w:rPr>
          <w:lang w:val="sq-AL"/>
        </w:rPr>
        <w:t xml:space="preserve">i </w:t>
      </w:r>
      <w:r w:rsidRPr="00640D82">
        <w:rPr>
          <w:lang w:val="sq-AL"/>
        </w:rPr>
        <w:t>monedhave në Bankën e Shqipërisë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1. Kartëmonedhat dhe monedhat e dëmtuara administrohen në Departamentin e Emisionit pranë Bankës së Shqipërisë.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2. Banka e Shqipërisë, brenda 30 ditëve pune nga administrimi i plikove, kryen vlerësimin e kartëmonedhave ose monedhave dhe në përfundim të procesit përcakton sasinë e kartëmonedhave ose monedhave që përmbushin kriteret për këmbim.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3. Vlera e kartëmonedhave dhe monedhave që përmbushin kushtet për këmbim i kalohet personit që i ka dorëzuar nëpërmjet kreditimit të llogarisë së subjekteve.</w:t>
      </w: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 xml:space="preserve">4. Subjektet sigurojnë që vlera e kartëmonedhave ose </w:t>
      </w:r>
      <w:r>
        <w:rPr>
          <w:lang w:val="sq-AL"/>
        </w:rPr>
        <w:t xml:space="preserve">e </w:t>
      </w:r>
      <w:r w:rsidRPr="00640D82">
        <w:rPr>
          <w:lang w:val="sq-AL"/>
        </w:rPr>
        <w:t>monedhave të këmbyera t’i  kalohet menjëherë personit që i ka dorëzuar.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TitulliTitull"/>
        <w:rPr>
          <w:lang w:val="sq-AL"/>
        </w:rPr>
      </w:pPr>
      <w:r w:rsidRPr="00640D82">
        <w:rPr>
          <w:lang w:val="sq-AL"/>
        </w:rPr>
        <w:t>Kreu IV</w:t>
      </w:r>
    </w:p>
    <w:p w:rsidR="009D4F12" w:rsidRPr="00640D82" w:rsidRDefault="009D4F12" w:rsidP="009D4F12">
      <w:pPr>
        <w:pStyle w:val="TitulliTitull"/>
        <w:rPr>
          <w:lang w:val="sq-AL"/>
        </w:rPr>
      </w:pPr>
      <w:r w:rsidRPr="00640D82">
        <w:rPr>
          <w:lang w:val="sq-AL"/>
        </w:rPr>
        <w:t xml:space="preserve">Dispozita të fundit 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13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>Dispozitë kalimtare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Kartëmonedhat ose monedhat e dëmtuara të dërguara</w:t>
      </w:r>
      <w:r>
        <w:rPr>
          <w:lang w:val="sq-AL"/>
        </w:rPr>
        <w:t>,</w:t>
      </w:r>
      <w:r w:rsidRPr="00640D82">
        <w:rPr>
          <w:lang w:val="sq-AL"/>
        </w:rPr>
        <w:t xml:space="preserve"> për këmbim përpara hyrjes në fuqi të kësaj rregulloreje dhe që pas hyrjes në fuqi nuk janë shqyrtuar akoma</w:t>
      </w:r>
      <w:r>
        <w:rPr>
          <w:lang w:val="sq-AL"/>
        </w:rPr>
        <w:t>,</w:t>
      </w:r>
      <w:r w:rsidRPr="00640D82">
        <w:rPr>
          <w:lang w:val="sq-AL"/>
        </w:rPr>
        <w:t xml:space="preserve"> do të trajtohen sipas dispozitave të kësaj rregulloreje.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14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>Masat mbikëqyrëse dhe ndëshkimore</w:t>
      </w:r>
    </w:p>
    <w:p w:rsidR="009D4F12" w:rsidRPr="00640D82" w:rsidRDefault="009D4F12" w:rsidP="009D4F12">
      <w:pPr>
        <w:pStyle w:val="Paragrafi"/>
        <w:rPr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Banka e Shqipërisë, në rast të mosplotësimit nga subjektet të detyrimeve të kësaj rregulloreje, zbaton masat mbikëqyrëse dhe/ose ndëshkimore të parashikuara në ligjin për bankat dhe në aktet e tjera nënligjore në zbatim të tij.</w:t>
      </w:r>
    </w:p>
    <w:p w:rsidR="009D4F12" w:rsidRPr="00FC3FD1" w:rsidRDefault="009D4F12" w:rsidP="009D4F12">
      <w:pPr>
        <w:pStyle w:val="Paragrafi"/>
        <w:rPr>
          <w:sz w:val="16"/>
          <w:lang w:val="sq-AL"/>
        </w:rPr>
      </w:pPr>
    </w:p>
    <w:p w:rsidR="009D4F12" w:rsidRPr="00640D82" w:rsidRDefault="009D4F12" w:rsidP="009D4F12">
      <w:pPr>
        <w:pStyle w:val="NeniNr"/>
        <w:rPr>
          <w:lang w:val="sq-AL"/>
        </w:rPr>
      </w:pPr>
      <w:r w:rsidRPr="00640D82">
        <w:rPr>
          <w:lang w:val="sq-AL"/>
        </w:rPr>
        <w:t>Neni 15</w:t>
      </w:r>
    </w:p>
    <w:p w:rsidR="009D4F12" w:rsidRPr="00640D82" w:rsidRDefault="009D4F12" w:rsidP="009D4F12">
      <w:pPr>
        <w:pStyle w:val="NeniTitull"/>
        <w:rPr>
          <w:lang w:val="sq-AL"/>
        </w:rPr>
      </w:pPr>
      <w:r w:rsidRPr="00640D82">
        <w:rPr>
          <w:lang w:val="sq-AL"/>
        </w:rPr>
        <w:t>Dispozitë e fundit</w:t>
      </w:r>
    </w:p>
    <w:p w:rsidR="009D4F12" w:rsidRPr="00FC3FD1" w:rsidRDefault="009D4F12" w:rsidP="009D4F12">
      <w:pPr>
        <w:pStyle w:val="Paragrafi"/>
        <w:rPr>
          <w:sz w:val="16"/>
          <w:lang w:val="sq-AL"/>
        </w:rPr>
      </w:pPr>
    </w:p>
    <w:p w:rsidR="009D4F12" w:rsidRPr="00640D82" w:rsidRDefault="009D4F12" w:rsidP="009D4F12">
      <w:pPr>
        <w:pStyle w:val="Paragrafi"/>
        <w:rPr>
          <w:lang w:val="sq-AL"/>
        </w:rPr>
      </w:pPr>
      <w:r w:rsidRPr="00640D82">
        <w:rPr>
          <w:lang w:val="sq-AL"/>
        </w:rPr>
        <w:t>Aneksi bashkëlidhur kësaj rregulloreje është pjesë përbërëse e saj.</w:t>
      </w:r>
    </w:p>
    <w:p w:rsidR="009D4F12" w:rsidRDefault="009D4F12" w:rsidP="009D4F12">
      <w:pPr>
        <w:pStyle w:val="Paragrafi"/>
        <w:rPr>
          <w:lang w:val="sq-AL"/>
        </w:rPr>
      </w:pPr>
    </w:p>
    <w:p w:rsidR="009D4F12" w:rsidRPr="0028625B" w:rsidRDefault="009D4F12" w:rsidP="009D4F12">
      <w:pPr>
        <w:pStyle w:val="Paragrafi"/>
        <w:rPr>
          <w:sz w:val="8"/>
          <w:lang w:val="sq-AL"/>
        </w:rPr>
      </w:pPr>
    </w:p>
    <w:p w:rsidR="009D4F12" w:rsidRPr="00640D82" w:rsidRDefault="009D4F12" w:rsidP="009D4F12">
      <w:pPr>
        <w:pStyle w:val="TitulliTitull"/>
        <w:rPr>
          <w:lang w:val="sq-AL"/>
        </w:rPr>
      </w:pPr>
      <w:r w:rsidRPr="00640D82">
        <w:rPr>
          <w:lang w:val="sq-AL"/>
        </w:rPr>
        <w:t>ANEKSI 1</w:t>
      </w:r>
    </w:p>
    <w:p w:rsidR="009D4F12" w:rsidRPr="00FC3FD1" w:rsidRDefault="009D4F12" w:rsidP="009D4F12">
      <w:pPr>
        <w:pStyle w:val="TitulliTitull"/>
        <w:rPr>
          <w:sz w:val="12"/>
          <w:lang w:val="sq-AL"/>
        </w:rPr>
      </w:pPr>
    </w:p>
    <w:p w:rsidR="009D4F12" w:rsidRPr="00640D82" w:rsidRDefault="009D4F12" w:rsidP="009D4F12">
      <w:pPr>
        <w:pStyle w:val="TitulliTitull"/>
        <w:rPr>
          <w:lang w:val="sq-AL"/>
        </w:rPr>
      </w:pPr>
      <w:r w:rsidRPr="00640D82">
        <w:rPr>
          <w:lang w:val="sq-AL"/>
        </w:rPr>
        <w:t>K</w:t>
      </w:r>
      <w:r w:rsidRPr="00640D82">
        <w:rPr>
          <w:rFonts w:ascii="Times New Roman" w:hAnsi="Times New Roman" w:cs="Times New Roman"/>
          <w:lang w:val="sq-AL"/>
        </w:rPr>
        <w:t>Ё</w:t>
      </w:r>
      <w:r w:rsidRPr="00640D82">
        <w:rPr>
          <w:lang w:val="sq-AL"/>
        </w:rPr>
        <w:t>RKES</w:t>
      </w:r>
      <w:r w:rsidRPr="00640D82">
        <w:rPr>
          <w:rFonts w:ascii="Times New Roman" w:hAnsi="Times New Roman" w:cs="Times New Roman"/>
          <w:lang w:val="sq-AL"/>
        </w:rPr>
        <w:t>Ё</w:t>
      </w:r>
    </w:p>
    <w:p w:rsidR="009D4F12" w:rsidRPr="00640D82" w:rsidRDefault="009D4F12" w:rsidP="009D4F12">
      <w:pPr>
        <w:pStyle w:val="Paragrafi"/>
        <w:ind w:firstLine="0"/>
        <w:rPr>
          <w:sz w:val="14"/>
          <w:lang w:val="sq-AL"/>
        </w:rPr>
      </w:pPr>
    </w:p>
    <w:p w:rsidR="009D4F12" w:rsidRDefault="009D4F12" w:rsidP="009D4F12">
      <w:pPr>
        <w:pStyle w:val="TitulliTitull"/>
        <w:rPr>
          <w:lang w:val="sq-AL"/>
        </w:rPr>
      </w:pPr>
      <w:r w:rsidRPr="00640D82">
        <w:rPr>
          <w:lang w:val="sq-AL"/>
        </w:rPr>
        <w:t>PËR K</w:t>
      </w:r>
      <w:r w:rsidRPr="00640D82">
        <w:rPr>
          <w:rFonts w:ascii="Times New Roman" w:hAnsi="Times New Roman" w:cs="Times New Roman"/>
          <w:lang w:val="sq-AL"/>
        </w:rPr>
        <w:t>Ё</w:t>
      </w:r>
      <w:r w:rsidRPr="00640D82">
        <w:rPr>
          <w:lang w:val="sq-AL"/>
        </w:rPr>
        <w:t>MBIMIN E KART</w:t>
      </w:r>
      <w:r w:rsidRPr="00640D82">
        <w:rPr>
          <w:rFonts w:ascii="Times New Roman" w:hAnsi="Times New Roman" w:cs="Times New Roman"/>
          <w:lang w:val="sq-AL"/>
        </w:rPr>
        <w:t>Ё</w:t>
      </w:r>
      <w:r w:rsidRPr="00640D82">
        <w:rPr>
          <w:lang w:val="sq-AL"/>
        </w:rPr>
        <w:t xml:space="preserve">MONEDHAVE DHE </w:t>
      </w:r>
      <w:r>
        <w:rPr>
          <w:lang w:val="sq-AL"/>
        </w:rPr>
        <w:t xml:space="preserve">E </w:t>
      </w:r>
      <w:r w:rsidRPr="00640D82">
        <w:rPr>
          <w:lang w:val="sq-AL"/>
        </w:rPr>
        <w:t>MONEDHA</w:t>
      </w:r>
      <w:r>
        <w:rPr>
          <w:lang w:val="sq-AL"/>
        </w:rPr>
        <w:t>VE</w:t>
      </w:r>
      <w:r w:rsidRPr="00640D82">
        <w:rPr>
          <w:lang w:val="sq-AL"/>
        </w:rPr>
        <w:t xml:space="preserve"> METALIKE </w:t>
      </w:r>
    </w:p>
    <w:p w:rsidR="009D4F12" w:rsidRPr="00640D82" w:rsidRDefault="009D4F12" w:rsidP="009D4F12">
      <w:pPr>
        <w:pStyle w:val="TitulliTitull"/>
        <w:rPr>
          <w:lang w:val="sq-AL"/>
        </w:rPr>
      </w:pPr>
      <w:r w:rsidRPr="00640D82">
        <w:rPr>
          <w:lang w:val="sq-AL"/>
        </w:rPr>
        <w:t>T</w:t>
      </w:r>
      <w:r w:rsidRPr="00640D82">
        <w:rPr>
          <w:rFonts w:ascii="Times New Roman" w:hAnsi="Times New Roman" w:cs="Times New Roman"/>
          <w:lang w:val="sq-AL"/>
        </w:rPr>
        <w:t>Ё</w:t>
      </w:r>
      <w:r w:rsidRPr="00640D82">
        <w:rPr>
          <w:lang w:val="sq-AL"/>
        </w:rPr>
        <w:t xml:space="preserve"> D</w:t>
      </w:r>
      <w:r w:rsidRPr="00640D82">
        <w:rPr>
          <w:rFonts w:ascii="Times New Roman" w:hAnsi="Times New Roman" w:cs="Times New Roman"/>
          <w:lang w:val="sq-AL"/>
        </w:rPr>
        <w:t>Ё</w:t>
      </w:r>
      <w:r w:rsidRPr="00640D82">
        <w:rPr>
          <w:lang w:val="sq-AL"/>
        </w:rPr>
        <w:t>MTUARA</w:t>
      </w:r>
    </w:p>
    <w:p w:rsidR="009D4F12" w:rsidRPr="00640D82" w:rsidRDefault="009D4F12" w:rsidP="009D4F12">
      <w:pPr>
        <w:pStyle w:val="Paragrafi"/>
        <w:rPr>
          <w:sz w:val="18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56"/>
        <w:gridCol w:w="1838"/>
        <w:gridCol w:w="655"/>
        <w:gridCol w:w="1093"/>
        <w:gridCol w:w="1629"/>
        <w:gridCol w:w="1451"/>
      </w:tblGrid>
      <w:tr w:rsidR="009D4F12" w:rsidRPr="00640D82" w:rsidTr="00AB12AB">
        <w:trPr>
          <w:trHeight w:val="335"/>
          <w:jc w:val="center"/>
        </w:trPr>
        <w:tc>
          <w:tcPr>
            <w:tcW w:w="2056" w:type="dxa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90A95">
              <w:rPr>
                <w:b/>
                <w:sz w:val="20"/>
                <w:szCs w:val="20"/>
                <w:lang w:val="sq-AL"/>
              </w:rPr>
              <w:t xml:space="preserve">Emri </w:t>
            </w:r>
          </w:p>
        </w:tc>
        <w:tc>
          <w:tcPr>
            <w:tcW w:w="6666" w:type="dxa"/>
            <w:gridSpan w:val="5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cantSplit/>
          <w:trHeight w:val="197"/>
          <w:jc w:val="center"/>
        </w:trPr>
        <w:tc>
          <w:tcPr>
            <w:tcW w:w="2056" w:type="dxa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90A95">
              <w:rPr>
                <w:b/>
                <w:sz w:val="20"/>
                <w:szCs w:val="20"/>
                <w:lang w:val="sq-AL"/>
              </w:rPr>
              <w:t xml:space="preserve">Mbiemri  </w:t>
            </w:r>
          </w:p>
        </w:tc>
        <w:tc>
          <w:tcPr>
            <w:tcW w:w="6666" w:type="dxa"/>
            <w:gridSpan w:val="5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trHeight w:val="614"/>
          <w:jc w:val="center"/>
        </w:trPr>
        <w:tc>
          <w:tcPr>
            <w:tcW w:w="2056" w:type="dxa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90A95">
              <w:rPr>
                <w:b/>
                <w:sz w:val="20"/>
                <w:szCs w:val="20"/>
                <w:lang w:val="sq-AL"/>
              </w:rPr>
              <w:t xml:space="preserve">Adresa </w:t>
            </w:r>
          </w:p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6666" w:type="dxa"/>
            <w:gridSpan w:val="5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trHeight w:val="361"/>
          <w:jc w:val="center"/>
        </w:trPr>
        <w:tc>
          <w:tcPr>
            <w:tcW w:w="2056" w:type="dxa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90A95">
              <w:rPr>
                <w:b/>
                <w:sz w:val="20"/>
                <w:szCs w:val="20"/>
                <w:lang w:val="sq-AL"/>
              </w:rPr>
              <w:t>Data</w:t>
            </w:r>
          </w:p>
        </w:tc>
        <w:tc>
          <w:tcPr>
            <w:tcW w:w="6666" w:type="dxa"/>
            <w:gridSpan w:val="5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trHeight w:val="287"/>
          <w:jc w:val="center"/>
        </w:trPr>
        <w:tc>
          <w:tcPr>
            <w:tcW w:w="4549" w:type="dxa"/>
            <w:gridSpan w:val="3"/>
            <w:tcBorders>
              <w:bottom w:val="single" w:sz="18" w:space="0" w:color="auto"/>
            </w:tcBorders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90A95">
              <w:rPr>
                <w:b/>
                <w:sz w:val="20"/>
                <w:szCs w:val="20"/>
                <w:lang w:val="sq-AL"/>
              </w:rPr>
              <w:t xml:space="preserve">Numri i telefonit                                             </w:t>
            </w:r>
          </w:p>
        </w:tc>
        <w:tc>
          <w:tcPr>
            <w:tcW w:w="4173" w:type="dxa"/>
            <w:gridSpan w:val="3"/>
            <w:tcBorders>
              <w:bottom w:val="single" w:sz="18" w:space="0" w:color="auto"/>
            </w:tcBorders>
          </w:tcPr>
          <w:p w:rsidR="009D4F12" w:rsidRPr="00F47B6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F47B65">
              <w:rPr>
                <w:b/>
                <w:sz w:val="20"/>
                <w:szCs w:val="20"/>
                <w:lang w:val="sq-AL"/>
              </w:rPr>
              <w:t>E-mail</w:t>
            </w:r>
          </w:p>
        </w:tc>
      </w:tr>
      <w:tr w:rsidR="009D4F12" w:rsidRPr="00640D82" w:rsidTr="00AB12AB">
        <w:trPr>
          <w:cantSplit/>
          <w:trHeight w:val="103"/>
          <w:jc w:val="center"/>
        </w:trPr>
        <w:tc>
          <w:tcPr>
            <w:tcW w:w="205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590A95" w:rsidRDefault="009D4F12" w:rsidP="00AB12AB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590A95">
              <w:rPr>
                <w:b/>
                <w:sz w:val="20"/>
                <w:szCs w:val="20"/>
                <w:lang w:val="sq-AL"/>
              </w:rPr>
              <w:t>(Vlera për këmbimin)</w:t>
            </w:r>
          </w:p>
        </w:tc>
        <w:tc>
          <w:tcPr>
            <w:tcW w:w="183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D4F12" w:rsidRPr="00590A95" w:rsidRDefault="009D4F12" w:rsidP="00AB12AB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590A95">
              <w:rPr>
                <w:b/>
                <w:sz w:val="20"/>
                <w:szCs w:val="20"/>
                <w:lang w:val="sq-AL"/>
              </w:rPr>
              <w:t>Prerjet</w:t>
            </w:r>
          </w:p>
        </w:tc>
        <w:tc>
          <w:tcPr>
            <w:tcW w:w="1748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D4F12" w:rsidRPr="00590A95" w:rsidRDefault="009D4F12" w:rsidP="00AB12AB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590A95">
              <w:rPr>
                <w:b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2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D4F12" w:rsidRPr="00590A95" w:rsidRDefault="009D4F12" w:rsidP="00AB12AB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590A95">
              <w:rPr>
                <w:b/>
                <w:sz w:val="20"/>
                <w:szCs w:val="20"/>
                <w:lang w:val="sq-AL"/>
              </w:rPr>
              <w:t>Vlera totale</w:t>
            </w:r>
          </w:p>
        </w:tc>
        <w:tc>
          <w:tcPr>
            <w:tcW w:w="14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D4F12" w:rsidRPr="00590A95" w:rsidRDefault="009D4F12" w:rsidP="00AB12AB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590A95">
              <w:rPr>
                <w:b/>
                <w:sz w:val="20"/>
                <w:szCs w:val="20"/>
                <w:lang w:val="sq-AL"/>
              </w:rPr>
              <w:t>Për Bankën e Shqipërisë</w:t>
            </w:r>
          </w:p>
        </w:tc>
      </w:tr>
      <w:tr w:rsidR="009D4F12" w:rsidRPr="00640D82" w:rsidTr="00AB12AB">
        <w:trPr>
          <w:cantSplit/>
          <w:trHeight w:val="98"/>
          <w:jc w:val="center"/>
        </w:trPr>
        <w:tc>
          <w:tcPr>
            <w:tcW w:w="205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0D82">
              <w:rPr>
                <w:sz w:val="20"/>
                <w:szCs w:val="20"/>
                <w:lang w:val="sq-AL"/>
              </w:rPr>
              <w:t xml:space="preserve"> 1 </w:t>
            </w:r>
            <w:r>
              <w:rPr>
                <w:sz w:val="20"/>
                <w:szCs w:val="20"/>
                <w:lang w:val="sq-AL"/>
              </w:rPr>
              <w:t>l</w:t>
            </w:r>
            <w:r w:rsidRPr="00640D82">
              <w:rPr>
                <w:sz w:val="20"/>
                <w:szCs w:val="20"/>
                <w:lang w:val="sq-AL"/>
              </w:rPr>
              <w:t>ek</w:t>
            </w:r>
          </w:p>
        </w:tc>
        <w:tc>
          <w:tcPr>
            <w:tcW w:w="1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cantSplit/>
          <w:trHeight w:val="98"/>
          <w:jc w:val="center"/>
        </w:trPr>
        <w:tc>
          <w:tcPr>
            <w:tcW w:w="205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0D82">
              <w:rPr>
                <w:sz w:val="20"/>
                <w:szCs w:val="20"/>
                <w:lang w:val="sq-AL"/>
              </w:rPr>
              <w:t xml:space="preserve"> 5 </w:t>
            </w:r>
            <w:r>
              <w:rPr>
                <w:sz w:val="20"/>
                <w:szCs w:val="20"/>
                <w:lang w:val="sq-AL"/>
              </w:rPr>
              <w:t>l</w:t>
            </w:r>
            <w:r w:rsidRPr="00640D82">
              <w:rPr>
                <w:sz w:val="20"/>
                <w:szCs w:val="20"/>
                <w:lang w:val="sq-AL"/>
              </w:rPr>
              <w:t>ekë</w:t>
            </w:r>
          </w:p>
        </w:tc>
        <w:tc>
          <w:tcPr>
            <w:tcW w:w="1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cantSplit/>
          <w:trHeight w:val="98"/>
          <w:jc w:val="center"/>
        </w:trPr>
        <w:tc>
          <w:tcPr>
            <w:tcW w:w="205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0D82">
              <w:rPr>
                <w:sz w:val="20"/>
                <w:szCs w:val="20"/>
                <w:lang w:val="sq-AL"/>
              </w:rPr>
              <w:t xml:space="preserve"> 10 </w:t>
            </w:r>
            <w:r>
              <w:rPr>
                <w:sz w:val="20"/>
                <w:szCs w:val="20"/>
                <w:lang w:val="sq-AL"/>
              </w:rPr>
              <w:t>l</w:t>
            </w:r>
            <w:r w:rsidRPr="00640D82">
              <w:rPr>
                <w:sz w:val="20"/>
                <w:szCs w:val="20"/>
                <w:lang w:val="sq-AL"/>
              </w:rPr>
              <w:t>ekë</w:t>
            </w:r>
          </w:p>
        </w:tc>
        <w:tc>
          <w:tcPr>
            <w:tcW w:w="1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cantSplit/>
          <w:trHeight w:val="98"/>
          <w:jc w:val="center"/>
        </w:trPr>
        <w:tc>
          <w:tcPr>
            <w:tcW w:w="205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0D82">
              <w:rPr>
                <w:sz w:val="20"/>
                <w:szCs w:val="20"/>
                <w:lang w:val="sq-AL"/>
              </w:rPr>
              <w:t xml:space="preserve"> 20 </w:t>
            </w:r>
            <w:r>
              <w:rPr>
                <w:sz w:val="20"/>
                <w:szCs w:val="20"/>
                <w:lang w:val="sq-AL"/>
              </w:rPr>
              <w:t>l</w:t>
            </w:r>
            <w:r w:rsidRPr="00640D82">
              <w:rPr>
                <w:sz w:val="20"/>
                <w:szCs w:val="20"/>
                <w:lang w:val="sq-AL"/>
              </w:rPr>
              <w:t>ekë</w:t>
            </w:r>
          </w:p>
        </w:tc>
        <w:tc>
          <w:tcPr>
            <w:tcW w:w="1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cantSplit/>
          <w:trHeight w:val="98"/>
          <w:jc w:val="center"/>
        </w:trPr>
        <w:tc>
          <w:tcPr>
            <w:tcW w:w="205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0D82">
              <w:rPr>
                <w:sz w:val="20"/>
                <w:szCs w:val="20"/>
                <w:lang w:val="sq-AL"/>
              </w:rPr>
              <w:t xml:space="preserve"> 50 </w:t>
            </w:r>
            <w:r>
              <w:rPr>
                <w:sz w:val="20"/>
                <w:szCs w:val="20"/>
                <w:lang w:val="sq-AL"/>
              </w:rPr>
              <w:t>l</w:t>
            </w:r>
            <w:r w:rsidRPr="00640D82">
              <w:rPr>
                <w:sz w:val="20"/>
                <w:szCs w:val="20"/>
                <w:lang w:val="sq-AL"/>
              </w:rPr>
              <w:t>ekë</w:t>
            </w:r>
          </w:p>
        </w:tc>
        <w:tc>
          <w:tcPr>
            <w:tcW w:w="1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cantSplit/>
          <w:trHeight w:val="98"/>
          <w:jc w:val="center"/>
        </w:trPr>
        <w:tc>
          <w:tcPr>
            <w:tcW w:w="205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0D82">
              <w:rPr>
                <w:sz w:val="20"/>
                <w:szCs w:val="20"/>
                <w:lang w:val="sq-AL"/>
              </w:rPr>
              <w:t xml:space="preserve">100 </w:t>
            </w:r>
            <w:r>
              <w:rPr>
                <w:sz w:val="20"/>
                <w:szCs w:val="20"/>
                <w:lang w:val="sq-AL"/>
              </w:rPr>
              <w:t>l</w:t>
            </w:r>
            <w:r w:rsidRPr="00640D82">
              <w:rPr>
                <w:sz w:val="20"/>
                <w:szCs w:val="20"/>
                <w:lang w:val="sq-AL"/>
              </w:rPr>
              <w:t>ekë</w:t>
            </w:r>
          </w:p>
        </w:tc>
        <w:tc>
          <w:tcPr>
            <w:tcW w:w="1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cantSplit/>
          <w:trHeight w:val="98"/>
          <w:jc w:val="center"/>
        </w:trPr>
        <w:tc>
          <w:tcPr>
            <w:tcW w:w="205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0D82">
              <w:rPr>
                <w:sz w:val="20"/>
                <w:szCs w:val="20"/>
                <w:lang w:val="sq-AL"/>
              </w:rPr>
              <w:t xml:space="preserve">200 </w:t>
            </w:r>
            <w:r>
              <w:rPr>
                <w:sz w:val="20"/>
                <w:szCs w:val="20"/>
                <w:lang w:val="sq-AL"/>
              </w:rPr>
              <w:t>l</w:t>
            </w:r>
            <w:r w:rsidRPr="00640D82">
              <w:rPr>
                <w:sz w:val="20"/>
                <w:szCs w:val="20"/>
                <w:lang w:val="sq-AL"/>
              </w:rPr>
              <w:t>ekë</w:t>
            </w:r>
          </w:p>
        </w:tc>
        <w:tc>
          <w:tcPr>
            <w:tcW w:w="1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cantSplit/>
          <w:trHeight w:val="98"/>
          <w:jc w:val="center"/>
        </w:trPr>
        <w:tc>
          <w:tcPr>
            <w:tcW w:w="205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0D82">
              <w:rPr>
                <w:sz w:val="20"/>
                <w:szCs w:val="20"/>
                <w:lang w:val="sq-AL"/>
              </w:rPr>
              <w:t xml:space="preserve">500 </w:t>
            </w:r>
            <w:r>
              <w:rPr>
                <w:sz w:val="20"/>
                <w:szCs w:val="20"/>
                <w:lang w:val="sq-AL"/>
              </w:rPr>
              <w:t>l</w:t>
            </w:r>
            <w:r w:rsidRPr="00640D82">
              <w:rPr>
                <w:sz w:val="20"/>
                <w:szCs w:val="20"/>
                <w:lang w:val="sq-AL"/>
              </w:rPr>
              <w:t>ekë</w:t>
            </w:r>
          </w:p>
        </w:tc>
        <w:tc>
          <w:tcPr>
            <w:tcW w:w="1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cantSplit/>
          <w:trHeight w:val="98"/>
          <w:jc w:val="center"/>
        </w:trPr>
        <w:tc>
          <w:tcPr>
            <w:tcW w:w="2056" w:type="dxa"/>
            <w:vMerge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0D82">
              <w:rPr>
                <w:sz w:val="20"/>
                <w:szCs w:val="20"/>
                <w:lang w:val="sq-AL"/>
              </w:rPr>
              <w:t xml:space="preserve">1000 </w:t>
            </w:r>
            <w:r>
              <w:rPr>
                <w:sz w:val="20"/>
                <w:szCs w:val="20"/>
                <w:lang w:val="sq-AL"/>
              </w:rPr>
              <w:t>l</w:t>
            </w:r>
            <w:r w:rsidRPr="00640D82">
              <w:rPr>
                <w:sz w:val="20"/>
                <w:szCs w:val="20"/>
                <w:lang w:val="sq-AL"/>
              </w:rPr>
              <w:t xml:space="preserve">ekë </w:t>
            </w:r>
          </w:p>
        </w:tc>
        <w:tc>
          <w:tcPr>
            <w:tcW w:w="1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cantSplit/>
          <w:trHeight w:val="98"/>
          <w:jc w:val="center"/>
        </w:trPr>
        <w:tc>
          <w:tcPr>
            <w:tcW w:w="2056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0D82">
              <w:rPr>
                <w:sz w:val="20"/>
                <w:szCs w:val="20"/>
                <w:lang w:val="sq-AL"/>
              </w:rPr>
              <w:t xml:space="preserve">2000 </w:t>
            </w:r>
            <w:r>
              <w:rPr>
                <w:sz w:val="20"/>
                <w:szCs w:val="20"/>
                <w:lang w:val="sq-AL"/>
              </w:rPr>
              <w:t>l</w:t>
            </w:r>
            <w:r w:rsidRPr="00640D82">
              <w:rPr>
                <w:sz w:val="20"/>
                <w:szCs w:val="20"/>
                <w:lang w:val="sq-AL"/>
              </w:rPr>
              <w:t>ekë</w:t>
            </w:r>
          </w:p>
        </w:tc>
        <w:tc>
          <w:tcPr>
            <w:tcW w:w="1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cantSplit/>
          <w:trHeight w:val="98"/>
          <w:jc w:val="center"/>
        </w:trPr>
        <w:tc>
          <w:tcPr>
            <w:tcW w:w="2056" w:type="dxa"/>
            <w:tcBorders>
              <w:top w:val="nil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640D82">
              <w:rPr>
                <w:sz w:val="20"/>
                <w:szCs w:val="20"/>
                <w:lang w:val="sq-AL"/>
              </w:rPr>
              <w:t xml:space="preserve">5000 </w:t>
            </w:r>
            <w:r>
              <w:rPr>
                <w:sz w:val="20"/>
                <w:szCs w:val="20"/>
                <w:lang w:val="sq-AL"/>
              </w:rPr>
              <w:t>l</w:t>
            </w:r>
            <w:r w:rsidRPr="00640D82">
              <w:rPr>
                <w:sz w:val="20"/>
                <w:szCs w:val="20"/>
                <w:lang w:val="sq-AL"/>
              </w:rPr>
              <w:t xml:space="preserve">ekë </w:t>
            </w:r>
          </w:p>
        </w:tc>
        <w:tc>
          <w:tcPr>
            <w:tcW w:w="1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9D4F12" w:rsidRPr="00640D82" w:rsidTr="00AB12AB">
        <w:trPr>
          <w:cantSplit/>
          <w:trHeight w:val="153"/>
          <w:jc w:val="center"/>
        </w:trPr>
        <w:tc>
          <w:tcPr>
            <w:tcW w:w="20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D4F12" w:rsidRPr="00590A95" w:rsidRDefault="009D4F12" w:rsidP="00AB12AB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590A95"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D4F12" w:rsidRPr="00640D82" w:rsidRDefault="009D4F12" w:rsidP="00AB12A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</w:tbl>
    <w:p w:rsidR="009D4F12" w:rsidRPr="00640D82" w:rsidRDefault="009D4F12" w:rsidP="009D4F12">
      <w:pPr>
        <w:pStyle w:val="Paragrafi"/>
        <w:ind w:firstLine="0"/>
        <w:rPr>
          <w:lang w:val="sq-A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9D4F12" w:rsidRPr="00640D82" w:rsidTr="00AB12AB">
        <w:tc>
          <w:tcPr>
            <w:tcW w:w="8789" w:type="dxa"/>
          </w:tcPr>
          <w:p w:rsidR="009D4F12" w:rsidRPr="00640D82" w:rsidRDefault="009D4F12" w:rsidP="00AB12AB">
            <w:pPr>
              <w:pStyle w:val="Paragrafi"/>
              <w:ind w:firstLine="0"/>
              <w:rPr>
                <w:lang w:val="sq-AL"/>
              </w:rPr>
            </w:pPr>
            <w:r w:rsidRPr="00640D82">
              <w:rPr>
                <w:lang w:val="sq-AL"/>
              </w:rPr>
              <w:t>Lutemi jepni të gjitha detajet e dëmtimit të  kartëmonedhave/monedhave:</w:t>
            </w:r>
          </w:p>
          <w:p w:rsidR="009D4F12" w:rsidRPr="00640D82" w:rsidRDefault="009D4F12" w:rsidP="00AB12AB">
            <w:pPr>
              <w:pStyle w:val="Paragrafi"/>
              <w:rPr>
                <w:lang w:val="sq-AL"/>
              </w:rPr>
            </w:pPr>
          </w:p>
          <w:p w:rsidR="009D4F12" w:rsidRPr="00640D82" w:rsidRDefault="009D4F12" w:rsidP="00AB12AB">
            <w:pPr>
              <w:pStyle w:val="Paragrafi"/>
              <w:ind w:firstLine="0"/>
              <w:rPr>
                <w:lang w:val="sq-AL"/>
              </w:rPr>
            </w:pPr>
          </w:p>
          <w:p w:rsidR="009D4F12" w:rsidRPr="00640D82" w:rsidRDefault="009D4F12" w:rsidP="00AB12AB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:rsidR="009D4F12" w:rsidRPr="00640D82" w:rsidRDefault="009D4F12" w:rsidP="009D4F12">
      <w:pPr>
        <w:pStyle w:val="Paragrafi"/>
        <w:ind w:firstLine="0"/>
        <w:rPr>
          <w:lang w:val="sq-AL"/>
        </w:rPr>
      </w:pPr>
    </w:p>
    <w:p w:rsidR="009D4F12" w:rsidRPr="00640D82" w:rsidRDefault="009D4F12" w:rsidP="009D4F12">
      <w:pPr>
        <w:pStyle w:val="Paragrafi"/>
        <w:ind w:firstLine="0"/>
        <w:rPr>
          <w:lang w:val="sq-AL"/>
        </w:rPr>
      </w:pPr>
      <w:r w:rsidRPr="00640D82">
        <w:rPr>
          <w:lang w:val="sq-AL"/>
        </w:rPr>
        <w:t>Firma e aplikantit:  _______________________                  Dat</w:t>
      </w:r>
      <w:r>
        <w:rPr>
          <w:lang w:val="sq-AL"/>
        </w:rPr>
        <w:t>a</w:t>
      </w:r>
      <w:r w:rsidRPr="00640D82">
        <w:rPr>
          <w:lang w:val="sq-AL"/>
        </w:rPr>
        <w:t xml:space="preserve"> : _____________________</w:t>
      </w:r>
    </w:p>
    <w:sectPr w:rsidR="009D4F12" w:rsidRPr="00640D8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4F12"/>
    <w:rsid w:val="009D4F12"/>
    <w:rsid w:val="00AB12AB"/>
    <w:rsid w:val="00CE303F"/>
    <w:rsid w:val="00EB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2DDA32-2647-48B8-BA0F-7F8BBC9C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F12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D4F1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D4F1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D4F1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9D4F1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9D4F12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9D4F1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D4F1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D4F1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9D4F12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D4F1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D4F1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D4F1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9D4F1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9D4F1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9D4F12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9D4F1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D4F1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1441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