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BC6" w:rsidRPr="00F60C72" w:rsidRDefault="00394BC6" w:rsidP="00394BC6">
      <w:pPr>
        <w:pStyle w:val="Akti"/>
        <w:rPr>
          <w:lang w:val="sq-AL"/>
        </w:rPr>
      </w:pPr>
      <w:r w:rsidRPr="00F60C72">
        <w:rPr>
          <w:lang w:val="sq-AL"/>
        </w:rPr>
        <w:t>VENDIM</w:t>
      </w:r>
    </w:p>
    <w:p w:rsidR="00394BC6" w:rsidRPr="00F60C72" w:rsidRDefault="00394BC6" w:rsidP="00394BC6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F60C72">
        <w:rPr>
          <w:lang w:val="sq-AL"/>
        </w:rPr>
        <w:t>20, datë 4.3.2015</w:t>
      </w:r>
    </w:p>
    <w:p w:rsidR="00394BC6" w:rsidRPr="00F60C72" w:rsidRDefault="00394BC6" w:rsidP="00394BC6">
      <w:pPr>
        <w:pStyle w:val="Hapesira7"/>
        <w:jc w:val="center"/>
        <w:rPr>
          <w:lang w:val="sq-AL"/>
        </w:rPr>
      </w:pPr>
    </w:p>
    <w:p w:rsidR="00394BC6" w:rsidRPr="00F60C72" w:rsidRDefault="00394BC6" w:rsidP="00394BC6">
      <w:pPr>
        <w:pStyle w:val="Titulli"/>
        <w:rPr>
          <w:lang w:val="sq-AL"/>
        </w:rPr>
      </w:pPr>
      <w:r w:rsidRPr="00F60C72">
        <w:rPr>
          <w:lang w:val="sq-AL"/>
        </w:rPr>
        <w:t>PËR DISA NDRYSHIME NË RREGULLOREN “PËR ADMINISTRIMIN E RREZIKUT NGA EKSPOZIMET E MËDHA TË BANKAVE”</w:t>
      </w:r>
    </w:p>
    <w:p w:rsidR="00394BC6" w:rsidRPr="00F60C72" w:rsidRDefault="00394BC6" w:rsidP="00394BC6">
      <w:pPr>
        <w:pStyle w:val="Hapesira7"/>
        <w:rPr>
          <w:lang w:val="sq-AL"/>
        </w:rPr>
      </w:pPr>
    </w:p>
    <w:p w:rsidR="00394BC6" w:rsidRPr="00F60C72" w:rsidRDefault="00394BC6" w:rsidP="00394BC6">
      <w:pPr>
        <w:pStyle w:val="Paragrafi"/>
        <w:rPr>
          <w:lang w:val="sq-AL"/>
        </w:rPr>
      </w:pPr>
      <w:r w:rsidRPr="00F60C72">
        <w:rPr>
          <w:lang w:val="sq-AL"/>
        </w:rPr>
        <w:t>Në bazë dhe për zbatim të nenit 12, shkronja “a” dhe të nenit 43, shkronja “c”</w:t>
      </w:r>
      <w:r>
        <w:rPr>
          <w:lang w:val="sq-AL"/>
        </w:rPr>
        <w:t>,</w:t>
      </w:r>
      <w:r w:rsidRPr="00F60C72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F60C72">
        <w:rPr>
          <w:lang w:val="sq-AL"/>
        </w:rPr>
        <w:t>8269, datë 23.12.1997</w:t>
      </w:r>
      <w:r>
        <w:rPr>
          <w:lang w:val="sq-AL"/>
        </w:rPr>
        <w:t>,</w:t>
      </w:r>
      <w:r w:rsidRPr="00F60C72">
        <w:rPr>
          <w:lang w:val="sq-AL"/>
        </w:rPr>
        <w:t xml:space="preserve"> “Për Bankën e Shqipërisë”, </w:t>
      </w:r>
      <w:r>
        <w:rPr>
          <w:lang w:val="sq-AL"/>
        </w:rPr>
        <w:t>të</w:t>
      </w:r>
      <w:r w:rsidRPr="00F60C72">
        <w:rPr>
          <w:lang w:val="sq-AL"/>
        </w:rPr>
        <w:t xml:space="preserve"> ndryshuar;  nenit 57, pika 2, nenit 58, shkronjat “b” dhe “c”, neneve 60, 62, 63, 64, 65 dhe 131 të ligjit </w:t>
      </w:r>
      <w:r>
        <w:rPr>
          <w:lang w:val="sq-AL"/>
        </w:rPr>
        <w:t xml:space="preserve">nr. </w:t>
      </w:r>
      <w:r w:rsidRPr="00F60C72">
        <w:rPr>
          <w:lang w:val="sq-AL"/>
        </w:rPr>
        <w:t>9662, datë 18.12.2006</w:t>
      </w:r>
      <w:r>
        <w:rPr>
          <w:lang w:val="sq-AL"/>
        </w:rPr>
        <w:t>,</w:t>
      </w:r>
      <w:r w:rsidRPr="00F60C72">
        <w:rPr>
          <w:lang w:val="sq-AL"/>
        </w:rPr>
        <w:t xml:space="preserve"> “Për bankat në Republikën e Shqipërisë”, </w:t>
      </w:r>
      <w:r>
        <w:rPr>
          <w:lang w:val="sq-AL"/>
        </w:rPr>
        <w:t>të</w:t>
      </w:r>
      <w:r w:rsidRPr="00F60C72">
        <w:rPr>
          <w:lang w:val="sq-AL"/>
        </w:rPr>
        <w:t xml:space="preserve"> ndryshuar; me propozimin e Departamentit të Mbikëqyrjes, Këshilli Mb</w:t>
      </w:r>
      <w:r>
        <w:rPr>
          <w:lang w:val="sq-AL"/>
        </w:rPr>
        <w:t>ikëqyrës i Bankës së Shqipërisë</w:t>
      </w:r>
    </w:p>
    <w:p w:rsidR="00394BC6" w:rsidRPr="00F60C72" w:rsidRDefault="00394BC6" w:rsidP="00394BC6">
      <w:pPr>
        <w:pStyle w:val="Vendosi"/>
        <w:rPr>
          <w:lang w:val="sq-AL"/>
        </w:rPr>
      </w:pPr>
      <w:r w:rsidRPr="00F60C72">
        <w:rPr>
          <w:lang w:val="sq-AL"/>
        </w:rPr>
        <w:t>VENDOSI:</w:t>
      </w:r>
    </w:p>
    <w:p w:rsidR="00394BC6" w:rsidRPr="00F60C72" w:rsidRDefault="00394BC6" w:rsidP="00394BC6">
      <w:pPr>
        <w:pStyle w:val="Hapesira7"/>
        <w:rPr>
          <w:lang w:val="sq-AL"/>
        </w:rPr>
      </w:pPr>
    </w:p>
    <w:p w:rsidR="00394BC6" w:rsidRPr="00F60C72" w:rsidRDefault="00394BC6" w:rsidP="00394BC6">
      <w:pPr>
        <w:pStyle w:val="Paragrafi"/>
        <w:rPr>
          <w:lang w:val="sq-AL"/>
        </w:rPr>
      </w:pPr>
      <w:r w:rsidRPr="00F60C72">
        <w:rPr>
          <w:lang w:val="sq-AL"/>
        </w:rPr>
        <w:t xml:space="preserve">1. Në rregulloren “Për administrimin e rrezikut nga ekspozimet e mëdha të bankave” miratuar me vendimin e Këshillit Mbikëqyrës </w:t>
      </w:r>
      <w:r>
        <w:rPr>
          <w:lang w:val="sq-AL"/>
        </w:rPr>
        <w:t>nr. 10, datë 26.</w:t>
      </w:r>
      <w:r w:rsidRPr="00F60C72">
        <w:rPr>
          <w:lang w:val="sq-AL"/>
        </w:rPr>
        <w:t>2.2014, të bëhen ndryshimet e mëposhtme:</w:t>
      </w:r>
    </w:p>
    <w:p w:rsidR="00394BC6" w:rsidRPr="00F60C72" w:rsidRDefault="00394BC6" w:rsidP="00394BC6">
      <w:pPr>
        <w:pStyle w:val="Paragrafi"/>
        <w:rPr>
          <w:lang w:val="sq-AL"/>
        </w:rPr>
      </w:pPr>
      <w:r w:rsidRPr="00F60C72">
        <w:rPr>
          <w:lang w:val="sq-AL"/>
        </w:rPr>
        <w:t>a) Në nenin 9,  pika 2, shtohet shkronja “o” me përmbajtjen e mëposhtme:</w:t>
      </w:r>
    </w:p>
    <w:p w:rsidR="00394BC6" w:rsidRPr="00F60C72" w:rsidRDefault="00394BC6" w:rsidP="00394BC6">
      <w:pPr>
        <w:pStyle w:val="Paragrafi"/>
        <w:rPr>
          <w:i/>
          <w:lang w:val="sq-AL"/>
        </w:rPr>
      </w:pPr>
      <w:r w:rsidRPr="00F60C72">
        <w:rPr>
          <w:i/>
          <w:lang w:val="sq-AL"/>
        </w:rPr>
        <w:t>“o) ekspozimet, me jo më shumë se 80% të vlerës së tyre, ndaj institucioneve të  mbikëqyrura, të cilave  u caktohet një peshë rreziku 20%, në përputhje me rregulloren e mjaftueshmërisë së kapitalit”.</w:t>
      </w:r>
    </w:p>
    <w:p w:rsidR="00394BC6" w:rsidRPr="00F60C72" w:rsidRDefault="00394BC6" w:rsidP="00394BC6">
      <w:pPr>
        <w:pStyle w:val="Paragrafi"/>
        <w:rPr>
          <w:lang w:val="sq-AL"/>
        </w:rPr>
      </w:pPr>
      <w:r w:rsidRPr="00F60C72">
        <w:rPr>
          <w:lang w:val="sq-AL"/>
        </w:rPr>
        <w:t>b) Në aneksin 2, bashkëlidhur kësaj rregulloreje:</w:t>
      </w:r>
    </w:p>
    <w:p w:rsidR="00394BC6" w:rsidRPr="00F60C72" w:rsidRDefault="00394BC6" w:rsidP="00394BC6">
      <w:pPr>
        <w:pStyle w:val="Paragrafi"/>
        <w:rPr>
          <w:i/>
          <w:lang w:val="sq-AL"/>
        </w:rPr>
      </w:pPr>
      <w:r w:rsidRPr="00F60C72">
        <w:rPr>
          <w:i/>
          <w:lang w:val="sq-AL"/>
        </w:rPr>
        <w:t>i) në sqarimin në fund të faqes</w:t>
      </w:r>
      <w:r>
        <w:rPr>
          <w:i/>
          <w:lang w:val="sq-AL"/>
        </w:rPr>
        <w:t>,</w:t>
      </w:r>
      <w:r w:rsidRPr="00F60C72">
        <w:rPr>
          <w:i/>
          <w:lang w:val="sq-AL"/>
        </w:rPr>
        <w:t xml:space="preserve"> </w:t>
      </w:r>
      <w:r>
        <w:rPr>
          <w:i/>
          <w:lang w:val="sq-AL"/>
        </w:rPr>
        <w:t>t</w:t>
      </w:r>
      <w:r w:rsidRPr="00F60C72">
        <w:rPr>
          <w:i/>
          <w:lang w:val="sq-AL"/>
        </w:rPr>
        <w:t xml:space="preserve">ë aneksit </w:t>
      </w:r>
      <w:r>
        <w:rPr>
          <w:i/>
          <w:lang w:val="sq-AL"/>
        </w:rPr>
        <w:t xml:space="preserve">nr. </w:t>
      </w:r>
      <w:r w:rsidRPr="00F60C72">
        <w:rPr>
          <w:i/>
          <w:lang w:val="sq-AL"/>
        </w:rPr>
        <w:t xml:space="preserve">2 të “Raportit mbi ekspozimin e madh”, (footnote </w:t>
      </w:r>
      <w:r>
        <w:rPr>
          <w:i/>
          <w:lang w:val="sq-AL"/>
        </w:rPr>
        <w:t xml:space="preserve">nr. </w:t>
      </w:r>
      <w:r w:rsidRPr="00F60C72">
        <w:rPr>
          <w:i/>
          <w:lang w:val="sq-AL"/>
        </w:rPr>
        <w:t>4) togfjalëshi “totalit të kolonës 4”</w:t>
      </w:r>
      <w:r>
        <w:rPr>
          <w:i/>
          <w:lang w:val="sq-AL"/>
        </w:rPr>
        <w:t>,</w:t>
      </w:r>
      <w:r w:rsidRPr="00F60C72">
        <w:rPr>
          <w:i/>
          <w:lang w:val="sq-AL"/>
        </w:rPr>
        <w:t xml:space="preserve"> zëvendësohet me togfjalëshin “totalit të kolonës 10”;</w:t>
      </w:r>
    </w:p>
    <w:p w:rsidR="00394BC6" w:rsidRPr="00F60C72" w:rsidRDefault="00394BC6" w:rsidP="00394BC6">
      <w:pPr>
        <w:pStyle w:val="Paragrafi"/>
        <w:rPr>
          <w:i/>
          <w:lang w:val="sq-AL"/>
        </w:rPr>
      </w:pPr>
      <w:r w:rsidRPr="00F60C72">
        <w:rPr>
          <w:i/>
          <w:lang w:val="sq-AL"/>
        </w:rPr>
        <w:t xml:space="preserve">ii) në sqarimin në fund të faqes të “Raportit mbi ekspozimin e madh në tërësi” (footnote </w:t>
      </w:r>
      <w:r>
        <w:rPr>
          <w:i/>
          <w:lang w:val="sq-AL"/>
        </w:rPr>
        <w:t xml:space="preserve">nr. </w:t>
      </w:r>
      <w:r w:rsidRPr="00F60C72">
        <w:rPr>
          <w:i/>
          <w:lang w:val="sq-AL"/>
        </w:rPr>
        <w:t>8)  togfjalëshi “totalit të kolonës 6” zëvendësohet me togfjalëshin “totalit të kolonës 12”.</w:t>
      </w:r>
    </w:p>
    <w:p w:rsidR="00394BC6" w:rsidRPr="00F60C72" w:rsidRDefault="00394BC6" w:rsidP="00394BC6">
      <w:pPr>
        <w:pStyle w:val="Paragrafi"/>
        <w:rPr>
          <w:lang w:val="sq-AL"/>
        </w:rPr>
      </w:pPr>
      <w:r w:rsidRPr="00F60C72">
        <w:rPr>
          <w:lang w:val="sq-AL"/>
        </w:rPr>
        <w:t>2. Ngarkohen bankat e licencuara nga Banka e Shqipërisë, me zbatimin e këtij vendimi.</w:t>
      </w:r>
    </w:p>
    <w:p w:rsidR="00394BC6" w:rsidRPr="00F60C72" w:rsidRDefault="00394BC6" w:rsidP="00394BC6">
      <w:pPr>
        <w:pStyle w:val="Paragrafi"/>
        <w:rPr>
          <w:lang w:val="sq-AL"/>
        </w:rPr>
      </w:pPr>
      <w:r w:rsidRPr="00F60C72">
        <w:rPr>
          <w:lang w:val="sq-AL"/>
        </w:rPr>
        <w:t>3. Ngarkohet Departamenti i Mbikëqyrjes dhe Departamenti i Stabilitetit Financiar dhe Statistikave në Bankën e Shqipërisë, për ndjekjen e zbatimit të këtij vendimi.</w:t>
      </w:r>
    </w:p>
    <w:p w:rsidR="00394BC6" w:rsidRPr="00F60C72" w:rsidRDefault="00394BC6" w:rsidP="00394BC6">
      <w:pPr>
        <w:pStyle w:val="Paragrafi"/>
        <w:rPr>
          <w:lang w:val="sq-AL"/>
        </w:rPr>
      </w:pPr>
      <w:r w:rsidRPr="00F60C72">
        <w:rPr>
          <w:lang w:val="sq-AL"/>
        </w:rPr>
        <w:t>4. Ngarkohet Departamenti i Marrëdhënieve me Publikun për publikimin e këtij vendimi në Buletinin Zyrtar të Bankës së Shqipërisë dhe në Fletoren Zyrtare të Republikës së Shqipërisë.</w:t>
      </w:r>
    </w:p>
    <w:p w:rsidR="00394BC6" w:rsidRDefault="00394BC6" w:rsidP="00394BC6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F60C72">
        <w:rPr>
          <w:lang w:val="sq-AL"/>
        </w:rPr>
        <w:t xml:space="preserve">Ky vendim hyn në fuqi 15 ditë pas botimin në Fletoren Zyrtare. </w:t>
      </w:r>
    </w:p>
    <w:p w:rsidR="00394BC6" w:rsidRPr="00490E48" w:rsidRDefault="00394BC6" w:rsidP="00394BC6">
      <w:pPr>
        <w:pStyle w:val="Akti"/>
        <w:keepNext w:val="0"/>
        <w:jc w:val="right"/>
        <w:rPr>
          <w:b w:val="0"/>
          <w:lang w:val="sq-AL"/>
        </w:rPr>
      </w:pPr>
      <w:r w:rsidRPr="00490E48">
        <w:rPr>
          <w:b w:val="0"/>
          <w:lang w:val="sq-AL"/>
        </w:rPr>
        <w:t>KRYETARI</w:t>
      </w:r>
    </w:p>
    <w:p w:rsidR="00394BC6" w:rsidRPr="00F60C72" w:rsidRDefault="00394BC6" w:rsidP="00394BC6">
      <w:pPr>
        <w:pStyle w:val="Akti"/>
        <w:keepNext w:val="0"/>
        <w:jc w:val="right"/>
        <w:rPr>
          <w:lang w:val="sq-AL"/>
        </w:rPr>
      </w:pPr>
      <w:r>
        <w:rPr>
          <w:caps w:val="0"/>
          <w:lang w:val="sq-AL"/>
        </w:rPr>
        <w:t>Gent Sejko</w:t>
      </w:r>
    </w:p>
    <w:p w:rsidR="00FD57DC" w:rsidRDefault="00394BC6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revisionView w:inkAnnotations="0"/>
  <w:defaultTabStop w:val="720"/>
  <w:characterSpacingControl w:val="doNotCompress"/>
  <w:compat/>
  <w:rsids>
    <w:rsidRoot w:val="00394BC6"/>
    <w:rsid w:val="00013606"/>
    <w:rsid w:val="00032E53"/>
    <w:rsid w:val="001A346F"/>
    <w:rsid w:val="001D125B"/>
    <w:rsid w:val="002C0AA4"/>
    <w:rsid w:val="002E7553"/>
    <w:rsid w:val="00332E0F"/>
    <w:rsid w:val="00394BC6"/>
    <w:rsid w:val="00455FC5"/>
    <w:rsid w:val="004A4709"/>
    <w:rsid w:val="00627136"/>
    <w:rsid w:val="006815F0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94BC6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94BC6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94BC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94BC6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4BC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94BC6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94BC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94BC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Vendosi">
    <w:name w:val="Vendosi"/>
    <w:basedOn w:val="Normal"/>
    <w:qFormat/>
    <w:rsid w:val="00394BC6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394BC6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>Grizli777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2015-04-01T12:59:00Z</dcterms:created>
  <dcterms:modified xsi:type="dcterms:W3CDTF">2015-04-01T12:59:00Z</dcterms:modified>
</cp:coreProperties>
</file>