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143" w:rsidRPr="00BE5143" w:rsidRDefault="00BE5143" w:rsidP="00BE5143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BE5143">
        <w:rPr>
          <w:rFonts w:ascii="Garamond" w:eastAsia="MS Mincho" w:hAnsi="Garamond" w:cs="CG Times"/>
          <w:b/>
          <w:bCs/>
          <w:sz w:val="24"/>
          <w:lang w:val="sq-AL"/>
        </w:rPr>
        <w:t>VENDIM</w:t>
      </w:r>
    </w:p>
    <w:p w:rsidR="00BE5143" w:rsidRPr="00BE5143" w:rsidRDefault="00BE5143" w:rsidP="00BE5143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BE5143">
        <w:rPr>
          <w:rFonts w:ascii="Garamond" w:eastAsia="MS Mincho" w:hAnsi="Garamond" w:cs="CG Times"/>
          <w:b/>
          <w:bCs/>
          <w:sz w:val="24"/>
          <w:lang w:val="sq-AL"/>
        </w:rPr>
        <w:t>Nr. 50, datë 30.3.2016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BE5143" w:rsidRPr="00BE5143" w:rsidRDefault="00BE5143" w:rsidP="00BE5143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BE5143">
        <w:rPr>
          <w:rFonts w:ascii="Garamond" w:eastAsia="MS Mincho" w:hAnsi="Garamond" w:cs="CG Times"/>
          <w:b/>
          <w:bCs/>
          <w:sz w:val="24"/>
          <w:lang w:val="sq-AL"/>
        </w:rPr>
        <w:t xml:space="preserve">PËR DISA NDRYSHIME NË RREGULLOREN “PËR ADMINISTRIMIN E RREZIKUT TË KREDISË NGA BANKAT DHE DEGËT E BANKAVE TË HUAJA” 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bookmarkStart w:id="0" w:name="OLE_LINK3"/>
      <w:r w:rsidRPr="00BE5143">
        <w:rPr>
          <w:rFonts w:ascii="Garamond" w:eastAsia="MS Mincho" w:hAnsi="Garamond" w:cs="CG Times"/>
          <w:sz w:val="24"/>
          <w:lang w:val="sq-AL"/>
        </w:rPr>
        <w:t xml:space="preserve">Në bazë dhe për zbatim të nenit 12 shkronja “a” dhe nenit 43, shkronja “c” të ligjit nr. 8269, datë 23.12.1997, “Për Bankën e Shqipërisë”, i ndryshuar; </w:t>
      </w:r>
      <w:bookmarkEnd w:id="0"/>
      <w:r w:rsidRPr="00BE5143">
        <w:rPr>
          <w:rFonts w:ascii="Garamond" w:eastAsia="MS Mincho" w:hAnsi="Garamond" w:cs="CG Times"/>
          <w:sz w:val="24"/>
          <w:lang w:val="sq-AL"/>
        </w:rPr>
        <w:t>dhe të neneve 57, 58, 61, 68 dhe 70, pika 5, shkronja “a”, të ligjit nr. 9662, datë 18.12.2006, “Për bankat në Republikën e Shqipërisë”; me propozim të Departamentit të Mbikëqyrjes, Këshilli Mbikëqyrës i Bankës së Shqipërisë,</w:t>
      </w:r>
    </w:p>
    <w:p w:rsidR="00BE5143" w:rsidRPr="00BE5143" w:rsidRDefault="00BE5143" w:rsidP="00BE5143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VENDOSI: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  <w:lang w:val="sq-AL"/>
        </w:rPr>
      </w:pP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1. Në rregulloren “Për administrimin e rrezikut të kredisë nga bankat dhe degët e bankave të huaja”, miratuar me vendimin nr. 62, datë 14.9.2011, të Këshillit Mbikëqyrës të Bankës së Shqipërisë, e ndryshuar, të bëhen ndryshimet e mëposhtme: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a) Shkronja “i” e pikës 2, të nenit 4 dhe pika 4 e nenit 14, shfuqizohen.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b) Neni 17 ndryshon si më poshtë vijon: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i) Emërtimi i nenit ndryshon me përmbajtjen e mëposhtme: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“Fshirja nga bilanci e kredive të humbura”;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 xml:space="preserve">ii) Togfjalëshi “fshirja e kredive” bëhet kudo “fshirja e kredive nga bilanci”; 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iii) Paragrafi 4 i nenit ndryshon me përmbajtjen e mëposhtme: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“4. Dosjet e kredive të fshira nga bilanci, ruhen dhe vlerësohen në vazhdimësi, duke u shqyrtuar jo më pak se një herë në 6 (gjashtë) muaj nga Këshilli Drejtues i bankës. Banka, pavarësisht fshirjes së kredive nga bilanci, vazhdon të ndjekë procedurat ligjore për arkëtimin e këtyre kredive.”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c) Pas nenit 19, shtohet neni 19/1 me përmbajtjen e mëposhtme: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14"/>
          <w:lang w:val="sq-AL"/>
        </w:rPr>
      </w:pPr>
    </w:p>
    <w:p w:rsidR="00BE5143" w:rsidRPr="00BE5143" w:rsidRDefault="00BE5143" w:rsidP="00BE5143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“Neni 19/1</w:t>
      </w:r>
    </w:p>
    <w:p w:rsidR="00BE5143" w:rsidRPr="00BE5143" w:rsidRDefault="00BE5143" w:rsidP="00BE5143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b/>
          <w:sz w:val="24"/>
          <w:lang w:val="sq-AL"/>
        </w:rPr>
      </w:pPr>
      <w:r w:rsidRPr="00BE5143">
        <w:rPr>
          <w:rFonts w:ascii="Garamond" w:eastAsia="MS Mincho" w:hAnsi="Garamond" w:cs="CG Times"/>
          <w:b/>
          <w:sz w:val="24"/>
          <w:lang w:val="sq-AL"/>
        </w:rPr>
        <w:t>Kërkesa të veçanta për trajtimin e pasurive të paluajtshme dhe të luajtshme të përftuara nga banka kundrejt shlyerjes së kredive</w:t>
      </w:r>
    </w:p>
    <w:p w:rsidR="00BE5143" w:rsidRPr="00BE5143" w:rsidRDefault="00BE5143" w:rsidP="00BE5143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z w:val="24"/>
          <w:lang w:val="sq-AL"/>
        </w:rPr>
      </w:pP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 xml:space="preserve">1. Bankat hartojnë strategji dhe plane të brendshme, si dhe krijojnë strukturat e përshtatshme për shitjen e pasurive të paluajtshme dhe të luajtshme të përftuara kundrejt shlyerjes së kredive të dhëna. 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2. Bankat, në rastet kur nuk mund të shesin pasuritë e paluajtshme dhe të luajtshme të përftuara kundrejt shlyerjes së kredive brenda vitit të parë të përfitimit të tyre, krijojnë fonde rezervë për mbulimin e humbjeve.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 xml:space="preserve">3. Për pasuritë e paluajtshme, fondet rezervë krijohen brenda një periudhe jo më të gjatë se 7 (shtatë) vite nga data e përftimit të tyre (marrjes së tyre në pronësi në përfundim të procesit të ekzekutimit të detyrueshëm për kreditë e pashlyera) dhe në nivelin jo më pak se norma në përqindje e vlerës kontabël të këtyre pasurive, sipas tabelës së mëposhtme: </w:t>
      </w:r>
    </w:p>
    <w:tbl>
      <w:tblPr>
        <w:tblpPr w:leftFromText="180" w:rightFromText="180" w:vertAnchor="text" w:horzAnchor="margin" w:tblpXSpec="center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460"/>
      </w:tblGrid>
      <w:tr w:rsidR="00BE5143" w:rsidRPr="00BE5143" w:rsidTr="00BE5143">
        <w:tc>
          <w:tcPr>
            <w:tcW w:w="2348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bookmarkStart w:id="1" w:name="_GoBack"/>
            <w:bookmarkEnd w:id="1"/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Viti i parë</w:t>
            </w:r>
          </w:p>
        </w:tc>
        <w:tc>
          <w:tcPr>
            <w:tcW w:w="2460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5%</w:t>
            </w:r>
          </w:p>
        </w:tc>
      </w:tr>
      <w:tr w:rsidR="00BE5143" w:rsidRPr="00BE5143" w:rsidTr="00BE5143">
        <w:tc>
          <w:tcPr>
            <w:tcW w:w="2348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Viti i dytë</w:t>
            </w:r>
          </w:p>
        </w:tc>
        <w:tc>
          <w:tcPr>
            <w:tcW w:w="2460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15%</w:t>
            </w:r>
          </w:p>
        </w:tc>
      </w:tr>
      <w:tr w:rsidR="00BE5143" w:rsidRPr="00BE5143" w:rsidTr="00BE5143">
        <w:tc>
          <w:tcPr>
            <w:tcW w:w="2348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Viti i tretë</w:t>
            </w:r>
          </w:p>
        </w:tc>
        <w:tc>
          <w:tcPr>
            <w:tcW w:w="2460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30%</w:t>
            </w:r>
          </w:p>
        </w:tc>
      </w:tr>
      <w:tr w:rsidR="00BE5143" w:rsidRPr="00BE5143" w:rsidTr="00BE5143">
        <w:tc>
          <w:tcPr>
            <w:tcW w:w="2348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Viti i katërt</w:t>
            </w:r>
          </w:p>
        </w:tc>
        <w:tc>
          <w:tcPr>
            <w:tcW w:w="2460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45%</w:t>
            </w:r>
          </w:p>
        </w:tc>
      </w:tr>
      <w:tr w:rsidR="00BE5143" w:rsidRPr="00BE5143" w:rsidTr="00BE5143">
        <w:tc>
          <w:tcPr>
            <w:tcW w:w="2348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Viti i pestë</w:t>
            </w:r>
          </w:p>
        </w:tc>
        <w:tc>
          <w:tcPr>
            <w:tcW w:w="2460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60%</w:t>
            </w:r>
          </w:p>
        </w:tc>
      </w:tr>
      <w:tr w:rsidR="00BE5143" w:rsidRPr="00BE5143" w:rsidTr="00BE5143">
        <w:tc>
          <w:tcPr>
            <w:tcW w:w="2348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Viti i gjashtë</w:t>
            </w:r>
          </w:p>
        </w:tc>
        <w:tc>
          <w:tcPr>
            <w:tcW w:w="2460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80%</w:t>
            </w:r>
          </w:p>
        </w:tc>
      </w:tr>
      <w:tr w:rsidR="00BE5143" w:rsidRPr="00BE5143" w:rsidTr="00BE5143">
        <w:tc>
          <w:tcPr>
            <w:tcW w:w="2348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Viti i shtatë</w:t>
            </w:r>
          </w:p>
        </w:tc>
        <w:tc>
          <w:tcPr>
            <w:tcW w:w="2460" w:type="dxa"/>
            <w:shd w:val="clear" w:color="auto" w:fill="auto"/>
          </w:tcPr>
          <w:p w:rsidR="00BE5143" w:rsidRPr="00BE5143" w:rsidRDefault="00BE5143" w:rsidP="00BE5143">
            <w:pPr>
              <w:widowControl w:val="0"/>
              <w:spacing w:after="0" w:line="240" w:lineRule="auto"/>
              <w:ind w:firstLine="0"/>
              <w:rPr>
                <w:rFonts w:ascii="Garamond" w:eastAsia="MS Mincho" w:hAnsi="Garamond" w:cs="CG Times"/>
                <w:sz w:val="20"/>
                <w:szCs w:val="20"/>
                <w:lang w:val="sq-AL"/>
              </w:rPr>
            </w:pPr>
            <w:r w:rsidRPr="00BE5143">
              <w:rPr>
                <w:rFonts w:ascii="Garamond" w:eastAsia="MS Mincho" w:hAnsi="Garamond" w:cs="CG Times"/>
                <w:sz w:val="20"/>
                <w:szCs w:val="20"/>
                <w:lang w:val="sq-AL"/>
              </w:rPr>
              <w:t>100%</w:t>
            </w:r>
          </w:p>
        </w:tc>
      </w:tr>
    </w:tbl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4. Për pasuritë e luajtshme, bankat krijojnë fonde rezervë në nivelin jo më pak se 100% të vlerës kontabël të pasurisë së luajtshme, në rastet kur nuk mund t’i shesin këto pasuri brenda një viti nga data e përftimit të tyre.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 xml:space="preserve">5. Bankat, për pasuritë e paluajtshme dhe të luajtshme të përftuara deri në muajin dhjetor të vitit 2015, për efekt të llogaritjes së fondeve rezervë, sipas përcaktimeve në këtë rregullore, do të </w:t>
      </w:r>
      <w:r w:rsidRPr="00BE5143">
        <w:rPr>
          <w:rFonts w:ascii="Garamond" w:eastAsia="MS Mincho" w:hAnsi="Garamond" w:cs="CG Times"/>
          <w:sz w:val="24"/>
          <w:lang w:val="sq-AL"/>
        </w:rPr>
        <w:lastRenderedPageBreak/>
        <w:t xml:space="preserve">konsiderojnë si vit të parë vitin 2016.”. 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 xml:space="preserve">2. Ngarkohet Departamenti i Mbikëqyrjes të Bankës së Shqipërisë me ndjekjen e zbatimit të këtij vendimi. 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3. Ngarkohet Departamenti i Kërkimeve me publikimin e këtij vendimi në Fletoren Zyrtare të Republikës së Shqipërisë dhe në Buletinin Zyrtar të Bankës së Shqipërisë.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 xml:space="preserve">Ky vendim hyn në fuqi në datë 1.12.2016. </w:t>
      </w:r>
    </w:p>
    <w:p w:rsidR="00BE5143" w:rsidRPr="00BE5143" w:rsidRDefault="00BE5143" w:rsidP="00BE5143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BE5143" w:rsidRPr="00BE5143" w:rsidRDefault="00BE5143" w:rsidP="00BE5143">
      <w:pPr>
        <w:widowControl w:val="0"/>
        <w:spacing w:after="0" w:line="240" w:lineRule="auto"/>
        <w:jc w:val="right"/>
        <w:rPr>
          <w:rFonts w:ascii="Garamond" w:eastAsia="MS Mincho" w:hAnsi="Garamond" w:cs="CG Times"/>
          <w:sz w:val="24"/>
          <w:lang w:val="sq-AL"/>
        </w:rPr>
      </w:pPr>
      <w:r w:rsidRPr="00BE5143">
        <w:rPr>
          <w:rFonts w:ascii="Garamond" w:eastAsia="MS Mincho" w:hAnsi="Garamond" w:cs="CG Times"/>
          <w:sz w:val="24"/>
          <w:lang w:val="sq-AL"/>
        </w:rPr>
        <w:t>KRYETARI</w:t>
      </w:r>
    </w:p>
    <w:p w:rsidR="00BE5143" w:rsidRPr="00BE5143" w:rsidRDefault="00BE5143" w:rsidP="00BE5143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  <w:lang w:val="sq-AL"/>
        </w:rPr>
      </w:pPr>
      <w:r w:rsidRPr="00BE5143">
        <w:rPr>
          <w:rFonts w:ascii="Garamond" w:eastAsia="MS Mincho" w:hAnsi="Garamond" w:cs="CG Times"/>
          <w:b/>
          <w:sz w:val="24"/>
          <w:lang w:val="sq-AL"/>
        </w:rPr>
        <w:t>Gent Sejko</w:t>
      </w:r>
    </w:p>
    <w:p w:rsidR="001432B6" w:rsidRDefault="001432B6" w:rsidP="001432B6">
      <w:pPr>
        <w:pStyle w:val="NeniTitull"/>
      </w:pPr>
    </w:p>
    <w:p w:rsidR="00FB50EF" w:rsidRDefault="00FB50EF"/>
    <w:sectPr w:rsidR="00FB50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B6"/>
    <w:rsid w:val="001432B6"/>
    <w:rsid w:val="00BE5143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2B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432B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432B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432B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432B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432B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432B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2B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432B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432B6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432B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432B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432B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432B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2016-04-22T10:10:00Z</dcterms:created>
  <dcterms:modified xsi:type="dcterms:W3CDTF">2018-01-17T10:39:00Z</dcterms:modified>
</cp:coreProperties>
</file>