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E98" w:rsidRDefault="001E6E98" w:rsidP="001E6E98">
      <w:pPr>
        <w:pStyle w:val="NeniTitull"/>
        <w:rPr>
          <w:spacing w:val="-4"/>
          <w:lang w:val="sq-AL" w:eastAsia="en-GB"/>
        </w:rPr>
      </w:pPr>
      <w:bookmarkStart w:id="0" w:name="_Toc509914734"/>
      <w:bookmarkStart w:id="1" w:name="_Toc509840788"/>
      <w:r>
        <w:rPr>
          <w:spacing w:val="-4"/>
          <w:lang w:val="sq-AL" w:eastAsia="en-GB"/>
        </w:rPr>
        <w:t>VENDIM</w:t>
      </w:r>
      <w:bookmarkEnd w:id="0"/>
      <w:bookmarkEnd w:id="1"/>
    </w:p>
    <w:p w:rsidR="001E6E98" w:rsidRDefault="001E6E98" w:rsidP="001E6E98">
      <w:pPr>
        <w:pStyle w:val="NeniTitull"/>
        <w:rPr>
          <w:spacing w:val="-4"/>
          <w:lang w:val="sq-AL" w:eastAsia="en-GB"/>
        </w:rPr>
      </w:pPr>
      <w:bookmarkStart w:id="2" w:name="_Toc509914735"/>
      <w:bookmarkStart w:id="3" w:name="_Toc509840789"/>
      <w:r>
        <w:rPr>
          <w:spacing w:val="-4"/>
          <w:lang w:val="sq-AL" w:eastAsia="en-GB"/>
        </w:rPr>
        <w:t>Nr. 21, datë 15.3.2018</w:t>
      </w:r>
      <w:bookmarkEnd w:id="2"/>
      <w:bookmarkEnd w:id="3"/>
    </w:p>
    <w:p w:rsidR="001E6E98" w:rsidRDefault="001E6E98" w:rsidP="001E6E98">
      <w:pPr>
        <w:pStyle w:val="Hapesira7"/>
        <w:rPr>
          <w:lang w:val="sq-AL" w:eastAsia="en-GB"/>
        </w:rPr>
      </w:pPr>
    </w:p>
    <w:p w:rsidR="001E6E98" w:rsidRDefault="001E6E98" w:rsidP="001E6E98">
      <w:pPr>
        <w:pStyle w:val="NeniTitull"/>
        <w:rPr>
          <w:spacing w:val="-4"/>
          <w:lang w:val="sq-AL" w:eastAsia="en-GB"/>
        </w:rPr>
      </w:pPr>
      <w:bookmarkStart w:id="4" w:name="_Toc509914736"/>
      <w:bookmarkStart w:id="5" w:name="_Toc509840790"/>
      <w:r>
        <w:rPr>
          <w:spacing w:val="-4"/>
          <w:lang w:val="sq-AL" w:eastAsia="en-GB"/>
        </w:rPr>
        <w:t>PËR MIRATIMIN E NJË NDRYSHIMI NË RREGULLOREN “MBI MINIMUMIN E REZERVËS SË DETYRUAR MBAJTUR NË BANKËN E SHQIPËRISË NGA BANKAT”</w:t>
      </w:r>
      <w:bookmarkEnd w:id="4"/>
      <w:bookmarkEnd w:id="5"/>
    </w:p>
    <w:p w:rsidR="001E6E98" w:rsidRDefault="001E6E98" w:rsidP="001E6E98">
      <w:pPr>
        <w:pStyle w:val="Hapesira7"/>
        <w:rPr>
          <w:lang w:val="sq-AL" w:eastAsia="en-GB"/>
        </w:rPr>
      </w:pPr>
    </w:p>
    <w:p w:rsidR="001E6E98" w:rsidRDefault="001E6E98" w:rsidP="001E6E98">
      <w:pPr>
        <w:pStyle w:val="Paragrafi"/>
        <w:rPr>
          <w:rFonts w:eastAsia="Times New Roman"/>
          <w:spacing w:val="-4"/>
          <w:lang w:val="sq-AL" w:eastAsia="en-GB"/>
        </w:rPr>
      </w:pPr>
      <w:r>
        <w:rPr>
          <w:rFonts w:eastAsia="Times New Roman"/>
          <w:spacing w:val="-4"/>
          <w:lang w:val="sq-AL" w:eastAsia="en-GB"/>
        </w:rPr>
        <w:t>Në bazë dhe për zbatim të nenit 19 dhe nenit 43, shkronjat “a” dhe “c”, të ligjit nr. 8269, datë 23.12.1997, “Për Bankën e Shqipërisë”, të ndryshuar, si dhe bazuar në propozimin e Departamentit të Operacioneve Monetare dhe Departamentit të Statistikave Financiare, Këshilli Mbikëqyrës i Bankës së Shqipërisë</w:t>
      </w:r>
    </w:p>
    <w:p w:rsidR="001E6E98" w:rsidRDefault="001E6E98" w:rsidP="001E6E98">
      <w:pPr>
        <w:pStyle w:val="NeniNr"/>
        <w:rPr>
          <w:spacing w:val="-4"/>
          <w:lang w:val="sq-AL" w:eastAsia="en-GB"/>
        </w:rPr>
      </w:pPr>
      <w:r>
        <w:rPr>
          <w:spacing w:val="-4"/>
          <w:lang w:val="sq-AL" w:eastAsia="en-GB"/>
        </w:rPr>
        <w:t>VENDOSI:</w:t>
      </w:r>
    </w:p>
    <w:p w:rsidR="001E6E98" w:rsidRDefault="001E6E98" w:rsidP="001E6E98">
      <w:pPr>
        <w:pStyle w:val="Hapesira7"/>
        <w:rPr>
          <w:rStyle w:val="grame"/>
          <w:rFonts w:ascii="Garamond" w:hAnsi="Garamond"/>
        </w:rPr>
      </w:pPr>
    </w:p>
    <w:p w:rsidR="001E6E98" w:rsidRDefault="001E6E98" w:rsidP="001E6E98">
      <w:pPr>
        <w:pStyle w:val="Paragrafi"/>
        <w:rPr>
          <w:rFonts w:eastAsia="Times New Roman"/>
          <w:spacing w:val="-4"/>
          <w:lang w:eastAsia="en-GB"/>
        </w:rPr>
      </w:pPr>
      <w:r>
        <w:rPr>
          <w:rFonts w:eastAsia="Times New Roman"/>
          <w:spacing w:val="-4"/>
          <w:lang w:val="sq-AL" w:eastAsia="en-GB"/>
        </w:rPr>
        <w:t>1. Në rregulloren “Mbi minimumin e rezervës së detyruar mbajtur në Bankën e Shqipërisë nga bankat”, miratuar me vendimin e Këshillit Mbikëqyrës nr. 29, datë 16.5.2012, të ndryshuar, bëhet ndryshimi i mëposhtëm:</w:t>
      </w:r>
    </w:p>
    <w:p w:rsidR="001E6E98" w:rsidRDefault="001E6E98" w:rsidP="001E6E98">
      <w:pPr>
        <w:pStyle w:val="Paragrafi"/>
        <w:rPr>
          <w:rFonts w:eastAsia="Times New Roman"/>
          <w:spacing w:val="-4"/>
          <w:lang w:val="sq-AL" w:eastAsia="en-GB"/>
        </w:rPr>
      </w:pPr>
      <w:r>
        <w:rPr>
          <w:rFonts w:eastAsia="Times New Roman"/>
          <w:spacing w:val="-4"/>
          <w:lang w:val="sq-AL" w:eastAsia="en-GB"/>
        </w:rPr>
        <w:t>“Përmbajtja e anekseve 1 dhe 2, pjesë përbërëse e rregullores sipas nenit 20 të saj, ndryshon sipas përmbajtjes së anekseve 1 dhe 2, bashkëlidhur dhe pjesë përbërëse e këtij vendimi”.</w:t>
      </w:r>
    </w:p>
    <w:p w:rsidR="001E6E98" w:rsidRDefault="001E6E98" w:rsidP="001E6E98">
      <w:pPr>
        <w:pStyle w:val="Paragrafi"/>
        <w:rPr>
          <w:rFonts w:eastAsia="Times New Roman"/>
          <w:spacing w:val="-4"/>
          <w:lang w:val="sq-AL" w:eastAsia="en-GB"/>
        </w:rPr>
      </w:pPr>
      <w:r>
        <w:rPr>
          <w:rFonts w:eastAsia="Times New Roman"/>
          <w:spacing w:val="-4"/>
          <w:lang w:val="sq-AL" w:eastAsia="en-GB"/>
        </w:rPr>
        <w:t>2. Me zbatimin e këtij vendimi ngarkohet Departamenti i Operacioneve Monetare dhe Departamenti i Statistikave Financiare.</w:t>
      </w:r>
    </w:p>
    <w:p w:rsidR="001E6E98" w:rsidRDefault="001E6E98" w:rsidP="001E6E98">
      <w:pPr>
        <w:pStyle w:val="Paragrafi"/>
        <w:rPr>
          <w:rFonts w:eastAsia="Times New Roman"/>
          <w:spacing w:val="-4"/>
          <w:lang w:val="sq-AL" w:eastAsia="en-GB"/>
        </w:rPr>
      </w:pPr>
      <w:r>
        <w:rPr>
          <w:rFonts w:eastAsia="Times New Roman"/>
          <w:spacing w:val="-4"/>
          <w:lang w:val="sq-AL" w:eastAsia="en-GB"/>
        </w:rPr>
        <w:t>3. Ngarkohet kabineti i Guvernatorit me publikimin e këtij vendimi në Fletoren Zyrtare të Republikës së Shqipërisë dhe Departamenti i Kërkimeve me publikimin në Buletinin Zyrtar dhe në faqen e internetit të Bankës së Shqipërisë.</w:t>
      </w:r>
    </w:p>
    <w:p w:rsidR="001E6E98" w:rsidRDefault="001E6E98" w:rsidP="001E6E98">
      <w:pPr>
        <w:pStyle w:val="Paragrafi"/>
        <w:rPr>
          <w:rFonts w:eastAsia="Times New Roman"/>
          <w:spacing w:val="-4"/>
          <w:lang w:val="sq-AL" w:eastAsia="en-GB"/>
        </w:rPr>
      </w:pPr>
      <w:r>
        <w:rPr>
          <w:rFonts w:eastAsia="Times New Roman"/>
          <w:spacing w:val="-4"/>
          <w:lang w:val="sq-AL" w:eastAsia="en-GB"/>
        </w:rPr>
        <w:t>Ky vendim hyn në fuqi menjëherë.</w:t>
      </w:r>
    </w:p>
    <w:p w:rsidR="001E6E98" w:rsidRDefault="001E6E98" w:rsidP="001E6E98">
      <w:pPr>
        <w:pStyle w:val="Paragrafi"/>
        <w:jc w:val="right"/>
        <w:rPr>
          <w:rFonts w:eastAsia="Times New Roman"/>
          <w:spacing w:val="-4"/>
          <w:lang w:val="sq-AL" w:eastAsia="en-GB"/>
        </w:rPr>
      </w:pPr>
    </w:p>
    <w:p w:rsidR="001E6E98" w:rsidRDefault="001E6E98" w:rsidP="001E6E98">
      <w:pPr>
        <w:pStyle w:val="Paragrafi"/>
        <w:jc w:val="right"/>
        <w:rPr>
          <w:rFonts w:eastAsia="Times New Roman"/>
          <w:spacing w:val="-4"/>
          <w:lang w:val="sq-AL" w:eastAsia="en-GB"/>
        </w:rPr>
      </w:pPr>
      <w:r>
        <w:rPr>
          <w:rFonts w:eastAsia="Times New Roman"/>
          <w:spacing w:val="-4"/>
          <w:lang w:val="sq-AL" w:eastAsia="en-GB"/>
        </w:rPr>
        <w:t>KRYETARI</w:t>
      </w:r>
    </w:p>
    <w:p w:rsidR="001E6E98" w:rsidRDefault="001E6E98" w:rsidP="001E6E98">
      <w:pPr>
        <w:pStyle w:val="Paragrafi"/>
        <w:jc w:val="right"/>
        <w:rPr>
          <w:rFonts w:eastAsia="Times New Roman"/>
          <w:b/>
          <w:spacing w:val="-4"/>
          <w:lang w:val="sq-AL" w:eastAsia="en-GB"/>
        </w:rPr>
      </w:pPr>
      <w:r>
        <w:rPr>
          <w:rFonts w:eastAsia="Times New Roman"/>
          <w:b/>
          <w:spacing w:val="-4"/>
          <w:lang w:val="sq-AL" w:eastAsia="en-GB"/>
        </w:rPr>
        <w:t>Genti Sejko</w:t>
      </w:r>
    </w:p>
    <w:p w:rsidR="001E6E98" w:rsidRDefault="001E6E98" w:rsidP="001E6E98">
      <w:pPr>
        <w:pStyle w:val="Paragrafi"/>
        <w:rPr>
          <w:rFonts w:eastAsia="Times New Roman"/>
          <w:spacing w:val="-4"/>
          <w:lang w:val="sq-AL" w:eastAsia="en-GB"/>
        </w:rPr>
      </w:pPr>
    </w:p>
    <w:p w:rsidR="001E6E98" w:rsidRDefault="001E6E98" w:rsidP="001E6E98">
      <w:pPr>
        <w:pStyle w:val="Paragrafi"/>
        <w:rPr>
          <w:rFonts w:eastAsia="Times New Roman"/>
          <w:spacing w:val="-4"/>
          <w:lang w:val="sq-AL" w:eastAsia="en-GB"/>
        </w:rPr>
        <w:sectPr w:rsidR="001E6E98" w:rsidSect="001E6E98">
          <w:pgSz w:w="11907" w:h="16840"/>
          <w:pgMar w:top="720" w:right="1134" w:bottom="720" w:left="1134" w:header="851" w:footer="851" w:gutter="0"/>
          <w:cols w:space="454"/>
        </w:sectPr>
      </w:pPr>
    </w:p>
    <w:p w:rsidR="001E6E98" w:rsidRDefault="001E6E98" w:rsidP="001E6E98">
      <w:pPr>
        <w:pStyle w:val="Paragrafi"/>
        <w:rPr>
          <w:rFonts w:eastAsia="Times New Roman"/>
          <w:spacing w:val="-4"/>
          <w:lang w:val="sq-AL" w:eastAsia="en-GB"/>
        </w:rPr>
      </w:pPr>
    </w:p>
    <w:p w:rsidR="001E6E98" w:rsidRDefault="001E6E98" w:rsidP="001E6E98">
      <w:pPr>
        <w:spacing w:after="0" w:line="240" w:lineRule="auto"/>
        <w:ind w:firstLine="0"/>
        <w:jc w:val="left"/>
        <w:rPr>
          <w:rFonts w:ascii="Garamond" w:eastAsia="Times New Roman" w:hAnsi="Garamond" w:cs="CG Times"/>
          <w:spacing w:val="-4"/>
          <w:sz w:val="24"/>
          <w:lang w:val="sq-AL" w:eastAsia="en-GB"/>
        </w:rPr>
        <w:sectPr w:rsidR="001E6E98" w:rsidSect="001E6E98">
          <w:type w:val="continuous"/>
          <w:pgSz w:w="11907" w:h="16840"/>
          <w:pgMar w:top="720" w:right="1134" w:bottom="720" w:left="1134" w:header="851" w:footer="851" w:gutter="0"/>
          <w:cols w:num="2" w:space="454"/>
        </w:sectPr>
      </w:pPr>
    </w:p>
    <w:p w:rsidR="001E6E98" w:rsidRDefault="001E6E98" w:rsidP="001E6E98">
      <w:pPr>
        <w:pStyle w:val="Paragrafi"/>
        <w:rPr>
          <w:rFonts w:eastAsia="Times New Roman"/>
          <w:spacing w:val="-4"/>
          <w:lang w:val="sq-AL" w:eastAsia="en-GB"/>
        </w:rPr>
      </w:pPr>
    </w:p>
    <w:p w:rsidR="001E6E98" w:rsidRDefault="001E6E98" w:rsidP="001E6E98">
      <w:pPr>
        <w:pStyle w:val="Paragrafi"/>
        <w:jc w:val="center"/>
        <w:rPr>
          <w:rFonts w:eastAsia="Times New Roman"/>
          <w:noProof/>
          <w:spacing w:val="-4"/>
        </w:rPr>
      </w:pPr>
    </w:p>
    <w:p w:rsidR="001E6E98" w:rsidRDefault="001E6E98" w:rsidP="001E6E98">
      <w:pPr>
        <w:pStyle w:val="Paragrafi"/>
        <w:jc w:val="center"/>
        <w:rPr>
          <w:rFonts w:eastAsia="Times New Roman"/>
          <w:noProof/>
          <w:spacing w:val="-4"/>
        </w:rPr>
      </w:pPr>
    </w:p>
    <w:p w:rsidR="001E6E98" w:rsidRDefault="001E6E98" w:rsidP="001E6E98">
      <w:pPr>
        <w:spacing w:after="0" w:line="240" w:lineRule="auto"/>
        <w:ind w:firstLine="0"/>
        <w:jc w:val="left"/>
        <w:rPr>
          <w:rFonts w:ascii="Garamond" w:eastAsia="Times New Roman" w:hAnsi="Garamond" w:cs="CG Times"/>
          <w:noProof/>
          <w:spacing w:val="-4"/>
          <w:sz w:val="24"/>
        </w:rPr>
      </w:pPr>
    </w:p>
    <w:p w:rsidR="001E6E98" w:rsidRDefault="001E6E98" w:rsidP="001E6E98">
      <w:pPr>
        <w:spacing w:after="0" w:line="240" w:lineRule="auto"/>
        <w:ind w:firstLine="0"/>
        <w:jc w:val="left"/>
        <w:rPr>
          <w:rFonts w:ascii="Garamond" w:eastAsia="Times New Roman" w:hAnsi="Garamond" w:cs="CG Times"/>
          <w:noProof/>
          <w:spacing w:val="-4"/>
          <w:sz w:val="24"/>
        </w:rPr>
      </w:pPr>
    </w:p>
    <w:p w:rsidR="001E6E98" w:rsidRDefault="001E6E98" w:rsidP="001E6E98">
      <w:pPr>
        <w:spacing w:after="0" w:line="240" w:lineRule="auto"/>
        <w:ind w:firstLine="0"/>
        <w:jc w:val="left"/>
        <w:rPr>
          <w:rFonts w:ascii="Garamond" w:eastAsia="Times New Roman" w:hAnsi="Garamond" w:cs="CG Times"/>
          <w:noProof/>
          <w:spacing w:val="-4"/>
          <w:sz w:val="24"/>
        </w:rPr>
      </w:pPr>
    </w:p>
    <w:tbl>
      <w:tblPr>
        <w:tblW w:w="5200" w:type="pct"/>
        <w:jc w:val="center"/>
        <w:tblLook w:val="04A0" w:firstRow="1" w:lastRow="0" w:firstColumn="1" w:lastColumn="0" w:noHBand="0" w:noVBand="1"/>
      </w:tblPr>
      <w:tblGrid>
        <w:gridCol w:w="522"/>
        <w:gridCol w:w="5284"/>
        <w:gridCol w:w="675"/>
        <w:gridCol w:w="767"/>
        <w:gridCol w:w="614"/>
        <w:gridCol w:w="663"/>
        <w:gridCol w:w="657"/>
        <w:gridCol w:w="676"/>
        <w:gridCol w:w="767"/>
        <w:gridCol w:w="614"/>
        <w:gridCol w:w="663"/>
        <w:gridCol w:w="708"/>
        <w:gridCol w:w="705"/>
        <w:gridCol w:w="767"/>
        <w:gridCol w:w="614"/>
        <w:gridCol w:w="663"/>
        <w:gridCol w:w="657"/>
      </w:tblGrid>
      <w:tr w:rsidR="001E6E98" w:rsidTr="001E6E98">
        <w:trPr>
          <w:trHeight w:val="580"/>
          <w:jc w:val="center"/>
        </w:trPr>
        <w:tc>
          <w:tcPr>
            <w:tcW w:w="5000" w:type="pct"/>
            <w:gridSpan w:val="17"/>
            <w:noWrap/>
            <w:vAlign w:val="bottom"/>
            <w:hideMark/>
          </w:tcPr>
          <w:p w:rsidR="001E6E98" w:rsidRDefault="001E6E98">
            <w:pPr>
              <w:spacing w:after="0" w:line="240" w:lineRule="auto"/>
              <w:rPr>
                <w:rFonts w:ascii="Arial" w:eastAsia="Times New Roman" w:hAnsi="Arial" w:cs="Arial"/>
                <w:sz w:val="12"/>
                <w:szCs w:val="12"/>
                <w:lang w:eastAsia="en-GB"/>
              </w:rPr>
            </w:pPr>
            <w:r>
              <w:rPr>
                <w:rFonts w:ascii="Arial" w:eastAsia="Times New Roman" w:hAnsi="Arial" w:cs="Arial"/>
                <w:sz w:val="12"/>
                <w:szCs w:val="12"/>
                <w:lang w:eastAsia="en-GB"/>
              </w:rPr>
              <w:t xml:space="preserve">NR. I FORMULARIT: </w:t>
            </w:r>
            <w:r>
              <w:rPr>
                <w:rFonts w:ascii="Arial" w:eastAsia="Times New Roman" w:hAnsi="Arial" w:cs="Arial"/>
                <w:b/>
                <w:bCs/>
                <w:sz w:val="12"/>
                <w:szCs w:val="12"/>
                <w:lang w:eastAsia="en-GB"/>
              </w:rPr>
              <w:t>F1</w:t>
            </w:r>
          </w:p>
          <w:p w:rsidR="001E6E98" w:rsidRDefault="001E6E98">
            <w:pPr>
              <w:spacing w:after="0" w:line="240" w:lineRule="auto"/>
              <w:rPr>
                <w:rFonts w:ascii="Arial" w:eastAsia="Times New Roman" w:hAnsi="Arial" w:cs="Arial"/>
                <w:sz w:val="12"/>
                <w:szCs w:val="12"/>
                <w:lang w:eastAsia="en-GB"/>
              </w:rPr>
            </w:pPr>
            <w:r>
              <w:rPr>
                <w:rFonts w:ascii="Arial" w:eastAsia="Times New Roman" w:hAnsi="Arial" w:cs="Arial"/>
                <w:sz w:val="12"/>
                <w:szCs w:val="12"/>
                <w:lang w:eastAsia="en-GB"/>
              </w:rPr>
              <w:t xml:space="preserve">EMRI I FORMULARIT: </w:t>
            </w:r>
            <w:r>
              <w:rPr>
                <w:rFonts w:ascii="Arial" w:eastAsia="Times New Roman" w:hAnsi="Arial" w:cs="Arial"/>
                <w:b/>
                <w:bCs/>
                <w:sz w:val="12"/>
                <w:szCs w:val="12"/>
                <w:lang w:eastAsia="en-GB"/>
              </w:rPr>
              <w:t>Pasqyra e llogaritjes së rezervës së detyruar në LEKE, USD dhe EURO</w:t>
            </w:r>
          </w:p>
          <w:p w:rsidR="001E6E98" w:rsidRDefault="001E6E98">
            <w:pPr>
              <w:spacing w:after="0" w:line="240" w:lineRule="auto"/>
              <w:rPr>
                <w:rFonts w:ascii="Arial" w:eastAsia="Times New Roman" w:hAnsi="Arial" w:cs="Arial"/>
                <w:sz w:val="12"/>
                <w:szCs w:val="12"/>
                <w:lang w:eastAsia="en-GB"/>
              </w:rPr>
            </w:pPr>
            <w:r>
              <w:rPr>
                <w:rFonts w:ascii="Arial" w:eastAsia="Times New Roman" w:hAnsi="Arial" w:cs="Arial"/>
                <w:sz w:val="12"/>
                <w:szCs w:val="12"/>
                <w:lang w:eastAsia="en-GB"/>
              </w:rPr>
              <w:t xml:space="preserve">PERIODICITETI: </w:t>
            </w:r>
            <w:r>
              <w:rPr>
                <w:rFonts w:ascii="Arial" w:eastAsia="Times New Roman" w:hAnsi="Arial" w:cs="Arial"/>
                <w:b/>
                <w:bCs/>
                <w:sz w:val="12"/>
                <w:szCs w:val="12"/>
                <w:lang w:eastAsia="en-GB"/>
              </w:rPr>
              <w:t>Mujor</w:t>
            </w:r>
          </w:p>
          <w:p w:rsidR="001E6E98" w:rsidRDefault="001E6E98">
            <w:pPr>
              <w:spacing w:after="0" w:line="240" w:lineRule="auto"/>
              <w:rPr>
                <w:rFonts w:ascii="Arial" w:eastAsia="Times New Roman" w:hAnsi="Arial" w:cs="Arial"/>
                <w:sz w:val="12"/>
                <w:szCs w:val="12"/>
                <w:lang w:eastAsia="en-GB"/>
              </w:rPr>
            </w:pPr>
            <w:r>
              <w:rPr>
                <w:rFonts w:ascii="Arial" w:eastAsia="Times New Roman" w:hAnsi="Arial" w:cs="Arial"/>
                <w:sz w:val="12"/>
                <w:szCs w:val="12"/>
                <w:lang w:eastAsia="en-GB"/>
              </w:rPr>
              <w:t xml:space="preserve">MONEDHA E RAPORTIMIT: </w:t>
            </w:r>
            <w:r>
              <w:rPr>
                <w:rFonts w:ascii="Arial" w:eastAsia="Times New Roman" w:hAnsi="Arial" w:cs="Arial"/>
                <w:b/>
                <w:bCs/>
                <w:sz w:val="12"/>
                <w:szCs w:val="12"/>
                <w:lang w:eastAsia="en-GB"/>
              </w:rPr>
              <w:t>Monedhë origjinale</w:t>
            </w:r>
          </w:p>
          <w:p w:rsidR="001E6E98" w:rsidRDefault="001E6E98">
            <w:pPr>
              <w:spacing w:after="0" w:line="240" w:lineRule="auto"/>
              <w:rPr>
                <w:rFonts w:ascii="Arial" w:eastAsia="Times New Roman" w:hAnsi="Arial" w:cs="Arial"/>
                <w:sz w:val="11"/>
                <w:szCs w:val="11"/>
                <w:lang w:eastAsia="en-GB"/>
              </w:rPr>
            </w:pPr>
            <w:r>
              <w:rPr>
                <w:rFonts w:ascii="Arial" w:eastAsia="Times New Roman" w:hAnsi="Arial" w:cs="Arial"/>
                <w:sz w:val="12"/>
                <w:szCs w:val="12"/>
                <w:lang w:eastAsia="en-GB"/>
              </w:rPr>
              <w:t xml:space="preserve">NJËSIA: </w:t>
            </w:r>
            <w:r>
              <w:rPr>
                <w:rFonts w:ascii="Arial" w:eastAsia="Times New Roman" w:hAnsi="Arial" w:cs="Arial"/>
                <w:b/>
                <w:bCs/>
                <w:sz w:val="12"/>
                <w:szCs w:val="12"/>
                <w:lang w:eastAsia="en-GB"/>
              </w:rPr>
              <w:t>Njësi monetare</w:t>
            </w:r>
          </w:p>
        </w:tc>
      </w:tr>
      <w:tr w:rsidR="001E6E98" w:rsidTr="001E6E98">
        <w:trPr>
          <w:trHeight w:val="360"/>
          <w:jc w:val="center"/>
        </w:trPr>
        <w:tc>
          <w:tcPr>
            <w:tcW w:w="182" w:type="pct"/>
            <w:vMerge w:val="restart"/>
            <w:tcBorders>
              <w:top w:val="single" w:sz="8" w:space="0" w:color="auto"/>
              <w:left w:val="single" w:sz="8" w:space="0" w:color="auto"/>
              <w:bottom w:val="single" w:sz="8" w:space="0" w:color="000000"/>
              <w:right w:val="single" w:sz="4" w:space="0" w:color="auto"/>
            </w:tcBorders>
            <w:noWrap/>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Kodi</w:t>
            </w:r>
          </w:p>
        </w:tc>
        <w:tc>
          <w:tcPr>
            <w:tcW w:w="1112" w:type="pct"/>
            <w:vMerge w:val="restart"/>
            <w:tcBorders>
              <w:top w:val="single" w:sz="8" w:space="0" w:color="auto"/>
              <w:left w:val="single" w:sz="4" w:space="0" w:color="auto"/>
              <w:bottom w:val="single" w:sz="8" w:space="0" w:color="000000"/>
              <w:right w:val="single" w:sz="4" w:space="0" w:color="auto"/>
            </w:tcBorders>
            <w:noWrap/>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KATEGORITE E PASIVEVE</w:t>
            </w:r>
          </w:p>
        </w:tc>
        <w:tc>
          <w:tcPr>
            <w:tcW w:w="707" w:type="pct"/>
            <w:gridSpan w:val="3"/>
            <w:tcBorders>
              <w:top w:val="single" w:sz="8" w:space="0" w:color="auto"/>
              <w:left w:val="nil"/>
              <w:bottom w:val="single" w:sz="4" w:space="0" w:color="auto"/>
              <w:right w:val="single" w:sz="4" w:space="0" w:color="auto"/>
            </w:tcBorders>
            <w:noWrap/>
            <w:vAlign w:val="bottom"/>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LEKË</w:t>
            </w:r>
          </w:p>
        </w:tc>
        <w:tc>
          <w:tcPr>
            <w:tcW w:w="261" w:type="pct"/>
            <w:vMerge w:val="restart"/>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 xml:space="preserve">Norma e rezervës së detyruar </w:t>
            </w:r>
          </w:p>
        </w:tc>
        <w:tc>
          <w:tcPr>
            <w:tcW w:w="261" w:type="pct"/>
            <w:vMerge w:val="restart"/>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Rezerva e detyruar në LEKË</w:t>
            </w:r>
          </w:p>
        </w:tc>
        <w:tc>
          <w:tcPr>
            <w:tcW w:w="739" w:type="pct"/>
            <w:gridSpan w:val="3"/>
            <w:tcBorders>
              <w:top w:val="single" w:sz="8" w:space="0" w:color="auto"/>
              <w:left w:val="nil"/>
              <w:bottom w:val="single" w:sz="4" w:space="0" w:color="auto"/>
              <w:right w:val="single" w:sz="4" w:space="0" w:color="auto"/>
            </w:tcBorders>
            <w:noWrap/>
            <w:vAlign w:val="bottom"/>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USD</w:t>
            </w:r>
          </w:p>
        </w:tc>
        <w:tc>
          <w:tcPr>
            <w:tcW w:w="261" w:type="pct"/>
            <w:vMerge w:val="restart"/>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 xml:space="preserve">Norma e rezervës së detyruar </w:t>
            </w:r>
          </w:p>
        </w:tc>
        <w:tc>
          <w:tcPr>
            <w:tcW w:w="262" w:type="pct"/>
            <w:vMerge w:val="restart"/>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Rezerva e detyruar në USD</w:t>
            </w:r>
          </w:p>
        </w:tc>
        <w:tc>
          <w:tcPr>
            <w:tcW w:w="739" w:type="pct"/>
            <w:gridSpan w:val="3"/>
            <w:tcBorders>
              <w:top w:val="single" w:sz="8" w:space="0" w:color="auto"/>
              <w:left w:val="nil"/>
              <w:bottom w:val="single" w:sz="4" w:space="0" w:color="auto"/>
              <w:right w:val="single" w:sz="4" w:space="0" w:color="auto"/>
            </w:tcBorders>
            <w:noWrap/>
            <w:vAlign w:val="bottom"/>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EURO</w:t>
            </w:r>
          </w:p>
        </w:tc>
        <w:tc>
          <w:tcPr>
            <w:tcW w:w="217" w:type="pct"/>
            <w:vMerge w:val="restart"/>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 xml:space="preserve">Norma e rezervës së detyruar </w:t>
            </w:r>
          </w:p>
        </w:tc>
        <w:tc>
          <w:tcPr>
            <w:tcW w:w="259" w:type="pct"/>
            <w:vMerge w:val="restart"/>
            <w:tcBorders>
              <w:top w:val="single" w:sz="8" w:space="0" w:color="auto"/>
              <w:left w:val="single" w:sz="4" w:space="0" w:color="auto"/>
              <w:bottom w:val="single" w:sz="8" w:space="0" w:color="000000"/>
              <w:right w:val="single" w:sz="8" w:space="0" w:color="auto"/>
            </w:tcBorders>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Rezerva e detyruar në EURO</w:t>
            </w:r>
          </w:p>
        </w:tc>
      </w:tr>
      <w:tr w:rsidR="001E6E98" w:rsidTr="001E6E98">
        <w:trPr>
          <w:trHeight w:val="191"/>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1E6E98" w:rsidRDefault="001E6E98">
            <w:pPr>
              <w:spacing w:after="0"/>
              <w:ind w:firstLine="0"/>
              <w:jc w:val="left"/>
              <w:rPr>
                <w:rFonts w:ascii="Arial" w:eastAsia="Times New Roman" w:hAnsi="Arial" w:cs="Arial"/>
                <w:b/>
                <w:bCs/>
                <w:sz w:val="11"/>
                <w:szCs w:val="11"/>
                <w:lang w:eastAsia="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ind w:firstLine="0"/>
              <w:jc w:val="left"/>
              <w:rPr>
                <w:rFonts w:ascii="Arial" w:eastAsia="Times New Roman" w:hAnsi="Arial" w:cs="Arial"/>
                <w:b/>
                <w:bCs/>
                <w:sz w:val="11"/>
                <w:szCs w:val="11"/>
                <w:lang w:eastAsia="en-GB"/>
              </w:rPr>
            </w:pPr>
          </w:p>
        </w:tc>
        <w:tc>
          <w:tcPr>
            <w:tcW w:w="228"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Rezident</w:t>
            </w:r>
          </w:p>
        </w:tc>
        <w:tc>
          <w:tcPr>
            <w:tcW w:w="261"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Jorezident</w:t>
            </w:r>
          </w:p>
        </w:tc>
        <w:tc>
          <w:tcPr>
            <w:tcW w:w="218"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TOTALI</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ind w:firstLine="0"/>
              <w:jc w:val="left"/>
              <w:rPr>
                <w:rFonts w:ascii="Arial" w:eastAsia="Times New Roman" w:hAnsi="Arial" w:cs="Arial"/>
                <w:b/>
                <w:bCs/>
                <w:sz w:val="11"/>
                <w:szCs w:val="11"/>
                <w:lang w:eastAsia="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ind w:firstLine="0"/>
              <w:jc w:val="left"/>
              <w:rPr>
                <w:rFonts w:ascii="Arial" w:eastAsia="Times New Roman" w:hAnsi="Arial" w:cs="Arial"/>
                <w:b/>
                <w:bCs/>
                <w:sz w:val="11"/>
                <w:szCs w:val="11"/>
                <w:lang w:eastAsia="en-GB"/>
              </w:rPr>
            </w:pPr>
          </w:p>
        </w:tc>
        <w:tc>
          <w:tcPr>
            <w:tcW w:w="261"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Rezident</w:t>
            </w:r>
          </w:p>
        </w:tc>
        <w:tc>
          <w:tcPr>
            <w:tcW w:w="261"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Jorezident</w:t>
            </w:r>
          </w:p>
        </w:tc>
        <w:tc>
          <w:tcPr>
            <w:tcW w:w="217"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TOTALI</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ind w:firstLine="0"/>
              <w:jc w:val="left"/>
              <w:rPr>
                <w:rFonts w:ascii="Arial" w:eastAsia="Times New Roman" w:hAnsi="Arial" w:cs="Arial"/>
                <w:b/>
                <w:bCs/>
                <w:sz w:val="11"/>
                <w:szCs w:val="11"/>
                <w:lang w:eastAsia="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ind w:firstLine="0"/>
              <w:jc w:val="left"/>
              <w:rPr>
                <w:rFonts w:ascii="Arial" w:eastAsia="Times New Roman" w:hAnsi="Arial" w:cs="Arial"/>
                <w:b/>
                <w:bCs/>
                <w:sz w:val="11"/>
                <w:szCs w:val="11"/>
                <w:lang w:eastAsia="en-GB"/>
              </w:rPr>
            </w:pPr>
          </w:p>
        </w:tc>
        <w:tc>
          <w:tcPr>
            <w:tcW w:w="261"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Rezident</w:t>
            </w:r>
          </w:p>
        </w:tc>
        <w:tc>
          <w:tcPr>
            <w:tcW w:w="261"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Jorezident</w:t>
            </w:r>
          </w:p>
        </w:tc>
        <w:tc>
          <w:tcPr>
            <w:tcW w:w="217"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TOTALI</w:t>
            </w: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1E6E98" w:rsidRDefault="001E6E98">
            <w:pPr>
              <w:spacing w:after="0"/>
              <w:ind w:firstLine="0"/>
              <w:jc w:val="left"/>
              <w:rPr>
                <w:rFonts w:ascii="Arial" w:eastAsia="Times New Roman" w:hAnsi="Arial" w:cs="Arial"/>
                <w:b/>
                <w:bCs/>
                <w:sz w:val="11"/>
                <w:szCs w:val="11"/>
                <w:lang w:eastAsia="en-GB"/>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rsidR="001E6E98" w:rsidRDefault="001E6E98">
            <w:pPr>
              <w:spacing w:after="0"/>
              <w:ind w:firstLine="0"/>
              <w:jc w:val="left"/>
              <w:rPr>
                <w:rFonts w:ascii="Arial" w:eastAsia="Times New Roman" w:hAnsi="Arial" w:cs="Arial"/>
                <w:b/>
                <w:bCs/>
                <w:sz w:val="11"/>
                <w:szCs w:val="11"/>
                <w:lang w:eastAsia="en-GB"/>
              </w:rPr>
            </w:pPr>
          </w:p>
        </w:tc>
      </w:tr>
      <w:tr w:rsidR="001E6E98" w:rsidTr="001E6E98">
        <w:trPr>
          <w:trHeight w:val="166"/>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sz w:val="11"/>
                <w:szCs w:val="11"/>
                <w:lang w:eastAsia="en-GB"/>
              </w:rPr>
            </w:pPr>
            <w:r>
              <w:rPr>
                <w:rFonts w:ascii="Arial" w:eastAsia="Times New Roman" w:hAnsi="Arial" w:cs="Arial"/>
                <w:b/>
                <w:bCs/>
                <w:sz w:val="11"/>
                <w:szCs w:val="11"/>
                <w:lang w:eastAsia="en-GB"/>
              </w:rPr>
              <w:t>13</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Llogari rrjedhëse me bankat, institucionet e kreditit dhe institucionet e tjera financiare</w:t>
            </w:r>
          </w:p>
        </w:tc>
        <w:tc>
          <w:tcPr>
            <w:tcW w:w="228"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18"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A6A6A6"/>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2" w:type="pct"/>
            <w:tcBorders>
              <w:top w:val="nil"/>
              <w:left w:val="nil"/>
              <w:bottom w:val="single" w:sz="4" w:space="0" w:color="auto"/>
              <w:right w:val="single" w:sz="4" w:space="0" w:color="auto"/>
            </w:tcBorders>
            <w:shd w:val="clear" w:color="auto" w:fill="A6A6A6"/>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17" w:type="pct"/>
            <w:tcBorders>
              <w:top w:val="nil"/>
              <w:left w:val="nil"/>
              <w:bottom w:val="single" w:sz="4" w:space="0" w:color="auto"/>
              <w:right w:val="single" w:sz="4" w:space="0" w:color="auto"/>
            </w:tcBorders>
            <w:shd w:val="clear" w:color="auto" w:fill="FF0000"/>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59" w:type="pct"/>
            <w:tcBorders>
              <w:top w:val="nil"/>
              <w:left w:val="nil"/>
              <w:bottom w:val="single" w:sz="4" w:space="0" w:color="auto"/>
              <w:right w:val="single" w:sz="4" w:space="0" w:color="auto"/>
            </w:tcBorders>
            <w:shd w:val="clear" w:color="auto" w:fill="A6A6A6"/>
            <w:vAlign w:val="center"/>
            <w:hideMark/>
          </w:tcPr>
          <w:p w:rsidR="001E6E98" w:rsidRDefault="001E6E98">
            <w:pPr>
              <w:spacing w:after="0" w:line="240" w:lineRule="auto"/>
              <w:ind w:firstLine="0"/>
              <w:jc w:val="center"/>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131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 xml:space="preserve"> Llogari rrjedhëse në bankat, institucionet e kreditit dhe institucionet e tjera financiare rezidente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114"/>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1312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 Llogari rrjedhëse me institucionet e kreditit dhe institucione të tjera financiare rezidente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132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Llogari rrjedhëse në bankat, institucionet e kreditit dhe institucionet e tjera financiare jorezidente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204"/>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1321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Llogari rrjedhëse në bankat, instituc. e kreditit dhe instituc. e tjera financiare jorezidente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285"/>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sz w:val="11"/>
                <w:szCs w:val="11"/>
                <w:lang w:eastAsia="en-GB"/>
              </w:rPr>
            </w:pPr>
            <w:r>
              <w:rPr>
                <w:rFonts w:ascii="Arial" w:eastAsia="Times New Roman" w:hAnsi="Arial" w:cs="Arial"/>
                <w:b/>
                <w:bCs/>
                <w:sz w:val="11"/>
                <w:szCs w:val="11"/>
                <w:lang w:eastAsia="en-GB"/>
              </w:rPr>
              <w:t>16</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xml:space="preserve"> Depozita nga bankat, institucionet e kreditit dhe institucionet e tjera financiare </w:t>
            </w:r>
          </w:p>
        </w:tc>
        <w:tc>
          <w:tcPr>
            <w:tcW w:w="228"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161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 xml:space="preserve"> Depozita nga bankat, institucionet e kreditit dhe institucionet e tjera financiare rezidente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1611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Depozita pa afat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16112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Depozita me institucionet e kreditit dhe institucionet e tjera financiare  </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1612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Depozita me afat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16122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Depozita me institucionet e kreditit dhe institucionet e tjera financiare </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Depozita me afat maturimi deri ne nje vit</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Depozita me afat maturimi mbi 1 vit deri ne 2 vjet</w:t>
            </w:r>
            <w:r>
              <w:rPr>
                <w:rFonts w:ascii="Arial" w:eastAsia="Times New Roman" w:hAnsi="Arial" w:cs="Arial"/>
                <w:i/>
                <w:iCs/>
                <w:sz w:val="11"/>
                <w:szCs w:val="11"/>
                <w:vertAlign w:val="superscript"/>
                <w:lang w:eastAsia="en-GB"/>
              </w:rPr>
              <w:t xml:space="preserve"> 1</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2 vjet </w:t>
            </w:r>
            <w:r>
              <w:rPr>
                <w:rFonts w:ascii="Arial" w:eastAsia="Times New Roman" w:hAnsi="Arial" w:cs="Arial"/>
                <w:i/>
                <w:iCs/>
                <w:sz w:val="11"/>
                <w:szCs w:val="11"/>
                <w:vertAlign w:val="superscript"/>
                <w:lang w:eastAsia="en-GB"/>
              </w:rPr>
              <w:t>2</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162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Depozita nga bankat, institucionet e kreditit dhe institucione të tjera financiare jorezidente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1621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Pa afat</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1622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Me afat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Depozita me afat maturimi deri ne nje vit</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3</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2 vjet </w:t>
            </w:r>
            <w:r>
              <w:rPr>
                <w:rFonts w:ascii="Arial" w:eastAsia="Times New Roman" w:hAnsi="Arial" w:cs="Arial"/>
                <w:i/>
                <w:iCs/>
                <w:sz w:val="11"/>
                <w:szCs w:val="11"/>
                <w:vertAlign w:val="superscript"/>
                <w:lang w:eastAsia="en-GB"/>
              </w:rPr>
              <w:t>4</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285"/>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sz w:val="11"/>
                <w:szCs w:val="11"/>
                <w:lang w:eastAsia="en-GB"/>
              </w:rPr>
            </w:pPr>
            <w:r>
              <w:rPr>
                <w:rFonts w:ascii="Arial" w:eastAsia="Times New Roman" w:hAnsi="Arial" w:cs="Arial"/>
                <w:b/>
                <w:bCs/>
                <w:sz w:val="11"/>
                <w:szCs w:val="11"/>
                <w:lang w:eastAsia="en-GB"/>
              </w:rPr>
              <w:t>27</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Detyrime ndaj klientëve për llogaritë rrjedhëse dhe depozitat</w:t>
            </w:r>
          </w:p>
        </w:tc>
        <w:tc>
          <w:tcPr>
            <w:tcW w:w="228"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271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Llogari rrjedhëse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lastRenderedPageBreak/>
              <w:t>2711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Individë</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single" w:sz="4" w:space="0" w:color="auto"/>
              <w:left w:val="single" w:sz="4"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2712</w:t>
            </w:r>
          </w:p>
        </w:tc>
        <w:tc>
          <w:tcPr>
            <w:tcW w:w="1112" w:type="pct"/>
            <w:tcBorders>
              <w:top w:val="single" w:sz="4" w:space="0" w:color="auto"/>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Njësi tregtare dhe industriale private</w:t>
            </w:r>
          </w:p>
        </w:tc>
        <w:tc>
          <w:tcPr>
            <w:tcW w:w="228"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single" w:sz="4" w:space="0" w:color="auto"/>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2713</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Njësi tregtare dhe industriale publike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2714</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Punonjës të bankës</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2717</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Klientë të tjerë </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272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Llogari depozitash pa afat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2721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Individë</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2722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Njësi tregtare dhe industriale private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2723</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Njësi tregtare dhe industriale publike</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2724</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Punonjës të bankës</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2727</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Klientë të tjerë </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273</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 xml:space="preserve">Llogari depozitash me afat </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2731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Individë </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2 vjet </w:t>
            </w:r>
            <w:r>
              <w:rPr>
                <w:rFonts w:ascii="Arial" w:eastAsia="Times New Roman" w:hAnsi="Arial" w:cs="Arial"/>
                <w:i/>
                <w:iCs/>
                <w:sz w:val="11"/>
                <w:szCs w:val="11"/>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2732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Njësi tregtare dhe industriale private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8</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9</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2 vjet </w:t>
            </w:r>
            <w:r>
              <w:rPr>
                <w:rFonts w:ascii="Arial" w:eastAsia="Times New Roman" w:hAnsi="Arial" w:cs="Arial"/>
                <w:i/>
                <w:iCs/>
                <w:sz w:val="11"/>
                <w:szCs w:val="11"/>
                <w:vertAlign w:val="superscript"/>
                <w:lang w:eastAsia="en-GB"/>
              </w:rPr>
              <w:t>10</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2733</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Njësi tregtare dhe industriale publike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11</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12</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2 vjet </w:t>
            </w:r>
            <w:r>
              <w:rPr>
                <w:rFonts w:ascii="Arial" w:eastAsia="Times New Roman" w:hAnsi="Arial" w:cs="Arial"/>
                <w:i/>
                <w:iCs/>
                <w:sz w:val="11"/>
                <w:szCs w:val="11"/>
                <w:vertAlign w:val="superscript"/>
                <w:lang w:eastAsia="en-GB"/>
              </w:rPr>
              <w:t>13</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2734</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Punonjës të bankës</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single" w:sz="4" w:space="0" w:color="auto"/>
              <w:left w:val="single" w:sz="4"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single" w:sz="4" w:space="0" w:color="auto"/>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6</w:t>
            </w:r>
          </w:p>
        </w:tc>
        <w:tc>
          <w:tcPr>
            <w:tcW w:w="228"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single" w:sz="4" w:space="0" w:color="auto"/>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single" w:sz="4" w:space="0" w:color="auto"/>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2 vjet </w:t>
            </w:r>
            <w:r>
              <w:rPr>
                <w:rFonts w:ascii="Arial" w:eastAsia="Times New Roman" w:hAnsi="Arial" w:cs="Arial"/>
                <w:i/>
                <w:iCs/>
                <w:sz w:val="11"/>
                <w:szCs w:val="11"/>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lastRenderedPageBreak/>
              <w:t>2737</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Klientë të tjerë </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2 vjet </w:t>
            </w:r>
            <w:r>
              <w:rPr>
                <w:rFonts w:ascii="Arial" w:eastAsia="Times New Roman" w:hAnsi="Arial" w:cs="Arial"/>
                <w:i/>
                <w:iCs/>
                <w:sz w:val="11"/>
                <w:szCs w:val="11"/>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color w:val="000080"/>
                <w:sz w:val="11"/>
                <w:szCs w:val="11"/>
                <w:lang w:eastAsia="en-GB"/>
              </w:rPr>
            </w:pPr>
            <w:r>
              <w:rPr>
                <w:rFonts w:ascii="Arial" w:eastAsia="Times New Roman" w:hAnsi="Arial" w:cs="Arial"/>
                <w:b/>
                <w:bCs/>
                <w:color w:val="000080"/>
                <w:sz w:val="11"/>
                <w:szCs w:val="11"/>
                <w:lang w:eastAsia="en-GB"/>
              </w:rPr>
              <w:t>274</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Certifikatat e depozitave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i/>
                <w:iCs/>
                <w:sz w:val="11"/>
                <w:szCs w:val="11"/>
                <w:lang w:eastAsia="en-GB"/>
              </w:rPr>
            </w:pPr>
            <w:r>
              <w:rPr>
                <w:rFonts w:ascii="Arial" w:eastAsia="Times New Roman" w:hAnsi="Arial" w:cs="Arial"/>
                <w:i/>
                <w:iCs/>
                <w:sz w:val="11"/>
                <w:szCs w:val="11"/>
                <w:lang w:eastAsia="en-GB"/>
              </w:rPr>
              <w:t>2741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Certifikatat e depozitave emërore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27411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              Individë</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Certifikatat e depozitave me afat maturimi mbi 2 vjet </w:t>
            </w:r>
            <w:r>
              <w:rPr>
                <w:rFonts w:ascii="Arial" w:eastAsia="Times New Roman" w:hAnsi="Arial" w:cs="Arial"/>
                <w:i/>
                <w:iCs/>
                <w:sz w:val="11"/>
                <w:szCs w:val="11"/>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27412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              Njësi tregtare dhe industriale private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8</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9</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Certifikatat e depozitave me afat maturimi mbi 2 vjet </w:t>
            </w:r>
            <w:r>
              <w:rPr>
                <w:rFonts w:ascii="Arial" w:eastAsia="Times New Roman" w:hAnsi="Arial" w:cs="Arial"/>
                <w:i/>
                <w:iCs/>
                <w:sz w:val="11"/>
                <w:szCs w:val="11"/>
                <w:vertAlign w:val="superscript"/>
                <w:lang w:eastAsia="en-GB"/>
              </w:rPr>
              <w:t>10</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27413</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              Njësi tregtare dhe industriale publike</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11</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12</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Certifikatat e depozitave me afat maturimi mbi 2 vjet </w:t>
            </w:r>
            <w:r>
              <w:rPr>
                <w:rFonts w:ascii="Arial" w:eastAsia="Times New Roman" w:hAnsi="Arial" w:cs="Arial"/>
                <w:i/>
                <w:iCs/>
                <w:sz w:val="11"/>
                <w:szCs w:val="11"/>
                <w:vertAlign w:val="superscript"/>
                <w:lang w:eastAsia="en-GB"/>
              </w:rPr>
              <w:t>13</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27414</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              Punonjës të bankës</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Certifikatat e depozitave me afat maturimi mbi 2 vjet </w:t>
            </w:r>
            <w:r>
              <w:rPr>
                <w:rFonts w:ascii="Arial" w:eastAsia="Times New Roman" w:hAnsi="Arial" w:cs="Arial"/>
                <w:i/>
                <w:iCs/>
                <w:sz w:val="11"/>
                <w:szCs w:val="11"/>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00"/>
          <w:jc w:val="center"/>
        </w:trPr>
        <w:tc>
          <w:tcPr>
            <w:tcW w:w="182" w:type="pct"/>
            <w:tcBorders>
              <w:top w:val="single" w:sz="4" w:space="0" w:color="auto"/>
              <w:left w:val="single" w:sz="4"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27415</w:t>
            </w:r>
          </w:p>
        </w:tc>
        <w:tc>
          <w:tcPr>
            <w:tcW w:w="1112" w:type="pct"/>
            <w:tcBorders>
              <w:top w:val="single" w:sz="4" w:space="0" w:color="auto"/>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              Klientë të tjerë </w:t>
            </w:r>
          </w:p>
        </w:tc>
        <w:tc>
          <w:tcPr>
            <w:tcW w:w="228"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single" w:sz="4" w:space="0" w:color="auto"/>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single" w:sz="4" w:space="0" w:color="auto"/>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deri ne nje vit </w:t>
            </w:r>
            <w:r>
              <w:rPr>
                <w:rFonts w:ascii="Arial" w:eastAsia="Times New Roman" w:hAnsi="Arial" w:cs="Arial"/>
                <w:i/>
                <w:iCs/>
                <w:sz w:val="11"/>
                <w:szCs w:val="11"/>
                <w:vertAlign w:val="superscript"/>
                <w:lang w:eastAsia="en-GB"/>
              </w:rPr>
              <w:t>5</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Depozita me afat maturimi mbi 1 vit deri ne 2 vjet </w:t>
            </w:r>
            <w:r>
              <w:rPr>
                <w:rFonts w:ascii="Arial" w:eastAsia="Times New Roman" w:hAnsi="Arial" w:cs="Arial"/>
                <w:i/>
                <w:iCs/>
                <w:sz w:val="11"/>
                <w:szCs w:val="11"/>
                <w:vertAlign w:val="superscript"/>
                <w:lang w:eastAsia="en-GB"/>
              </w:rPr>
              <w:t>6</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360"/>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i/>
                <w:iCs/>
                <w:sz w:val="11"/>
                <w:szCs w:val="11"/>
                <w:lang w:eastAsia="en-GB"/>
              </w:rPr>
            </w:pPr>
            <w:r>
              <w:rPr>
                <w:rFonts w:ascii="Arial" w:eastAsia="Times New Roman" w:hAnsi="Arial" w:cs="Arial"/>
                <w:i/>
                <w:iCs/>
                <w:sz w:val="11"/>
                <w:szCs w:val="11"/>
                <w:lang w:eastAsia="en-GB"/>
              </w:rPr>
              <w:t xml:space="preserve">Certifikatat e depozitave me afat maturimi mbi 2 vjet </w:t>
            </w:r>
            <w:r>
              <w:rPr>
                <w:rFonts w:ascii="Arial" w:eastAsia="Times New Roman" w:hAnsi="Arial" w:cs="Arial"/>
                <w:i/>
                <w:iCs/>
                <w:sz w:val="11"/>
                <w:szCs w:val="11"/>
                <w:vertAlign w:val="superscript"/>
                <w:lang w:eastAsia="en-GB"/>
              </w:rPr>
              <w:t>7</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278"/>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i/>
                <w:iCs/>
                <w:sz w:val="11"/>
                <w:szCs w:val="11"/>
                <w:lang w:eastAsia="en-GB"/>
              </w:rPr>
            </w:pPr>
            <w:r>
              <w:rPr>
                <w:rFonts w:ascii="Arial" w:eastAsia="Times New Roman" w:hAnsi="Arial" w:cs="Arial"/>
                <w:i/>
                <w:iCs/>
                <w:sz w:val="11"/>
                <w:szCs w:val="11"/>
                <w:lang w:eastAsia="en-GB"/>
              </w:rPr>
              <w:t>2742</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sz w:val="11"/>
                <w:szCs w:val="11"/>
                <w:lang w:eastAsia="en-GB"/>
              </w:rPr>
            </w:pPr>
            <w:r>
              <w:rPr>
                <w:rFonts w:ascii="Arial" w:eastAsia="Times New Roman" w:hAnsi="Arial" w:cs="Arial"/>
                <w:b/>
                <w:bCs/>
                <w:i/>
                <w:iCs/>
                <w:sz w:val="11"/>
                <w:szCs w:val="11"/>
                <w:lang w:eastAsia="en-GB"/>
              </w:rPr>
              <w:t>Certifikatat e depozitave të mbajtësit</w:t>
            </w:r>
          </w:p>
        </w:tc>
        <w:tc>
          <w:tcPr>
            <w:tcW w:w="22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281"/>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lastRenderedPageBreak/>
              <w:t>27421</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xml:space="preserve">               Kryegjëja</w:t>
            </w:r>
          </w:p>
        </w:tc>
        <w:tc>
          <w:tcPr>
            <w:tcW w:w="22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10%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285"/>
          <w:jc w:val="center"/>
        </w:trPr>
        <w:tc>
          <w:tcPr>
            <w:tcW w:w="182" w:type="pct"/>
            <w:tcBorders>
              <w:top w:val="nil"/>
              <w:left w:val="single" w:sz="8" w:space="0" w:color="auto"/>
              <w:bottom w:val="single" w:sz="4"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sz w:val="11"/>
                <w:szCs w:val="11"/>
                <w:lang w:eastAsia="en-GB"/>
              </w:rPr>
            </w:pPr>
            <w:r>
              <w:rPr>
                <w:rFonts w:ascii="Arial" w:eastAsia="Times New Roman" w:hAnsi="Arial" w:cs="Arial"/>
                <w:b/>
                <w:bCs/>
                <w:sz w:val="11"/>
                <w:szCs w:val="11"/>
                <w:lang w:eastAsia="en-GB"/>
              </w:rPr>
              <w:t>34</w:t>
            </w:r>
          </w:p>
        </w:tc>
        <w:tc>
          <w:tcPr>
            <w:tcW w:w="1112" w:type="pct"/>
            <w:tcBorders>
              <w:top w:val="nil"/>
              <w:left w:val="nil"/>
              <w:bottom w:val="single" w:sz="4"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Letra me vlerë të blera dhe të shitura sipas marrëveshjes së riblerjes</w:t>
            </w:r>
          </w:p>
        </w:tc>
        <w:tc>
          <w:tcPr>
            <w:tcW w:w="228"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4"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4"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219"/>
          <w:jc w:val="center"/>
        </w:trPr>
        <w:tc>
          <w:tcPr>
            <w:tcW w:w="182" w:type="pct"/>
            <w:tcBorders>
              <w:top w:val="nil"/>
              <w:left w:val="single" w:sz="8" w:space="0" w:color="auto"/>
              <w:bottom w:val="single" w:sz="8"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b/>
                <w:bCs/>
                <w:color w:val="000080"/>
                <w:sz w:val="11"/>
                <w:szCs w:val="11"/>
                <w:lang w:eastAsia="en-GB"/>
              </w:rPr>
            </w:pPr>
            <w:r>
              <w:rPr>
                <w:rFonts w:ascii="Arial" w:eastAsia="Times New Roman" w:hAnsi="Arial" w:cs="Arial"/>
                <w:b/>
                <w:bCs/>
                <w:color w:val="000080"/>
                <w:sz w:val="11"/>
                <w:szCs w:val="11"/>
                <w:lang w:eastAsia="en-GB"/>
              </w:rPr>
              <w:t>342</w:t>
            </w:r>
          </w:p>
        </w:tc>
        <w:tc>
          <w:tcPr>
            <w:tcW w:w="1112"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i/>
                <w:iCs/>
                <w:color w:val="000080"/>
                <w:sz w:val="11"/>
                <w:szCs w:val="11"/>
                <w:lang w:eastAsia="en-GB"/>
              </w:rPr>
            </w:pPr>
            <w:r>
              <w:rPr>
                <w:rFonts w:ascii="Arial" w:eastAsia="Times New Roman" w:hAnsi="Arial" w:cs="Arial"/>
                <w:b/>
                <w:bCs/>
                <w:i/>
                <w:iCs/>
                <w:color w:val="000080"/>
                <w:sz w:val="11"/>
                <w:szCs w:val="11"/>
                <w:lang w:eastAsia="en-GB"/>
              </w:rPr>
              <w:t>Letra me vlerë të shitura sipas marrëveshjes së riblerjes</w:t>
            </w:r>
          </w:p>
        </w:tc>
        <w:tc>
          <w:tcPr>
            <w:tcW w:w="228" w:type="pct"/>
            <w:tcBorders>
              <w:top w:val="nil"/>
              <w:left w:val="nil"/>
              <w:bottom w:val="single" w:sz="8"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8" w:type="pct"/>
            <w:tcBorders>
              <w:top w:val="nil"/>
              <w:left w:val="nil"/>
              <w:bottom w:val="single" w:sz="8"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8"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8"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8"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2"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8"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8" w:space="0" w:color="auto"/>
              <w:right w:val="single" w:sz="4" w:space="0" w:color="auto"/>
            </w:tcBorders>
            <w:shd w:val="clear" w:color="auto" w:fill="FFFF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17" w:type="pct"/>
            <w:tcBorders>
              <w:top w:val="nil"/>
              <w:left w:val="nil"/>
              <w:bottom w:val="single" w:sz="8" w:space="0" w:color="auto"/>
              <w:right w:val="single" w:sz="4" w:space="0" w:color="auto"/>
            </w:tcBorders>
            <w:shd w:val="clear" w:color="auto" w:fill="FF0000"/>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59"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r w:rsidR="001E6E98" w:rsidTr="001E6E98">
        <w:trPr>
          <w:trHeight w:val="172"/>
          <w:jc w:val="center"/>
        </w:trPr>
        <w:tc>
          <w:tcPr>
            <w:tcW w:w="182" w:type="pct"/>
            <w:tcBorders>
              <w:top w:val="nil"/>
              <w:left w:val="single" w:sz="8" w:space="0" w:color="auto"/>
              <w:bottom w:val="single" w:sz="8" w:space="0" w:color="auto"/>
              <w:right w:val="single" w:sz="4" w:space="0" w:color="auto"/>
            </w:tcBorders>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1112" w:type="pct"/>
            <w:tcBorders>
              <w:top w:val="nil"/>
              <w:left w:val="nil"/>
              <w:bottom w:val="single" w:sz="8" w:space="0" w:color="auto"/>
              <w:right w:val="single" w:sz="4" w:space="0" w:color="auto"/>
            </w:tcBorders>
            <w:noWrap/>
            <w:vAlign w:val="bottom"/>
            <w:hideMark/>
          </w:tcPr>
          <w:p w:rsidR="001E6E98" w:rsidRDefault="001E6E98">
            <w:pPr>
              <w:spacing w:after="0" w:line="240" w:lineRule="auto"/>
              <w:ind w:firstLine="0"/>
              <w:rPr>
                <w:rFonts w:ascii="Arial" w:eastAsia="Times New Roman" w:hAnsi="Arial" w:cs="Arial"/>
                <w:b/>
                <w:bCs/>
                <w:sz w:val="11"/>
                <w:szCs w:val="11"/>
                <w:lang w:eastAsia="en-GB"/>
              </w:rPr>
            </w:pPr>
            <w:r>
              <w:rPr>
                <w:rFonts w:ascii="Arial" w:eastAsia="Times New Roman" w:hAnsi="Arial" w:cs="Arial"/>
                <w:b/>
                <w:bCs/>
                <w:sz w:val="11"/>
                <w:szCs w:val="11"/>
                <w:lang w:eastAsia="en-GB"/>
              </w:rPr>
              <w:t>TOTALI</w:t>
            </w:r>
          </w:p>
        </w:tc>
        <w:tc>
          <w:tcPr>
            <w:tcW w:w="228"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8"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62"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61"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c>
          <w:tcPr>
            <w:tcW w:w="217" w:type="pct"/>
            <w:tcBorders>
              <w:top w:val="nil"/>
              <w:left w:val="nil"/>
              <w:bottom w:val="single" w:sz="8" w:space="0" w:color="auto"/>
              <w:right w:val="single" w:sz="4" w:space="0" w:color="auto"/>
            </w:tcBorders>
            <w:shd w:val="clear" w:color="auto" w:fill="FF0000"/>
            <w:noWrap/>
            <w:vAlign w:val="bottom"/>
            <w:hideMark/>
          </w:tcPr>
          <w:p w:rsidR="001E6E98" w:rsidRDefault="001E6E98">
            <w:pPr>
              <w:spacing w:after="0" w:line="240" w:lineRule="auto"/>
              <w:ind w:firstLine="0"/>
              <w:rPr>
                <w:rFonts w:ascii="Arial" w:eastAsia="Times New Roman" w:hAnsi="Arial" w:cs="Arial"/>
                <w:sz w:val="11"/>
                <w:szCs w:val="11"/>
                <w:lang w:eastAsia="en-GB"/>
              </w:rPr>
            </w:pPr>
            <w:r>
              <w:rPr>
                <w:rFonts w:ascii="Arial" w:eastAsia="Times New Roman" w:hAnsi="Arial" w:cs="Arial"/>
                <w:sz w:val="11"/>
                <w:szCs w:val="11"/>
                <w:lang w:eastAsia="en-GB"/>
              </w:rPr>
              <w:t> </w:t>
            </w:r>
          </w:p>
        </w:tc>
        <w:tc>
          <w:tcPr>
            <w:tcW w:w="259" w:type="pct"/>
            <w:tcBorders>
              <w:top w:val="nil"/>
              <w:left w:val="nil"/>
              <w:bottom w:val="single" w:sz="8" w:space="0" w:color="auto"/>
              <w:right w:val="single" w:sz="4" w:space="0" w:color="auto"/>
            </w:tcBorders>
            <w:shd w:val="clear" w:color="auto" w:fill="A6A6A6"/>
            <w:noWrap/>
            <w:vAlign w:val="bottom"/>
            <w:hideMark/>
          </w:tcPr>
          <w:p w:rsidR="001E6E98" w:rsidRDefault="001E6E98">
            <w:pPr>
              <w:spacing w:after="0" w:line="240" w:lineRule="auto"/>
              <w:ind w:firstLine="0"/>
              <w:jc w:val="right"/>
              <w:rPr>
                <w:rFonts w:ascii="Arial" w:eastAsia="Times New Roman" w:hAnsi="Arial" w:cs="Arial"/>
                <w:sz w:val="11"/>
                <w:szCs w:val="11"/>
                <w:lang w:eastAsia="en-GB"/>
              </w:rPr>
            </w:pPr>
            <w:r>
              <w:rPr>
                <w:rFonts w:ascii="Arial" w:eastAsia="Times New Roman" w:hAnsi="Arial" w:cs="Arial"/>
                <w:sz w:val="11"/>
                <w:szCs w:val="11"/>
                <w:lang w:eastAsia="en-GB"/>
              </w:rPr>
              <w:t>0</w:t>
            </w:r>
          </w:p>
        </w:tc>
      </w:tr>
    </w:tbl>
    <w:p w:rsidR="001E6E98" w:rsidRDefault="001E6E98" w:rsidP="001E6E98">
      <w:pPr>
        <w:pStyle w:val="Paragrafi"/>
        <w:ind w:firstLine="0"/>
        <w:jc w:val="center"/>
        <w:rPr>
          <w:rFonts w:eastAsia="Times New Roman"/>
          <w:noProof/>
          <w:spacing w:val="-4"/>
        </w:rPr>
      </w:pPr>
      <w:r>
        <w:rPr>
          <w:rFonts w:eastAsia="Times New Roman"/>
          <w:noProof/>
          <w:spacing w:val="-4"/>
        </w:rPr>
        <w:t>_________________      ______________________       _______________________</w:t>
      </w:r>
    </w:p>
    <w:p w:rsidR="001E6E98" w:rsidRDefault="001E6E98" w:rsidP="001E6E98">
      <w:pPr>
        <w:pStyle w:val="Paragrafi"/>
        <w:ind w:firstLine="0"/>
        <w:jc w:val="left"/>
        <w:rPr>
          <w:rFonts w:eastAsia="Times New Roman"/>
          <w:noProof/>
          <w:spacing w:val="-4"/>
          <w:sz w:val="14"/>
          <w:szCs w:val="14"/>
        </w:rPr>
      </w:pP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(Datë)</w:t>
      </w:r>
      <w:r>
        <w:rPr>
          <w:rFonts w:eastAsia="Times New Roman"/>
          <w:noProof/>
          <w:spacing w:val="-4"/>
          <w:sz w:val="14"/>
          <w:szCs w:val="14"/>
        </w:rPr>
        <w:tab/>
      </w:r>
      <w:r>
        <w:rPr>
          <w:rFonts w:eastAsia="Times New Roman"/>
          <w:noProof/>
          <w:spacing w:val="-4"/>
          <w:sz w:val="14"/>
          <w:szCs w:val="14"/>
        </w:rPr>
        <w:tab/>
        <w:t xml:space="preserve"> </w:t>
      </w:r>
      <w:r>
        <w:rPr>
          <w:rFonts w:eastAsia="Times New Roman"/>
          <w:noProof/>
          <w:spacing w:val="-4"/>
          <w:sz w:val="14"/>
          <w:szCs w:val="14"/>
        </w:rPr>
        <w:tab/>
      </w:r>
      <w:bookmarkStart w:id="6" w:name="_GoBack"/>
      <w:bookmarkEnd w:id="6"/>
      <w:r>
        <w:rPr>
          <w:rFonts w:eastAsia="Times New Roman"/>
          <w:noProof/>
          <w:spacing w:val="-4"/>
          <w:sz w:val="14"/>
          <w:szCs w:val="14"/>
        </w:rPr>
        <w:t>(Emri/Firma e personit të autorizuar/Vula)</w:t>
      </w:r>
      <w:r>
        <w:rPr>
          <w:rFonts w:eastAsia="Times New Roman"/>
          <w:noProof/>
          <w:spacing w:val="-4"/>
          <w:sz w:val="14"/>
          <w:szCs w:val="14"/>
        </w:rPr>
        <w:tab/>
        <w:t xml:space="preserve">      (Punoi: Emri/Firma)</w:t>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r>
      <w:r>
        <w:rPr>
          <w:rFonts w:eastAsia="Times New Roman"/>
          <w:noProof/>
          <w:spacing w:val="-4"/>
          <w:sz w:val="14"/>
          <w:szCs w:val="14"/>
        </w:rPr>
        <w:tab/>
        <w:t xml:space="preserve">    </w:t>
      </w:r>
    </w:p>
    <w:p w:rsidR="001E6E98" w:rsidRDefault="001E6E98" w:rsidP="001E6E98">
      <w:pPr>
        <w:pStyle w:val="Paragrafi"/>
        <w:ind w:firstLine="0"/>
        <w:jc w:val="left"/>
        <w:rPr>
          <w:rFonts w:eastAsia="Times New Roman"/>
          <w:noProof/>
          <w:spacing w:val="-4"/>
          <w:sz w:val="14"/>
          <w:szCs w:val="14"/>
        </w:rPr>
      </w:pPr>
    </w:p>
    <w:tbl>
      <w:tblPr>
        <w:tblW w:w="5000" w:type="pct"/>
        <w:tblLook w:val="04A0" w:firstRow="1" w:lastRow="0" w:firstColumn="1" w:lastColumn="0" w:noHBand="0" w:noVBand="1"/>
      </w:tblPr>
      <w:tblGrid>
        <w:gridCol w:w="301"/>
        <w:gridCol w:w="15099"/>
      </w:tblGrid>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Totali i kolonës T per Shoqëritë e Kursim Kreditit, Fondet e Investimit, Ndërmjetës të tjerë financiarë,  Shoqëritë e sigurimit dhe Fondet e pensionit vullnetar, ne formularin F35 te Statistikave Monetare</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2</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Totali i kolonës V dhe X per Shoqëritë e Kursim Kreditit, Fondet e Investimit, Ndërmjetës të tjerë financiarë,  Shoqëritë e sigurimit dhe Fondet e pensionit vullnetar, ne formularin F35 te Statistikave Monetare</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3</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Totali i kolonës E për Shoqëritë e Kursim Kreditit, Fondet e Investimit, Ndërmjetës të tjerë financiarë,  Shoqëritë e sigurimit dhe Fondet e pensionit vullnetar, ne formularin F35.1 te Statistikave Monetare</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4</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Totali i kolonës F për Shoqëritë e Kursim Kreditit, Fondet e Investimit, Ndërmjetës të tjerë financiarë,  Shoqëritë e sigurimit dhe Fondet e pensionit vullnetar, ne formularin F35.1 te Statistikave Monetare</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5</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Depozitat me afat maturimi deri ne 1 vit per zerat 2731+ 2734 +2737 te depozitave me afat dhe certifikave te depozitave do te jene te barabarte me totalin e kolones L, N, P dhe Q  per sektoret "individe dhe NPISH", ne formularin F35 te Statistikave Monetare</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6</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Depozitat me afat maturimi mbi 1 vit deri ne 2 vjet per zerat 2731+ 2734 +2737 te depozitave me afat dhe certifikave te depozitave do te jene te barabarte me totalin e kolones T per sektoret "individe dhe NPISH", ne formularin F35 te Statistikave Monetare</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7</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 xml:space="preserve">Depozitat me afat maturimi mbi 2 vjet per zerat 2731+ 2734 +2737 te depozitave me afat dhe certifikave te depozitave do te jene te barabarte me totalin e kolones V dheX per sektoret "individe dhe NPISH", ne formularin F35 te Statistikave Monetare </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8</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Depozitat me afat maturimi deri ne 1 vit per zerat 2732 (korporatat jofinanciare private) te depozitave me afat dhe certifikave te depozitave do te jene te barabarte me totalin e kolones L, N, P dhe Q  per sektoret "korporata jofinanciare private", ne formularin F35 te Statistikave Monetare</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9</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 xml:space="preserve">Depozitat me afat maturimi mbi 1 vit deri ne 2 vjet per zerat 2732 (korporatat jofinanciare private) te depozitave me afat dhe certifikave te depozitave do te jene te barabarte me totalin e kolones T per sektoret "korporata jofinanciare private", ne formularin F35 te Statistikave Monetare </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10</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 xml:space="preserve">Depozitat me afat maturimi mbi 2 vjet per zerat 2732 (korporatat jofinanciare private) te depozitave me afat dhe certifikave te depozitave do te jene te barabarte me totalin e kolones V dheX per sektoret "korporata jofinanciare private", ne formularin F35 te Statistikave Monetare </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11</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Depozitat me afat maturimi deri ne 1 vit per zerat 2733 ( korporata jofinanciare publike) te depozitave me afat dhe certifikave te depozitave do te jene te barabarte me totalin e kolones L, N, P dhe Q  per sektoret "korporata jofinanciare publike", ne formularin F35 te Statistikave Monetare</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12</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 xml:space="preserve">Depozitat me afat maturimi mbi 1 vit deri ne 2 vjet per zerat 2733 (korporatat jofinanciare publike) te depozitave me afat dhe certifikave te depozitave do te jene te barabarte me totalin e kolones T per sektoret "korporata jofinanciare publike", ne formularin F35 te Statistikave Monetare </w:t>
            </w:r>
          </w:p>
        </w:tc>
      </w:tr>
      <w:tr w:rsidR="001E6E98" w:rsidTr="00EA0012">
        <w:trPr>
          <w:trHeight w:val="285"/>
        </w:trPr>
        <w:tc>
          <w:tcPr>
            <w:tcW w:w="126" w:type="pct"/>
            <w:noWrap/>
            <w:vAlign w:val="bottom"/>
            <w:hideMark/>
          </w:tcPr>
          <w:p w:rsidR="001E6E98" w:rsidRDefault="001E6E98" w:rsidP="00EA0012">
            <w:pPr>
              <w:spacing w:after="0" w:line="240" w:lineRule="auto"/>
              <w:ind w:firstLine="0"/>
              <w:jc w:val="right"/>
              <w:rPr>
                <w:rFonts w:ascii="Arial" w:eastAsia="Times New Roman" w:hAnsi="Arial" w:cs="Arial"/>
                <w:sz w:val="14"/>
                <w:szCs w:val="14"/>
                <w:lang w:eastAsia="en-GB"/>
              </w:rPr>
            </w:pPr>
            <w:r>
              <w:rPr>
                <w:rFonts w:ascii="Arial" w:eastAsia="Times New Roman" w:hAnsi="Arial" w:cs="Arial"/>
                <w:sz w:val="14"/>
                <w:szCs w:val="14"/>
                <w:vertAlign w:val="superscript"/>
                <w:lang w:eastAsia="en-GB"/>
              </w:rPr>
              <w:t>13</w:t>
            </w:r>
          </w:p>
        </w:tc>
        <w:tc>
          <w:tcPr>
            <w:tcW w:w="4874" w:type="pct"/>
            <w:noWrap/>
            <w:vAlign w:val="bottom"/>
            <w:hideMark/>
          </w:tcPr>
          <w:p w:rsidR="001E6E98" w:rsidRDefault="001E6E98" w:rsidP="00EA0012">
            <w:pPr>
              <w:spacing w:after="0" w:line="240" w:lineRule="auto"/>
              <w:ind w:firstLine="0"/>
              <w:rPr>
                <w:rFonts w:ascii="Arial" w:eastAsia="Times New Roman" w:hAnsi="Arial" w:cs="Arial"/>
                <w:sz w:val="14"/>
                <w:szCs w:val="14"/>
                <w:lang w:eastAsia="en-GB"/>
              </w:rPr>
            </w:pPr>
            <w:r>
              <w:rPr>
                <w:rFonts w:ascii="Arial" w:eastAsia="Times New Roman" w:hAnsi="Arial" w:cs="Arial"/>
                <w:sz w:val="14"/>
                <w:szCs w:val="14"/>
                <w:lang w:eastAsia="en-GB"/>
              </w:rPr>
              <w:t xml:space="preserve">Depozitat me afat maturimi mbi 2 vjet per zerat 2733 (korporatat jofinanciare publike) te depozitave me afat dhe certifikave te depozitave do te jene te barabarte me totalin e kolones V dheX per sektoret "korporata jofinanciare publike", ne formularin F35 te Statistikave Monetare </w:t>
            </w:r>
          </w:p>
        </w:tc>
      </w:tr>
    </w:tbl>
    <w:p w:rsidR="001E6E98" w:rsidRDefault="001E6E98" w:rsidP="001E6E98">
      <w:pPr>
        <w:pStyle w:val="Paragrafi"/>
        <w:ind w:firstLine="0"/>
        <w:jc w:val="left"/>
        <w:rPr>
          <w:rFonts w:eastAsia="Times New Roman"/>
          <w:noProof/>
          <w:spacing w:val="-4"/>
          <w:sz w:val="14"/>
          <w:szCs w:val="14"/>
        </w:rPr>
      </w:pPr>
    </w:p>
    <w:p w:rsidR="001E6E98" w:rsidRPr="001E6E98" w:rsidRDefault="001E6E98" w:rsidP="001E6E98">
      <w:pPr>
        <w:pStyle w:val="Paragrafi"/>
        <w:ind w:firstLine="0"/>
        <w:jc w:val="left"/>
        <w:rPr>
          <w:rFonts w:eastAsia="Times New Roman"/>
          <w:noProof/>
          <w:spacing w:val="-4"/>
          <w:sz w:val="14"/>
          <w:szCs w:val="14"/>
        </w:rPr>
        <w:sectPr w:rsidR="001E6E98" w:rsidRPr="001E6E98" w:rsidSect="001E6E98">
          <w:pgSz w:w="16840" w:h="11907" w:orient="landscape"/>
          <w:pgMar w:top="1134" w:right="720" w:bottom="1134" w:left="720" w:header="851" w:footer="851" w:gutter="0"/>
          <w:cols w:space="720"/>
          <w:docGrid w:linePitch="299"/>
        </w:sectPr>
      </w:pPr>
    </w:p>
    <w:p w:rsidR="001E6E98" w:rsidRDefault="001E6E98" w:rsidP="001E6E98">
      <w:pPr>
        <w:pStyle w:val="Paragrafi"/>
        <w:ind w:firstLine="0"/>
        <w:jc w:val="left"/>
        <w:rPr>
          <w:rFonts w:eastAsia="Times New Roman"/>
          <w:noProof/>
          <w:spacing w:val="-4"/>
          <w:sz w:val="14"/>
          <w:szCs w:val="14"/>
        </w:rPr>
      </w:pPr>
    </w:p>
    <w:sectPr w:rsidR="001E6E98" w:rsidSect="001E6E9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4"/>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98"/>
    <w:rsid w:val="001E6E98"/>
    <w:rsid w:val="00AD5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31697E-27A8-4E5E-BA26-89F7536C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E98"/>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1E6E98"/>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1E6E98"/>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1E6E98"/>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1E6E98"/>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E6E98"/>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1E6E98"/>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1E6E98"/>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1E6E98"/>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E6E9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1E6E98"/>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1E6E98"/>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1E6E9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1E6E9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1E6E9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1E6E98"/>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1E6E98"/>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1E6E9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E6E98"/>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1E6E98"/>
    <w:rPr>
      <w:color w:val="0000FF"/>
      <w:u w:val="single"/>
    </w:rPr>
  </w:style>
  <w:style w:type="character" w:styleId="FollowedHyperlink">
    <w:name w:val="FollowedHyperlink"/>
    <w:uiPriority w:val="99"/>
    <w:semiHidden/>
    <w:unhideWhenUsed/>
    <w:rsid w:val="001E6E98"/>
    <w:rPr>
      <w:color w:val="800080"/>
      <w:u w:val="single"/>
    </w:rPr>
  </w:style>
  <w:style w:type="paragraph" w:styleId="HTMLAddress">
    <w:name w:val="HTML Address"/>
    <w:basedOn w:val="Normal"/>
    <w:link w:val="HTMLAddressChar"/>
    <w:semiHidden/>
    <w:unhideWhenUsed/>
    <w:rsid w:val="001E6E98"/>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E6E98"/>
    <w:rPr>
      <w:rFonts w:ascii="Tahoma" w:eastAsia="Times New Roman" w:hAnsi="Tahoma" w:cs="Times New Roman"/>
      <w:i/>
      <w:iCs/>
      <w:lang w:val="de-AT" w:eastAsia="de-DE"/>
    </w:rPr>
  </w:style>
  <w:style w:type="character" w:styleId="HTMLCode">
    <w:name w:val="HTML Code"/>
    <w:semiHidden/>
    <w:unhideWhenUsed/>
    <w:rsid w:val="001E6E98"/>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1E6E98"/>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1E6E98"/>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1E6E98"/>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1E6E98"/>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1E6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1E6E98"/>
    <w:rPr>
      <w:rFonts w:ascii="Courier New" w:eastAsia="Times New Roman" w:hAnsi="Courier New" w:cs="Times New Roman"/>
      <w:sz w:val="20"/>
      <w:lang w:val="de-AT" w:eastAsia="de-DE"/>
    </w:rPr>
  </w:style>
  <w:style w:type="character" w:styleId="HTMLSample">
    <w:name w:val="HTML Sample"/>
    <w:semiHidden/>
    <w:unhideWhenUsed/>
    <w:rsid w:val="001E6E98"/>
    <w:rPr>
      <w:rFonts w:ascii="Courier New" w:eastAsia="Times New Roman" w:hAnsi="Courier New" w:cs="Courier New" w:hint="default"/>
    </w:rPr>
  </w:style>
  <w:style w:type="character" w:styleId="HTMLTypewriter">
    <w:name w:val="HTML Typewriter"/>
    <w:semiHidden/>
    <w:unhideWhenUsed/>
    <w:rsid w:val="001E6E98"/>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1E6E98"/>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1E6E98"/>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1E6E98"/>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1E6E98"/>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1E6E98"/>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1E6E98"/>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1E6E98"/>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1E6E98"/>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1E6E98"/>
    <w:rPr>
      <w:rFonts w:ascii="Calibri" w:eastAsia="Calibri" w:hAnsi="Calibri" w:cs="Times New Roman"/>
    </w:rPr>
  </w:style>
  <w:style w:type="character" w:customStyle="1" w:styleId="FooterChar">
    <w:name w:val="Footer Char"/>
    <w:basedOn w:val="DefaultParagraphFont"/>
    <w:link w:val="Footer"/>
    <w:uiPriority w:val="99"/>
    <w:semiHidden/>
    <w:locked/>
    <w:rsid w:val="001E6E98"/>
    <w:rPr>
      <w:rFonts w:ascii="Calibri" w:eastAsia="Calibri" w:hAnsi="Calibri" w:cs="Times New Roman"/>
    </w:rPr>
  </w:style>
  <w:style w:type="character" w:customStyle="1" w:styleId="EndnoteTextChar">
    <w:name w:val="Endnote Text Char"/>
    <w:aliases w:val="Char Char Char"/>
    <w:basedOn w:val="DefaultParagraphFont"/>
    <w:link w:val="EndnoteText"/>
    <w:locked/>
    <w:rsid w:val="001E6E98"/>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1E6E98"/>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1E6E98"/>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1E6E98"/>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1E6E98"/>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1E6E98"/>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1E6E98"/>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1E6E98"/>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1E6E98"/>
    <w:rPr>
      <w:rFonts w:ascii="Calibri" w:eastAsia="Calibri" w:hAnsi="Calibri" w:cs="Times New Roman"/>
    </w:rPr>
  </w:style>
  <w:style w:type="character" w:customStyle="1" w:styleId="MessageHeaderChar">
    <w:name w:val="Message Header Char"/>
    <w:basedOn w:val="DefaultParagraphFont"/>
    <w:link w:val="MessageHeader"/>
    <w:semiHidden/>
    <w:locked/>
    <w:rsid w:val="001E6E98"/>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1E6E98"/>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1E6E98"/>
    <w:rPr>
      <w:rFonts w:ascii="Tahoma" w:eastAsia="Times New Roman" w:hAnsi="Tahoma" w:cs="Times New Roman"/>
      <w:lang w:val="de-AT" w:eastAsia="de-DE"/>
    </w:rPr>
  </w:style>
  <w:style w:type="character" w:customStyle="1" w:styleId="DateChar">
    <w:name w:val="Date Char"/>
    <w:basedOn w:val="DefaultParagraphFont"/>
    <w:link w:val="Date"/>
    <w:semiHidden/>
    <w:locked/>
    <w:rsid w:val="001E6E98"/>
    <w:rPr>
      <w:rFonts w:ascii="Tahoma" w:eastAsia="Times New Roman" w:hAnsi="Tahoma" w:cs="Times New Roman"/>
      <w:lang w:val="de-AT" w:eastAsia="de-DE"/>
    </w:rPr>
  </w:style>
  <w:style w:type="paragraph" w:styleId="BodyText">
    <w:name w:val="Body Text"/>
    <w:basedOn w:val="Normal"/>
    <w:link w:val="BodyTextChar"/>
    <w:semiHidden/>
    <w:unhideWhenUsed/>
    <w:qFormat/>
    <w:rsid w:val="001E6E98"/>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1E6E98"/>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1E6E98"/>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1E6E98"/>
    <w:pPr>
      <w:spacing w:after="120"/>
      <w:ind w:left="360"/>
    </w:pPr>
  </w:style>
  <w:style w:type="character" w:customStyle="1" w:styleId="BodyTextIndentChar1">
    <w:name w:val="Body Text Indent Char1"/>
    <w:basedOn w:val="DefaultParagraphFont"/>
    <w:uiPriority w:val="99"/>
    <w:semiHidden/>
    <w:rsid w:val="001E6E98"/>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1E6E98"/>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1E6E98"/>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1E6E98"/>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1E6E98"/>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1E6E98"/>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1E6E98"/>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1E6E98"/>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1E6E98"/>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1E6E98"/>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1E6E98"/>
    <w:rPr>
      <w:rFonts w:ascii="Tahoma" w:eastAsia="Calibri" w:hAnsi="Tahoma" w:cs="Tahoma"/>
      <w:sz w:val="16"/>
      <w:szCs w:val="16"/>
    </w:rPr>
  </w:style>
  <w:style w:type="character" w:customStyle="1" w:styleId="NoSpacingChar">
    <w:name w:val="No Spacing Char"/>
    <w:basedOn w:val="DefaultParagraphFont"/>
    <w:link w:val="NoSpacing"/>
    <w:uiPriority w:val="1"/>
    <w:locked/>
    <w:rsid w:val="001E6E98"/>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1E6E98"/>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1E6E98"/>
    <w:pPr>
      <w:ind w:left="720" w:firstLine="0"/>
      <w:contextualSpacing/>
      <w:jc w:val="left"/>
    </w:pPr>
    <w:rPr>
      <w:rFonts w:eastAsia="Times New Roman"/>
    </w:rPr>
  </w:style>
  <w:style w:type="character" w:customStyle="1" w:styleId="AktiChar">
    <w:name w:val="Akti Char"/>
    <w:basedOn w:val="DefaultParagraphFont"/>
    <w:link w:val="Akti"/>
    <w:locked/>
    <w:rsid w:val="001E6E98"/>
    <w:rPr>
      <w:rFonts w:ascii="Garamond" w:eastAsia="MS Mincho" w:hAnsi="Garamond" w:cs="CG Times"/>
      <w:b/>
      <w:bCs/>
      <w:caps/>
      <w:color w:val="000000"/>
      <w:sz w:val="24"/>
      <w:lang w:val="en-GB"/>
    </w:rPr>
  </w:style>
  <w:style w:type="paragraph" w:customStyle="1" w:styleId="Akti">
    <w:name w:val="Akti"/>
    <w:link w:val="AktiChar"/>
    <w:qFormat/>
    <w:rsid w:val="001E6E98"/>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1E6E98"/>
    <w:rPr>
      <w:rFonts w:ascii="Garamond" w:eastAsia="MS Mincho" w:hAnsi="Garamond" w:cs="CG Times"/>
      <w:b/>
      <w:bCs/>
      <w:sz w:val="24"/>
      <w:lang w:val="en-GB"/>
    </w:rPr>
  </w:style>
  <w:style w:type="paragraph" w:customStyle="1" w:styleId="NumriData">
    <w:name w:val="Numri_Data"/>
    <w:next w:val="Normal"/>
    <w:link w:val="NumriDataChar"/>
    <w:qFormat/>
    <w:rsid w:val="001E6E98"/>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1E6E98"/>
    <w:rPr>
      <w:rFonts w:ascii="Garamond" w:eastAsia="MS Mincho" w:hAnsi="Garamond" w:cs="CG Times"/>
      <w:sz w:val="24"/>
    </w:rPr>
  </w:style>
  <w:style w:type="paragraph" w:customStyle="1" w:styleId="Paragrafi">
    <w:name w:val="Paragrafi"/>
    <w:link w:val="ParagrafiChar"/>
    <w:qFormat/>
    <w:rsid w:val="001E6E98"/>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1E6E98"/>
    <w:rPr>
      <w:rFonts w:ascii="Garamond" w:eastAsia="MS Mincho" w:hAnsi="Garamond" w:cs="CG Times"/>
      <w:b/>
      <w:bCs/>
      <w:caps/>
      <w:sz w:val="24"/>
      <w:lang w:val="en-GB"/>
    </w:rPr>
  </w:style>
  <w:style w:type="paragraph" w:customStyle="1" w:styleId="Titulli">
    <w:name w:val="Titulli"/>
    <w:next w:val="Normal"/>
    <w:link w:val="TitulliChar"/>
    <w:qFormat/>
    <w:rsid w:val="001E6E9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1E6E98"/>
    <w:rPr>
      <w:rFonts w:ascii="Garamond" w:eastAsia="MS Mincho" w:hAnsi="Garamond" w:cs="CG Times"/>
      <w:sz w:val="24"/>
      <w:lang w:val="en-GB"/>
    </w:rPr>
  </w:style>
  <w:style w:type="paragraph" w:customStyle="1" w:styleId="NeniNr">
    <w:name w:val="Neni_Nr"/>
    <w:next w:val="Normal"/>
    <w:link w:val="NeniNrChar"/>
    <w:qFormat/>
    <w:rsid w:val="001E6E9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1E6E98"/>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1E6E98"/>
    <w:rPr>
      <w:rFonts w:ascii="Garamond" w:eastAsia="MS Mincho" w:hAnsi="Garamond" w:cs="CG Times"/>
      <w:caps/>
      <w:sz w:val="24"/>
      <w:lang w:val="en-GB"/>
    </w:rPr>
  </w:style>
  <w:style w:type="paragraph" w:customStyle="1" w:styleId="Autoriteti">
    <w:name w:val="Autoriteti"/>
    <w:next w:val="Normal"/>
    <w:link w:val="AutoritetiChar"/>
    <w:qFormat/>
    <w:rsid w:val="001E6E98"/>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1E6E98"/>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1E6E98"/>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1E6E98"/>
    <w:pPr>
      <w:ind w:firstLine="0"/>
      <w:jc w:val="center"/>
    </w:pPr>
    <w:rPr>
      <w:caps/>
      <w:szCs w:val="24"/>
    </w:rPr>
  </w:style>
  <w:style w:type="paragraph" w:customStyle="1" w:styleId="Vendosi">
    <w:name w:val="Vendosi"/>
    <w:basedOn w:val="Titull-Titull"/>
    <w:uiPriority w:val="99"/>
    <w:qFormat/>
    <w:rsid w:val="001E6E98"/>
  </w:style>
  <w:style w:type="paragraph" w:customStyle="1" w:styleId="Hapesira7">
    <w:name w:val="Hapesira 7"/>
    <w:basedOn w:val="Paragrafi"/>
    <w:uiPriority w:val="99"/>
    <w:qFormat/>
    <w:rsid w:val="001E6E98"/>
    <w:rPr>
      <w:sz w:val="14"/>
      <w:szCs w:val="24"/>
    </w:rPr>
  </w:style>
  <w:style w:type="character" w:customStyle="1" w:styleId="Style1Char">
    <w:name w:val="Style1 Char"/>
    <w:link w:val="Style1"/>
    <w:locked/>
    <w:rsid w:val="001E6E98"/>
    <w:rPr>
      <w:rFonts w:ascii="CG Times" w:eastAsia="MS Mincho" w:hAnsi="CG Times" w:cs="CG Times"/>
      <w:b/>
      <w:bCs/>
      <w:caps/>
      <w:color w:val="000000"/>
      <w:sz w:val="21"/>
      <w:lang w:val="en-GB"/>
    </w:rPr>
  </w:style>
  <w:style w:type="paragraph" w:customStyle="1" w:styleId="Style1">
    <w:name w:val="Style1"/>
    <w:basedOn w:val="Akti"/>
    <w:link w:val="Style1Char"/>
    <w:qFormat/>
    <w:rsid w:val="001E6E98"/>
    <w:rPr>
      <w:rFonts w:ascii="CG Times" w:hAnsi="CG Times"/>
      <w:sz w:val="21"/>
    </w:rPr>
  </w:style>
  <w:style w:type="paragraph" w:customStyle="1" w:styleId="ADDRESS">
    <w:name w:val="ADDRESS"/>
    <w:basedOn w:val="Normal"/>
    <w:uiPriority w:val="99"/>
    <w:qFormat/>
    <w:rsid w:val="001E6E9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1E6E98"/>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1E6E98"/>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1E6E98"/>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1E6E9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1E6E98"/>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1E6E98"/>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1E6E9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1E6E98"/>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1E6E9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1E6E98"/>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1E6E9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1E6E98"/>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1E6E98"/>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1E6E98"/>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1E6E9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1E6E9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1E6E98"/>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1E6E98"/>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1E6E98"/>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1E6E98"/>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1E6E98"/>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1E6E9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1E6E98"/>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1E6E98"/>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1E6E98"/>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1E6E98"/>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1E6E98"/>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1E6E98"/>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1E6E98"/>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1E6E98"/>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1E6E98"/>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1E6E98"/>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1E6E98"/>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1E6E98"/>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1E6E98"/>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1E6E98"/>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1E6E98"/>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1E6E9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1E6E98"/>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1E6E9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1E6E98"/>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1E6E98"/>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1E6E98"/>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1E6E98"/>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1E6E98"/>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1E6E98"/>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1E6E9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1E6E98"/>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1E6E9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1E6E98"/>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1E6E9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1E6E98"/>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1E6E98"/>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1E6E9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1E6E9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1E6E98"/>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1E6E98"/>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1E6E98"/>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1E6E98"/>
    <w:rPr>
      <w:rFonts w:ascii="Times New Roman" w:eastAsia="Calibri" w:hAnsi="Times New Roman" w:cs="Times New Roman"/>
      <w:color w:val="000000"/>
      <w:sz w:val="24"/>
      <w:szCs w:val="24"/>
    </w:rPr>
  </w:style>
  <w:style w:type="paragraph" w:customStyle="1" w:styleId="Default">
    <w:name w:val="Default"/>
    <w:link w:val="DefaultChar"/>
    <w:qFormat/>
    <w:rsid w:val="001E6E9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1E6E98"/>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E6E98"/>
    <w:rPr>
      <w:sz w:val="24"/>
      <w:lang w:val="en-GB" w:eastAsia="fr-FR"/>
    </w:rPr>
  </w:style>
  <w:style w:type="paragraph" w:customStyle="1" w:styleId="JuPara">
    <w:name w:val="Ju_Para"/>
    <w:aliases w:val="Left,First line:  0 cm,ECHR_Para,Para"/>
    <w:basedOn w:val="Normal"/>
    <w:link w:val="JuParaCar"/>
    <w:qFormat/>
    <w:rsid w:val="001E6E98"/>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1E6E98"/>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1E6E98"/>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1E6E98"/>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1E6E98"/>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1E6E98"/>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1E6E98"/>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1E6E98"/>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1E6E98"/>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1E6E98"/>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1E6E98"/>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1E6E98"/>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1E6E98"/>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1E6E98"/>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1E6E9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1E6E98"/>
    <w:rPr>
      <w:b w:val="0"/>
    </w:rPr>
  </w:style>
  <w:style w:type="paragraph" w:customStyle="1" w:styleId="StyleStyle1Bold">
    <w:name w:val="Style Style1 + Bold"/>
    <w:basedOn w:val="Style1"/>
    <w:uiPriority w:val="99"/>
    <w:qFormat/>
    <w:rsid w:val="001E6E9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1E6E98"/>
    <w:rPr>
      <w:rFonts w:ascii="EUAlbertina" w:hAnsi="EUAlbertina"/>
      <w:color w:val="auto"/>
    </w:rPr>
  </w:style>
  <w:style w:type="paragraph" w:customStyle="1" w:styleId="CM4">
    <w:name w:val="CM4"/>
    <w:basedOn w:val="Normal"/>
    <w:next w:val="Normal"/>
    <w:uiPriority w:val="99"/>
    <w:qFormat/>
    <w:rsid w:val="001E6E98"/>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1E6E98"/>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1E6E98"/>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1E6E98"/>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1E6E98"/>
    <w:rPr>
      <w:rFonts w:ascii="Calibri" w:eastAsia="Times New Roman" w:hAnsi="Calibri" w:cs="Times New Roman"/>
      <w:sz w:val="24"/>
      <w:szCs w:val="24"/>
      <w:lang w:val="en-GB" w:eastAsia="en-GB"/>
    </w:rPr>
  </w:style>
  <w:style w:type="paragraph" w:customStyle="1" w:styleId="Text1">
    <w:name w:val="Text 1"/>
    <w:basedOn w:val="Normal"/>
    <w:link w:val="Text1Char"/>
    <w:qFormat/>
    <w:rsid w:val="001E6E98"/>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1E6E98"/>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1E6E98"/>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1E6E98"/>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1E6E98"/>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1E6E98"/>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1E6E98"/>
  </w:style>
  <w:style w:type="paragraph" w:customStyle="1" w:styleId="Point0">
    <w:name w:val="Point 0"/>
    <w:basedOn w:val="Normal"/>
    <w:uiPriority w:val="99"/>
    <w:qFormat/>
    <w:rsid w:val="001E6E98"/>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1E6E98"/>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1E6E98"/>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1E6E98"/>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1E6E98"/>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1E6E98"/>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1E6E98"/>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1E6E98"/>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1E6E98"/>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1E6E98"/>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1E6E98"/>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1E6E98"/>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1E6E98"/>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1E6E98"/>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1E6E98"/>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1E6E98"/>
    <w:rPr>
      <w:rFonts w:ascii="CG Times" w:eastAsia="Times New Roman" w:hAnsi="CG Times" w:cs="Times New Roman"/>
      <w:b/>
      <w:szCs w:val="24"/>
    </w:rPr>
  </w:style>
  <w:style w:type="paragraph" w:customStyle="1" w:styleId="ParagrafiCharCharChar">
    <w:name w:val="Paragrafi Char Char Char"/>
    <w:link w:val="ParagrafiCharCharCharChar"/>
    <w:qFormat/>
    <w:rsid w:val="001E6E98"/>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1E6E98"/>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1E6E98"/>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1E6E98"/>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1E6E98"/>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1E6E98"/>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1E6E98"/>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1E6E98"/>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1E6E9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1E6E98"/>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1E6E98"/>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1E6E98"/>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1E6E98"/>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1E6E98"/>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1E6E98"/>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1E6E98"/>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1E6E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1E6E98"/>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1E6E98"/>
    <w:pPr>
      <w:tabs>
        <w:tab w:val="left" w:pos="6575"/>
      </w:tabs>
    </w:pPr>
    <w:rPr>
      <w:spacing w:val="-4"/>
    </w:rPr>
  </w:style>
  <w:style w:type="paragraph" w:customStyle="1" w:styleId="Cover1">
    <w:name w:val="Cover1"/>
    <w:basedOn w:val="Normal"/>
    <w:next w:val="Normal"/>
    <w:uiPriority w:val="99"/>
    <w:qFormat/>
    <w:rsid w:val="001E6E98"/>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1E6E98"/>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1E6E98"/>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1E6E98"/>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1E6E98"/>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1E6E98"/>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1E6E98"/>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1E6E98"/>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1E6E98"/>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1E6E98"/>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1E6E98"/>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1E6E98"/>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1E6E9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1E6E98"/>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E6E98"/>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1E6E98"/>
    <w:rPr>
      <w:vertAlign w:val="superscript"/>
    </w:rPr>
  </w:style>
  <w:style w:type="paragraph" w:customStyle="1" w:styleId="Char2">
    <w:name w:val="Char2"/>
    <w:basedOn w:val="Normal"/>
    <w:link w:val="FootnoteReference"/>
    <w:uiPriority w:val="99"/>
    <w:qFormat/>
    <w:rsid w:val="001E6E98"/>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1E6E98"/>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1E6E98"/>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1E6E98"/>
    <w:rPr>
      <w:sz w:val="24"/>
    </w:rPr>
  </w:style>
  <w:style w:type="paragraph" w:customStyle="1" w:styleId="xl160">
    <w:name w:val="xl160"/>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1E6E9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1E6E98"/>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1E6E9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1E6E98"/>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1E6E9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1E6E9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1E6E9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1E6E9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1E6E98"/>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1E6E98"/>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1E6E9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1E6E9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1E6E98"/>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1E6E98"/>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1E6E98"/>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1E6E9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1E6E98"/>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1E6E9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1E6E9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1E6E98"/>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1E6E98"/>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1E6E98"/>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1E6E98"/>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1E6E98"/>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1E6E98"/>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1E6E98"/>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1E6E98"/>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1E6E98"/>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1E6E98"/>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1E6E98"/>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1E6E98"/>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1E6E98"/>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1E6E98"/>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1E6E98"/>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1E6E98"/>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1E6E98"/>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1E6E98"/>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1E6E98"/>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1E6E98"/>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1E6E98"/>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1E6E98"/>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1E6E98"/>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1E6E9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1E6E9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1E6E98"/>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1E6E9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1E6E98"/>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1E6E9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1E6E98"/>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1E6E9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1E6E9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1E6E9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1E6E9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1E6E9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1E6E9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1E6E9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1E6E9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1E6E9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1E6E9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1E6E98"/>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1E6E98"/>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1E6E9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1E6E9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1E6E9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1E6E98"/>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1E6E98"/>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1E6E98"/>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1E6E98"/>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1E6E98"/>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1E6E98"/>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1E6E9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1E6E9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1E6E98"/>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1E6E98"/>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1E6E98"/>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1E6E9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1E6E98"/>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1E6E98"/>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1E6E98"/>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1E6E9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1E6E98"/>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1E6E98"/>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1E6E98"/>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1E6E98"/>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1E6E98"/>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1E6E9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1E6E9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1E6E98"/>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1E6E9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1E6E98"/>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1E6E98"/>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1E6E98"/>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1E6E98"/>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1E6E9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1E6E98"/>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1E6E98"/>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1E6E98"/>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1E6E98"/>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1E6E9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1E6E98"/>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1E6E9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1E6E98"/>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1E6E9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1E6E98"/>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1E6E98"/>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1E6E9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1E6E98"/>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1E6E98"/>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1E6E98"/>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1E6E98"/>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1E6E98"/>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1E6E98"/>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1E6E98"/>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1E6E98"/>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1E6E98"/>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1E6E98"/>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1E6E98"/>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1E6E98"/>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1E6E9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1E6E98"/>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1E6E98"/>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1E6E98"/>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1E6E98"/>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1E6E98"/>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1E6E98"/>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1E6E98"/>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1E6E98"/>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1E6E98"/>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1E6E98"/>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E6E98"/>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1E6E98"/>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1E6E98"/>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1E6E98"/>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1E6E98"/>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1E6E98"/>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1E6E98"/>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1E6E98"/>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1E6E98"/>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1E6E98"/>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1E6E98"/>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1E6E98"/>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1E6E98"/>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1E6E98"/>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1E6E98"/>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1E6E98"/>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1E6E98"/>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1E6E98"/>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1E6E98"/>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1E6E98"/>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1E6E98"/>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1E6E98"/>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1E6E98"/>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1E6E98"/>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1E6E98"/>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1E6E98"/>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1E6E98"/>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1E6E98"/>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1E6E98"/>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1E6E98"/>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1E6E98"/>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1E6E98"/>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1E6E98"/>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1E6E98"/>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1E6E98"/>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1E6E98"/>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1E6E98"/>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1E6E98"/>
    <w:pPr>
      <w:spacing w:before="0"/>
    </w:pPr>
  </w:style>
  <w:style w:type="paragraph" w:customStyle="1" w:styleId="Definition1a">
    <w:name w:val="Definition 1a"/>
    <w:basedOn w:val="Definition"/>
    <w:next w:val="Definition1b"/>
    <w:uiPriority w:val="99"/>
    <w:qFormat/>
    <w:rsid w:val="001E6E98"/>
    <w:pPr>
      <w:keepNext/>
    </w:pPr>
  </w:style>
  <w:style w:type="character" w:customStyle="1" w:styleId="Paragraph1Char">
    <w:name w:val="Paragraph (1) Char"/>
    <w:link w:val="Paragraph1"/>
    <w:locked/>
    <w:rsid w:val="001E6E98"/>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1E6E98"/>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1E6E98"/>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1E6E98"/>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1E6E98"/>
    <w:pPr>
      <w:tabs>
        <w:tab w:val="clear" w:pos="2835"/>
      </w:tabs>
      <w:ind w:firstLine="0"/>
    </w:pPr>
  </w:style>
  <w:style w:type="paragraph" w:customStyle="1" w:styleId="Definition3">
    <w:name w:val="Definition 3"/>
    <w:basedOn w:val="Definition2"/>
    <w:uiPriority w:val="99"/>
    <w:qFormat/>
    <w:rsid w:val="001E6E98"/>
    <w:pPr>
      <w:tabs>
        <w:tab w:val="clear" w:pos="3402"/>
      </w:tabs>
      <w:ind w:left="3402"/>
    </w:pPr>
  </w:style>
  <w:style w:type="paragraph" w:customStyle="1" w:styleId="Definition4">
    <w:name w:val="Definition 4"/>
    <w:basedOn w:val="Definition3"/>
    <w:uiPriority w:val="99"/>
    <w:qFormat/>
    <w:rsid w:val="001E6E98"/>
    <w:pPr>
      <w:tabs>
        <w:tab w:val="clear" w:pos="3969"/>
      </w:tabs>
      <w:ind w:left="3969"/>
    </w:pPr>
  </w:style>
  <w:style w:type="paragraph" w:customStyle="1" w:styleId="Paragraphi">
    <w:name w:val="Paragraph (i)"/>
    <w:basedOn w:val="Normal"/>
    <w:uiPriority w:val="99"/>
    <w:qFormat/>
    <w:rsid w:val="001E6E98"/>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1E6E98"/>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1E6E98"/>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1E6E9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1E6E98"/>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1E6E98"/>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1E6E98"/>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1E6E98"/>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1E6E98"/>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1E6E9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1E6E98"/>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1E6E98"/>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1E6E98"/>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1E6E98"/>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1E6E98"/>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1E6E9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1E6E98"/>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1E6E98"/>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1E6E98"/>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1E6E98"/>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1E6E98"/>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1E6E98"/>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1E6E98"/>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1E6E98"/>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1E6E98"/>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1E6E98"/>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1E6E98"/>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1E6E9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1E6E9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1E6E98"/>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1E6E98"/>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1E6E9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1E6E98"/>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1E6E98"/>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1E6E98"/>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1E6E98"/>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1E6E98"/>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1E6E98"/>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1E6E98"/>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1E6E98"/>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1E6E98"/>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1E6E98"/>
    <w:pPr>
      <w:ind w:left="720" w:firstLine="0"/>
      <w:contextualSpacing/>
    </w:pPr>
  </w:style>
  <w:style w:type="paragraph" w:customStyle="1" w:styleId="ReturnAddress">
    <w:name w:val="Return Address"/>
    <w:basedOn w:val="Normal"/>
    <w:uiPriority w:val="99"/>
    <w:qFormat/>
    <w:rsid w:val="001E6E98"/>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1E6E98"/>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1E6E98"/>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1E6E98"/>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1E6E98"/>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1E6E98"/>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1E6E98"/>
  </w:style>
  <w:style w:type="paragraph" w:customStyle="1" w:styleId="CharCharCharCharCharCharCharCharCharCharChar1">
    <w:name w:val="Char Char Char Char Char Char Char Char Char Char Char1"/>
    <w:basedOn w:val="Normal"/>
    <w:uiPriority w:val="99"/>
    <w:qFormat/>
    <w:rsid w:val="001E6E98"/>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1E6E98"/>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1E6E98"/>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1E6E98"/>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1E6E98"/>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1E6E9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1E6E98"/>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1E6E98"/>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1E6E98"/>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1E6E98"/>
    <w:pPr>
      <w:ind w:left="720" w:firstLine="0"/>
      <w:contextualSpacing/>
      <w:jc w:val="left"/>
    </w:pPr>
    <w:rPr>
      <w:rFonts w:eastAsia="MS Mincho"/>
    </w:rPr>
  </w:style>
  <w:style w:type="paragraph" w:customStyle="1" w:styleId="Style54">
    <w:name w:val="Style54"/>
    <w:basedOn w:val="Normal"/>
    <w:uiPriority w:val="99"/>
    <w:qFormat/>
    <w:rsid w:val="001E6E98"/>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1E6E98"/>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1E6E98"/>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1E6E98"/>
    <w:pPr>
      <w:ind w:firstLine="0"/>
    </w:pPr>
    <w:rPr>
      <w:u w:val="single"/>
    </w:rPr>
  </w:style>
  <w:style w:type="paragraph" w:customStyle="1" w:styleId="Indenta">
    <w:name w:val="Indent (a)"/>
    <w:basedOn w:val="Normal"/>
    <w:uiPriority w:val="99"/>
    <w:qFormat/>
    <w:rsid w:val="001E6E98"/>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1E6E98"/>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1E6E98"/>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1E6E98"/>
    <w:pPr>
      <w:spacing w:before="100" w:beforeAutospacing="1" w:after="100" w:afterAutospacing="1" w:line="240" w:lineRule="auto"/>
      <w:ind w:firstLine="0"/>
      <w:jc w:val="left"/>
    </w:pPr>
    <w:rPr>
      <w:rFonts w:ascii="Times New Roman" w:hAnsi="Times New Roman"/>
      <w:sz w:val="24"/>
      <w:szCs w:val="24"/>
    </w:rPr>
  </w:style>
  <w:style w:type="character" w:styleId="CommentReference">
    <w:name w:val="annotation reference"/>
    <w:uiPriority w:val="99"/>
    <w:semiHidden/>
    <w:unhideWhenUsed/>
    <w:rsid w:val="001E6E98"/>
    <w:rPr>
      <w:sz w:val="16"/>
      <w:szCs w:val="16"/>
    </w:rPr>
  </w:style>
  <w:style w:type="character" w:styleId="LineNumber">
    <w:name w:val="line number"/>
    <w:semiHidden/>
    <w:unhideWhenUsed/>
    <w:rsid w:val="001E6E98"/>
    <w:rPr>
      <w:rFonts w:ascii="Tahoma" w:hAnsi="Tahoma" w:cs="Tahoma" w:hint="default"/>
      <w:sz w:val="22"/>
    </w:rPr>
  </w:style>
  <w:style w:type="character" w:styleId="EndnoteReference">
    <w:name w:val="endnote reference"/>
    <w:semiHidden/>
    <w:unhideWhenUsed/>
    <w:rsid w:val="001E6E98"/>
    <w:rPr>
      <w:vertAlign w:val="superscript"/>
    </w:rPr>
  </w:style>
  <w:style w:type="character" w:styleId="PlaceholderText">
    <w:name w:val="Placeholder Text"/>
    <w:uiPriority w:val="99"/>
    <w:semiHidden/>
    <w:rsid w:val="001E6E98"/>
    <w:rPr>
      <w:rFonts w:ascii="Times New Roman" w:hAnsi="Times New Roman" w:cs="Times New Roman" w:hint="default"/>
      <w:color w:val="808080"/>
    </w:rPr>
  </w:style>
  <w:style w:type="character" w:styleId="SubtleEmphasis">
    <w:name w:val="Subtle Emphasis"/>
    <w:uiPriority w:val="19"/>
    <w:qFormat/>
    <w:rsid w:val="001E6E98"/>
    <w:rPr>
      <w:i/>
      <w:iCs/>
      <w:color w:val="404040"/>
    </w:rPr>
  </w:style>
  <w:style w:type="character" w:styleId="IntenseEmphasis">
    <w:name w:val="Intense Emphasis"/>
    <w:uiPriority w:val="21"/>
    <w:qFormat/>
    <w:rsid w:val="001E6E98"/>
    <w:rPr>
      <w:b/>
      <w:bCs/>
      <w:i/>
      <w:iCs/>
      <w:color w:val="4F81BD"/>
      <w:sz w:val="24"/>
    </w:rPr>
  </w:style>
  <w:style w:type="character" w:styleId="IntenseReference">
    <w:name w:val="Intense Reference"/>
    <w:basedOn w:val="DefaultParagraphFont"/>
    <w:uiPriority w:val="32"/>
    <w:qFormat/>
    <w:rsid w:val="001E6E98"/>
    <w:rPr>
      <w:b/>
      <w:bCs/>
      <w:smallCaps/>
      <w:color w:val="5B9BD5" w:themeColor="accent1"/>
      <w:spacing w:val="5"/>
    </w:rPr>
  </w:style>
  <w:style w:type="character" w:styleId="BookTitle">
    <w:name w:val="Book Title"/>
    <w:uiPriority w:val="33"/>
    <w:qFormat/>
    <w:rsid w:val="001E6E98"/>
    <w:rPr>
      <w:b/>
      <w:bCs/>
      <w:smallCaps/>
      <w:spacing w:val="5"/>
    </w:rPr>
  </w:style>
  <w:style w:type="character" w:customStyle="1" w:styleId="Heading9Char1">
    <w:name w:val="Heading 9 Char1"/>
    <w:basedOn w:val="DefaultParagraphFont"/>
    <w:semiHidden/>
    <w:rsid w:val="001E6E9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1E6E98"/>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1E6E98"/>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1E6E98"/>
    <w:rPr>
      <w:rFonts w:ascii="Segoe UI" w:eastAsia="Calibri" w:hAnsi="Segoe UI" w:cs="Segoe UI"/>
      <w:sz w:val="18"/>
      <w:szCs w:val="18"/>
    </w:rPr>
  </w:style>
  <w:style w:type="paragraph" w:styleId="Header">
    <w:name w:val="header"/>
    <w:basedOn w:val="Normal"/>
    <w:link w:val="HeaderChar"/>
    <w:uiPriority w:val="99"/>
    <w:semiHidden/>
    <w:unhideWhenUsed/>
    <w:rsid w:val="001E6E98"/>
    <w:pPr>
      <w:tabs>
        <w:tab w:val="center" w:pos="4680"/>
        <w:tab w:val="right" w:pos="9360"/>
      </w:tabs>
      <w:spacing w:after="0" w:line="240" w:lineRule="auto"/>
    </w:pPr>
  </w:style>
  <w:style w:type="character" w:customStyle="1" w:styleId="HeaderChar1">
    <w:name w:val="Header Char1"/>
    <w:basedOn w:val="DefaultParagraphFont"/>
    <w:uiPriority w:val="99"/>
    <w:semiHidden/>
    <w:rsid w:val="001E6E98"/>
    <w:rPr>
      <w:rFonts w:ascii="Calibri" w:eastAsia="Calibri" w:hAnsi="Calibri" w:cs="Times New Roman"/>
    </w:rPr>
  </w:style>
  <w:style w:type="paragraph" w:styleId="Footer">
    <w:name w:val="footer"/>
    <w:basedOn w:val="Normal"/>
    <w:link w:val="FooterChar"/>
    <w:uiPriority w:val="99"/>
    <w:semiHidden/>
    <w:unhideWhenUsed/>
    <w:rsid w:val="001E6E98"/>
    <w:pPr>
      <w:tabs>
        <w:tab w:val="center" w:pos="4680"/>
        <w:tab w:val="right" w:pos="9360"/>
      </w:tabs>
      <w:spacing w:after="0" w:line="240" w:lineRule="auto"/>
    </w:pPr>
  </w:style>
  <w:style w:type="character" w:customStyle="1" w:styleId="FooterChar1">
    <w:name w:val="Footer Char1"/>
    <w:basedOn w:val="DefaultParagraphFont"/>
    <w:uiPriority w:val="99"/>
    <w:semiHidden/>
    <w:rsid w:val="001E6E98"/>
    <w:rPr>
      <w:rFonts w:ascii="Calibri" w:eastAsia="Calibri" w:hAnsi="Calibri" w:cs="Times New Roman"/>
    </w:rPr>
  </w:style>
  <w:style w:type="paragraph" w:styleId="Subtitle">
    <w:name w:val="Subtitle"/>
    <w:basedOn w:val="Normal"/>
    <w:next w:val="Normal"/>
    <w:link w:val="SubtitleChar"/>
    <w:uiPriority w:val="11"/>
    <w:qFormat/>
    <w:rsid w:val="001E6E98"/>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1E6E98"/>
    <w:rPr>
      <w:rFonts w:eastAsiaTheme="minorEastAsia"/>
      <w:color w:val="5A5A5A" w:themeColor="text1" w:themeTint="A5"/>
      <w:spacing w:val="15"/>
    </w:rPr>
  </w:style>
  <w:style w:type="character" w:customStyle="1" w:styleId="apple-converted-space">
    <w:name w:val="apple-converted-space"/>
    <w:rsid w:val="001E6E98"/>
  </w:style>
  <w:style w:type="paragraph" w:styleId="BodyText3">
    <w:name w:val="Body Text 3"/>
    <w:basedOn w:val="Normal"/>
    <w:link w:val="BodyText3Char"/>
    <w:uiPriority w:val="99"/>
    <w:semiHidden/>
    <w:unhideWhenUsed/>
    <w:rsid w:val="001E6E98"/>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1E6E98"/>
    <w:rPr>
      <w:rFonts w:ascii="Calibri" w:eastAsia="Calibri" w:hAnsi="Calibri" w:cs="Times New Roman"/>
      <w:sz w:val="16"/>
      <w:szCs w:val="16"/>
    </w:rPr>
  </w:style>
  <w:style w:type="character" w:customStyle="1" w:styleId="sb8d990e2">
    <w:name w:val="sb8d990e2"/>
    <w:basedOn w:val="DefaultParagraphFont"/>
    <w:rsid w:val="001E6E98"/>
  </w:style>
  <w:style w:type="character" w:customStyle="1" w:styleId="normal--char">
    <w:name w:val="normal--char"/>
    <w:basedOn w:val="DefaultParagraphFont"/>
    <w:rsid w:val="001E6E98"/>
  </w:style>
  <w:style w:type="character" w:customStyle="1" w:styleId="s7d2086b4">
    <w:name w:val="s7d2086b4"/>
    <w:basedOn w:val="DefaultParagraphFont"/>
    <w:uiPriority w:val="99"/>
    <w:rsid w:val="001E6E98"/>
  </w:style>
  <w:style w:type="character" w:customStyle="1" w:styleId="hps">
    <w:name w:val="hps"/>
    <w:basedOn w:val="DefaultParagraphFont"/>
    <w:rsid w:val="001E6E98"/>
  </w:style>
  <w:style w:type="character" w:customStyle="1" w:styleId="grame">
    <w:name w:val="grame"/>
    <w:rsid w:val="001E6E98"/>
    <w:rPr>
      <w:rFonts w:ascii="Times New Roman" w:hAnsi="Times New Roman" w:cs="Times New Roman" w:hint="default"/>
    </w:rPr>
  </w:style>
  <w:style w:type="character" w:customStyle="1" w:styleId="atn">
    <w:name w:val="atn"/>
    <w:basedOn w:val="DefaultParagraphFont"/>
    <w:rsid w:val="001E6E98"/>
  </w:style>
  <w:style w:type="paragraph" w:styleId="PlainText">
    <w:name w:val="Plain Text"/>
    <w:basedOn w:val="Normal"/>
    <w:link w:val="PlainTextChar"/>
    <w:uiPriority w:val="99"/>
    <w:semiHidden/>
    <w:unhideWhenUsed/>
    <w:rsid w:val="001E6E98"/>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1E6E98"/>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1E6E98"/>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1E6E98"/>
    <w:rPr>
      <w:rFonts w:ascii="Segoe UI" w:eastAsia="Calibri" w:hAnsi="Segoe UI" w:cs="Segoe UI"/>
      <w:sz w:val="16"/>
      <w:szCs w:val="16"/>
    </w:rPr>
  </w:style>
  <w:style w:type="character" w:customStyle="1" w:styleId="longtext">
    <w:name w:val="long_text"/>
    <w:rsid w:val="001E6E98"/>
    <w:rPr>
      <w:rFonts w:ascii="Comic Sans MS" w:hAnsi="Comic Sans MS" w:hint="default"/>
      <w:b/>
      <w:bCs w:val="0"/>
      <w:sz w:val="96"/>
      <w:szCs w:val="24"/>
      <w:lang w:val="pl-PL" w:eastAsia="pl-PL" w:bidi="ar-SA"/>
    </w:rPr>
  </w:style>
  <w:style w:type="character" w:customStyle="1" w:styleId="Point1CharChar">
    <w:name w:val="Point 1 Char Char"/>
    <w:rsid w:val="001E6E98"/>
    <w:rPr>
      <w:sz w:val="24"/>
      <w:szCs w:val="24"/>
      <w:lang w:val="en-GB" w:eastAsia="en-GB" w:bidi="ar-SA"/>
    </w:rPr>
  </w:style>
  <w:style w:type="character" w:customStyle="1" w:styleId="apple-style-span">
    <w:name w:val="apple-style-span"/>
    <w:rsid w:val="001E6E98"/>
  </w:style>
  <w:style w:type="character" w:customStyle="1" w:styleId="CommentTextChar">
    <w:name w:val="Comment Text Char"/>
    <w:basedOn w:val="DefaultParagraphFont"/>
    <w:uiPriority w:val="99"/>
    <w:semiHidden/>
    <w:rsid w:val="001E6E98"/>
    <w:rPr>
      <w:rFonts w:ascii="Calibri" w:eastAsia="Calibri" w:hAnsi="Calibri" w:cs="Times New Roman"/>
    </w:rPr>
  </w:style>
  <w:style w:type="character" w:customStyle="1" w:styleId="CommentTextChar1">
    <w:name w:val="Comment Text Char1"/>
    <w:basedOn w:val="DefaultParagraphFont"/>
    <w:rsid w:val="001E6E98"/>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1E6E98"/>
    <w:pPr>
      <w:spacing w:line="240" w:lineRule="auto"/>
    </w:pPr>
    <w:rPr>
      <w:sz w:val="20"/>
      <w:szCs w:val="20"/>
    </w:rPr>
  </w:style>
  <w:style w:type="character" w:customStyle="1" w:styleId="CommentTextChar2">
    <w:name w:val="Comment Text Char2"/>
    <w:basedOn w:val="DefaultParagraphFont"/>
    <w:link w:val="CommentText"/>
    <w:uiPriority w:val="99"/>
    <w:semiHidden/>
    <w:rsid w:val="001E6E9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E6E98"/>
    <w:rPr>
      <w:b/>
      <w:bCs/>
    </w:rPr>
  </w:style>
  <w:style w:type="character" w:customStyle="1" w:styleId="CommentSubjectChar">
    <w:name w:val="Comment Subject Char"/>
    <w:basedOn w:val="CommentTextChar2"/>
    <w:link w:val="CommentSubject"/>
    <w:uiPriority w:val="99"/>
    <w:semiHidden/>
    <w:rsid w:val="001E6E98"/>
    <w:rPr>
      <w:rFonts w:ascii="Calibri" w:eastAsia="Calibri" w:hAnsi="Calibri" w:cs="Times New Roman"/>
      <w:b/>
      <w:bCs/>
      <w:sz w:val="20"/>
      <w:szCs w:val="20"/>
    </w:rPr>
  </w:style>
  <w:style w:type="paragraph" w:styleId="MacroText">
    <w:name w:val="macro"/>
    <w:link w:val="MacroTextChar"/>
    <w:semiHidden/>
    <w:unhideWhenUsed/>
    <w:rsid w:val="001E6E98"/>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1E6E98"/>
    <w:rPr>
      <w:rFonts w:ascii="Consolas" w:eastAsia="Calibri" w:hAnsi="Consolas" w:cs="Times New Roman"/>
      <w:sz w:val="20"/>
      <w:szCs w:val="20"/>
    </w:rPr>
  </w:style>
  <w:style w:type="paragraph" w:styleId="Date">
    <w:name w:val="Date"/>
    <w:basedOn w:val="Normal"/>
    <w:next w:val="Normal"/>
    <w:link w:val="DateChar"/>
    <w:semiHidden/>
    <w:unhideWhenUsed/>
    <w:rsid w:val="001E6E98"/>
    <w:rPr>
      <w:rFonts w:ascii="Tahoma" w:eastAsia="Times New Roman" w:hAnsi="Tahoma"/>
      <w:lang w:val="de-AT" w:eastAsia="de-DE"/>
    </w:rPr>
  </w:style>
  <w:style w:type="character" w:customStyle="1" w:styleId="DateChar1">
    <w:name w:val="Date Char1"/>
    <w:basedOn w:val="DefaultParagraphFont"/>
    <w:semiHidden/>
    <w:rsid w:val="001E6E98"/>
    <w:rPr>
      <w:rFonts w:ascii="Calibri" w:eastAsia="Calibri" w:hAnsi="Calibri" w:cs="Times New Roman"/>
    </w:rPr>
  </w:style>
  <w:style w:type="character" w:customStyle="1" w:styleId="Emphasis1">
    <w:name w:val="Emphasis1"/>
    <w:semiHidden/>
    <w:rsid w:val="001E6E98"/>
  </w:style>
  <w:style w:type="paragraph" w:styleId="NoteHeading">
    <w:name w:val="Note Heading"/>
    <w:basedOn w:val="Normal"/>
    <w:next w:val="Normal"/>
    <w:link w:val="NoteHeadingChar"/>
    <w:semiHidden/>
    <w:unhideWhenUsed/>
    <w:rsid w:val="001E6E98"/>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1E6E98"/>
    <w:rPr>
      <w:rFonts w:ascii="Calibri" w:eastAsia="Calibri" w:hAnsi="Calibri" w:cs="Times New Roman"/>
    </w:rPr>
  </w:style>
  <w:style w:type="paragraph" w:styleId="BodyTextFirstIndent2">
    <w:name w:val="Body Text First Indent 2"/>
    <w:basedOn w:val="BodyTextIndent"/>
    <w:link w:val="BodyTextFirstIndent2Char"/>
    <w:semiHidden/>
    <w:unhideWhenUsed/>
    <w:rsid w:val="001E6E98"/>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1E6E98"/>
    <w:rPr>
      <w:rFonts w:ascii="Calibri" w:eastAsia="Calibri" w:hAnsi="Calibri" w:cs="Times New Roman"/>
    </w:rPr>
  </w:style>
  <w:style w:type="paragraph" w:styleId="Salutation">
    <w:name w:val="Salutation"/>
    <w:basedOn w:val="Normal"/>
    <w:next w:val="Normal"/>
    <w:link w:val="SalutationChar"/>
    <w:semiHidden/>
    <w:unhideWhenUsed/>
    <w:rsid w:val="001E6E98"/>
    <w:rPr>
      <w:rFonts w:ascii="Tahoma" w:eastAsia="Times New Roman" w:hAnsi="Tahoma"/>
      <w:lang w:val="de-AT" w:eastAsia="de-DE"/>
    </w:rPr>
  </w:style>
  <w:style w:type="character" w:customStyle="1" w:styleId="SalutationChar1">
    <w:name w:val="Salutation Char1"/>
    <w:basedOn w:val="DefaultParagraphFont"/>
    <w:semiHidden/>
    <w:rsid w:val="001E6E98"/>
    <w:rPr>
      <w:rFonts w:ascii="Calibri" w:eastAsia="Calibri" w:hAnsi="Calibri" w:cs="Times New Roman"/>
    </w:rPr>
  </w:style>
  <w:style w:type="paragraph" w:styleId="Closing">
    <w:name w:val="Closing"/>
    <w:basedOn w:val="Normal"/>
    <w:link w:val="ClosingChar"/>
    <w:semiHidden/>
    <w:unhideWhenUsed/>
    <w:rsid w:val="001E6E98"/>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1E6E98"/>
    <w:rPr>
      <w:rFonts w:ascii="Calibri" w:eastAsia="Calibri" w:hAnsi="Calibri" w:cs="Times New Roman"/>
    </w:rPr>
  </w:style>
  <w:style w:type="paragraph" w:styleId="Signature">
    <w:name w:val="Signature"/>
    <w:basedOn w:val="Normal"/>
    <w:link w:val="SignatureChar"/>
    <w:semiHidden/>
    <w:unhideWhenUsed/>
    <w:rsid w:val="001E6E98"/>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1E6E98"/>
    <w:rPr>
      <w:rFonts w:ascii="Calibri" w:eastAsia="Calibri" w:hAnsi="Calibri" w:cs="Times New Roman"/>
    </w:rPr>
  </w:style>
  <w:style w:type="paragraph" w:styleId="E-mailSignature">
    <w:name w:val="E-mail Signature"/>
    <w:basedOn w:val="Normal"/>
    <w:link w:val="E-mailSignatureChar"/>
    <w:semiHidden/>
    <w:unhideWhenUsed/>
    <w:rsid w:val="001E6E98"/>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1E6E98"/>
    <w:rPr>
      <w:rFonts w:ascii="Calibri" w:eastAsia="Calibri" w:hAnsi="Calibri" w:cs="Times New Roman"/>
    </w:rPr>
  </w:style>
  <w:style w:type="paragraph" w:styleId="BodyText2">
    <w:name w:val="Body Text 2"/>
    <w:basedOn w:val="Normal"/>
    <w:link w:val="BodyText2Char"/>
    <w:semiHidden/>
    <w:unhideWhenUsed/>
    <w:rsid w:val="001E6E98"/>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1E6E98"/>
    <w:rPr>
      <w:rFonts w:ascii="Calibri" w:eastAsia="Calibri" w:hAnsi="Calibri" w:cs="Times New Roman"/>
    </w:rPr>
  </w:style>
  <w:style w:type="paragraph" w:styleId="BodyTextIndent2">
    <w:name w:val="Body Text Indent 2"/>
    <w:basedOn w:val="Normal"/>
    <w:link w:val="BodyTextIndent2Char"/>
    <w:uiPriority w:val="99"/>
    <w:semiHidden/>
    <w:unhideWhenUsed/>
    <w:rsid w:val="001E6E98"/>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1E6E98"/>
    <w:rPr>
      <w:rFonts w:ascii="Calibri" w:eastAsia="Calibri" w:hAnsi="Calibri" w:cs="Times New Roman"/>
    </w:rPr>
  </w:style>
  <w:style w:type="paragraph" w:styleId="BodyTextIndent3">
    <w:name w:val="Body Text Indent 3"/>
    <w:basedOn w:val="Normal"/>
    <w:link w:val="BodyTextIndent3Char"/>
    <w:uiPriority w:val="99"/>
    <w:semiHidden/>
    <w:unhideWhenUsed/>
    <w:rsid w:val="001E6E98"/>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1E6E98"/>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1E6E98"/>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1E6E98"/>
    <w:rPr>
      <w:rFonts w:ascii="Calibri" w:eastAsia="Calibri" w:hAnsi="Calibri" w:cs="Times New Roman"/>
    </w:rPr>
  </w:style>
  <w:style w:type="character" w:customStyle="1" w:styleId="CharChar11">
    <w:name w:val="Char Char11"/>
    <w:semiHidden/>
    <w:locked/>
    <w:rsid w:val="001E6E98"/>
    <w:rPr>
      <w:rFonts w:ascii="Tahoma" w:hAnsi="Tahoma" w:cs="Tahoma" w:hint="default"/>
      <w:i/>
      <w:iCs/>
      <w:sz w:val="22"/>
      <w:szCs w:val="22"/>
      <w:lang w:val="de-AT" w:eastAsia="de-DE" w:bidi="ar-SA"/>
    </w:rPr>
  </w:style>
  <w:style w:type="character" w:customStyle="1" w:styleId="CharChar36">
    <w:name w:val="Char Char36"/>
    <w:locked/>
    <w:rsid w:val="001E6E98"/>
    <w:rPr>
      <w:rFonts w:ascii="Arial" w:hAnsi="Arial" w:cs="Arial" w:hint="default"/>
      <w:b/>
      <w:bCs/>
      <w:kern w:val="32"/>
      <w:sz w:val="32"/>
      <w:szCs w:val="32"/>
      <w:lang w:val="sq-AL" w:eastAsia="en-US" w:bidi="ar-SA"/>
    </w:rPr>
  </w:style>
  <w:style w:type="character" w:customStyle="1" w:styleId="CharChar35">
    <w:name w:val="Char Char35"/>
    <w:locked/>
    <w:rsid w:val="001E6E98"/>
    <w:rPr>
      <w:rFonts w:ascii="Arial" w:hAnsi="Arial" w:cs="Arial" w:hint="default"/>
      <w:b/>
      <w:bCs/>
      <w:i/>
      <w:iCs/>
      <w:sz w:val="28"/>
      <w:szCs w:val="28"/>
      <w:lang w:val="sq-AL" w:eastAsia="en-US" w:bidi="ar-SA"/>
    </w:rPr>
  </w:style>
  <w:style w:type="character" w:customStyle="1" w:styleId="CharChar34">
    <w:name w:val="Char Char34"/>
    <w:locked/>
    <w:rsid w:val="001E6E98"/>
    <w:rPr>
      <w:rFonts w:ascii="Tahoma" w:hAnsi="Tahoma" w:cs="Tahoma" w:hint="default"/>
      <w:b/>
      <w:bCs w:val="0"/>
      <w:kern w:val="28"/>
      <w:sz w:val="24"/>
      <w:szCs w:val="28"/>
      <w:lang w:val="de-AT" w:eastAsia="de-DE" w:bidi="ar-SA"/>
    </w:rPr>
  </w:style>
  <w:style w:type="character" w:customStyle="1" w:styleId="CharChar33">
    <w:name w:val="Char Char33"/>
    <w:locked/>
    <w:rsid w:val="001E6E98"/>
    <w:rPr>
      <w:rFonts w:ascii="Tahoma" w:hAnsi="Tahoma" w:cs="Tahoma" w:hint="default"/>
      <w:b/>
      <w:bCs w:val="0"/>
      <w:i/>
      <w:iCs w:val="0"/>
      <w:kern w:val="28"/>
      <w:sz w:val="22"/>
      <w:szCs w:val="22"/>
      <w:lang w:val="de-AT" w:eastAsia="de-DE" w:bidi="ar-SA"/>
    </w:rPr>
  </w:style>
  <w:style w:type="character" w:customStyle="1" w:styleId="CharChar32">
    <w:name w:val="Char Char32"/>
    <w:locked/>
    <w:rsid w:val="001E6E98"/>
    <w:rPr>
      <w:rFonts w:ascii="Tahoma" w:hAnsi="Tahoma" w:cs="Tahoma" w:hint="default"/>
      <w:b/>
      <w:bCs w:val="0"/>
      <w:i/>
      <w:iCs w:val="0"/>
      <w:kern w:val="28"/>
      <w:sz w:val="22"/>
      <w:szCs w:val="22"/>
      <w:lang w:val="de-AT" w:eastAsia="de-DE" w:bidi="ar-SA"/>
    </w:rPr>
  </w:style>
  <w:style w:type="character" w:customStyle="1" w:styleId="CharChar31">
    <w:name w:val="Char Char31"/>
    <w:locked/>
    <w:rsid w:val="001E6E98"/>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1E6E98"/>
    <w:rPr>
      <w:rFonts w:ascii="Courier New" w:hAnsi="Courier New" w:cs="Courier New" w:hint="default"/>
      <w:szCs w:val="22"/>
      <w:lang w:val="de-AT" w:eastAsia="de-DE" w:bidi="ar-SA"/>
    </w:rPr>
  </w:style>
  <w:style w:type="character" w:customStyle="1" w:styleId="CharChar30">
    <w:name w:val="Char Char30"/>
    <w:locked/>
    <w:rsid w:val="001E6E98"/>
    <w:rPr>
      <w:rFonts w:ascii="Tahoma" w:hAnsi="Tahoma" w:cs="Tahoma" w:hint="default"/>
      <w:b/>
      <w:bCs w:val="0"/>
      <w:i/>
      <w:iCs w:val="0"/>
      <w:kern w:val="28"/>
      <w:sz w:val="22"/>
      <w:szCs w:val="22"/>
      <w:lang w:val="de-AT" w:eastAsia="de-DE" w:bidi="ar-SA"/>
    </w:rPr>
  </w:style>
  <w:style w:type="character" w:customStyle="1" w:styleId="CharChar29">
    <w:name w:val="Char Char29"/>
    <w:locked/>
    <w:rsid w:val="001E6E98"/>
    <w:rPr>
      <w:rFonts w:ascii="Tahoma" w:hAnsi="Tahoma" w:cs="Tahoma" w:hint="default"/>
      <w:b/>
      <w:bCs w:val="0"/>
      <w:i/>
      <w:iCs w:val="0"/>
      <w:kern w:val="28"/>
      <w:sz w:val="22"/>
      <w:szCs w:val="22"/>
      <w:lang w:val="de-AT" w:eastAsia="de-DE" w:bidi="ar-SA"/>
    </w:rPr>
  </w:style>
  <w:style w:type="character" w:customStyle="1" w:styleId="CharChar28">
    <w:name w:val="Char Char28"/>
    <w:locked/>
    <w:rsid w:val="001E6E98"/>
    <w:rPr>
      <w:rFonts w:ascii="Tahoma" w:hAnsi="Tahoma" w:cs="Tahoma" w:hint="default"/>
      <w:b/>
      <w:bCs w:val="0"/>
      <w:i/>
      <w:iCs w:val="0"/>
      <w:kern w:val="28"/>
      <w:sz w:val="22"/>
      <w:szCs w:val="22"/>
      <w:lang w:val="de-AT" w:eastAsia="de-DE" w:bidi="ar-SA"/>
    </w:rPr>
  </w:style>
  <w:style w:type="character" w:customStyle="1" w:styleId="CharChar27">
    <w:name w:val="Char Char27"/>
    <w:locked/>
    <w:rsid w:val="001E6E98"/>
    <w:rPr>
      <w:rFonts w:ascii="Calibri" w:eastAsia="Calibri" w:hAnsi="Calibri" w:hint="default"/>
      <w:lang w:val="sq-AL" w:eastAsia="en-US" w:bidi="ar-SA"/>
    </w:rPr>
  </w:style>
  <w:style w:type="character" w:customStyle="1" w:styleId="CharChar24">
    <w:name w:val="Char Char24"/>
    <w:locked/>
    <w:rsid w:val="001E6E98"/>
    <w:rPr>
      <w:rFonts w:ascii="Tahoma" w:hAnsi="Tahoma" w:cs="Tahoma" w:hint="default"/>
      <w:sz w:val="22"/>
      <w:szCs w:val="22"/>
      <w:lang w:val="de-AT" w:eastAsia="de-DE" w:bidi="ar-SA"/>
    </w:rPr>
  </w:style>
  <w:style w:type="character" w:customStyle="1" w:styleId="CharChar23">
    <w:name w:val="Char Char23"/>
    <w:locked/>
    <w:rsid w:val="001E6E98"/>
    <w:rPr>
      <w:rFonts w:ascii="Tahoma" w:hAnsi="Tahoma" w:cs="Tahoma" w:hint="default"/>
      <w:sz w:val="22"/>
      <w:szCs w:val="22"/>
      <w:lang w:val="de-AT" w:eastAsia="de-DE" w:bidi="ar-SA"/>
    </w:rPr>
  </w:style>
  <w:style w:type="character" w:customStyle="1" w:styleId="CharChar22">
    <w:name w:val="Char Char22"/>
    <w:semiHidden/>
    <w:locked/>
    <w:rsid w:val="001E6E98"/>
    <w:rPr>
      <w:rFonts w:ascii="Courier New" w:hAnsi="Courier New" w:cs="Courier New" w:hint="default"/>
      <w:sz w:val="22"/>
      <w:szCs w:val="22"/>
      <w:lang w:val="de-DE" w:eastAsia="de-DE" w:bidi="ar-SA"/>
    </w:rPr>
  </w:style>
  <w:style w:type="character" w:customStyle="1" w:styleId="CharChar21">
    <w:name w:val="Char Char21"/>
    <w:locked/>
    <w:rsid w:val="001E6E98"/>
    <w:rPr>
      <w:rFonts w:ascii="Tahoma" w:hAnsi="Tahoma" w:cs="Tahoma" w:hint="default"/>
      <w:b/>
      <w:bCs w:val="0"/>
      <w:kern w:val="28"/>
      <w:sz w:val="36"/>
      <w:szCs w:val="36"/>
      <w:lang w:val="de-AT" w:eastAsia="de-DE" w:bidi="ar-SA"/>
    </w:rPr>
  </w:style>
  <w:style w:type="character" w:customStyle="1" w:styleId="CharChar12">
    <w:name w:val="Char Char12"/>
    <w:semiHidden/>
    <w:locked/>
    <w:rsid w:val="001E6E98"/>
    <w:rPr>
      <w:rFonts w:ascii="Tahoma" w:hAnsi="Tahoma" w:cs="Tahoma" w:hint="default"/>
      <w:sz w:val="22"/>
      <w:szCs w:val="22"/>
      <w:lang w:val="de-AT" w:eastAsia="de-DE" w:bidi="ar-SA"/>
    </w:rPr>
  </w:style>
  <w:style w:type="character" w:customStyle="1" w:styleId="CharChar9">
    <w:name w:val="Char Char9"/>
    <w:semiHidden/>
    <w:locked/>
    <w:rsid w:val="001E6E98"/>
    <w:rPr>
      <w:rFonts w:ascii="Tahoma" w:hAnsi="Tahoma" w:cs="Tahoma" w:hint="default"/>
      <w:sz w:val="22"/>
      <w:szCs w:val="22"/>
      <w:lang w:val="de-AT" w:eastAsia="de-DE" w:bidi="ar-SA"/>
    </w:rPr>
  </w:style>
  <w:style w:type="character" w:customStyle="1" w:styleId="CharChar25">
    <w:name w:val="Char Char25"/>
    <w:semiHidden/>
    <w:locked/>
    <w:rsid w:val="001E6E98"/>
    <w:rPr>
      <w:rFonts w:ascii="Tahoma" w:hAnsi="Tahoma" w:cs="Tahoma" w:hint="default"/>
      <w:sz w:val="22"/>
      <w:szCs w:val="22"/>
      <w:lang w:val="de-AT" w:eastAsia="de-DE" w:bidi="ar-SA"/>
    </w:rPr>
  </w:style>
  <w:style w:type="character" w:customStyle="1" w:styleId="CharChar15">
    <w:name w:val="Char Char15"/>
    <w:semiHidden/>
    <w:locked/>
    <w:rsid w:val="001E6E98"/>
    <w:rPr>
      <w:rFonts w:ascii="Tahoma" w:hAnsi="Tahoma" w:cs="Tahoma" w:hint="default"/>
      <w:sz w:val="22"/>
      <w:szCs w:val="22"/>
      <w:lang w:val="de-AT" w:eastAsia="de-DE" w:bidi="ar-SA"/>
    </w:rPr>
  </w:style>
  <w:style w:type="character" w:customStyle="1" w:styleId="CharChar16">
    <w:name w:val="Char Char16"/>
    <w:semiHidden/>
    <w:locked/>
    <w:rsid w:val="001E6E98"/>
    <w:rPr>
      <w:rFonts w:ascii="Tahoma" w:hAnsi="Tahoma" w:cs="Arial" w:hint="default"/>
      <w:sz w:val="24"/>
      <w:szCs w:val="24"/>
      <w:lang w:val="de-AT" w:eastAsia="de-DE" w:bidi="ar-SA"/>
    </w:rPr>
  </w:style>
  <w:style w:type="character" w:customStyle="1" w:styleId="CharChar20">
    <w:name w:val="Char Char20"/>
    <w:locked/>
    <w:rsid w:val="001E6E98"/>
    <w:rPr>
      <w:rFonts w:ascii="Tahoma" w:hAnsi="Tahoma" w:cs="Tahoma" w:hint="default"/>
      <w:b/>
      <w:bCs w:val="0"/>
      <w:kern w:val="28"/>
      <w:sz w:val="32"/>
      <w:szCs w:val="36"/>
      <w:lang w:val="de-AT" w:eastAsia="de-DE" w:bidi="ar-SA"/>
    </w:rPr>
  </w:style>
  <w:style w:type="character" w:customStyle="1" w:styleId="CharChar13">
    <w:name w:val="Char Char13"/>
    <w:semiHidden/>
    <w:locked/>
    <w:rsid w:val="001E6E98"/>
    <w:rPr>
      <w:rFonts w:ascii="Tahoma" w:hAnsi="Tahoma" w:cs="Tahoma" w:hint="default"/>
      <w:sz w:val="22"/>
      <w:szCs w:val="22"/>
      <w:lang w:val="de-AT" w:eastAsia="de-DE" w:bidi="ar-SA"/>
    </w:rPr>
  </w:style>
  <w:style w:type="character" w:customStyle="1" w:styleId="CharChar19">
    <w:name w:val="Char Char19"/>
    <w:semiHidden/>
    <w:locked/>
    <w:rsid w:val="001E6E98"/>
    <w:rPr>
      <w:rFonts w:ascii="Tahoma" w:hAnsi="Tahoma" w:cs="Tahoma" w:hint="default"/>
      <w:sz w:val="22"/>
      <w:szCs w:val="22"/>
      <w:lang w:val="de-AT" w:eastAsia="de-DE" w:bidi="ar-SA"/>
    </w:rPr>
  </w:style>
  <w:style w:type="character" w:customStyle="1" w:styleId="CharChar3">
    <w:name w:val="Char Char3"/>
    <w:semiHidden/>
    <w:locked/>
    <w:rsid w:val="001E6E98"/>
  </w:style>
  <w:style w:type="character" w:customStyle="1" w:styleId="CharChar14">
    <w:name w:val="Char Char14"/>
    <w:semiHidden/>
    <w:locked/>
    <w:rsid w:val="001E6E98"/>
  </w:style>
  <w:style w:type="character" w:customStyle="1" w:styleId="CharChar17">
    <w:name w:val="Char Char17"/>
    <w:locked/>
    <w:rsid w:val="001E6E98"/>
    <w:rPr>
      <w:rFonts w:ascii="Tahoma" w:hAnsi="Tahoma" w:cs="Tahoma" w:hint="default"/>
      <w:sz w:val="22"/>
      <w:szCs w:val="22"/>
      <w:lang w:val="de-AT" w:eastAsia="de-DE" w:bidi="ar-SA"/>
    </w:rPr>
  </w:style>
  <w:style w:type="character" w:customStyle="1" w:styleId="CharChar7">
    <w:name w:val="Char Char7"/>
    <w:semiHidden/>
    <w:locked/>
    <w:rsid w:val="001E6E98"/>
    <w:rPr>
      <w:rFonts w:ascii="Tahoma" w:hAnsi="Tahoma" w:cs="Tahoma" w:hint="default"/>
      <w:sz w:val="22"/>
      <w:szCs w:val="22"/>
      <w:lang w:val="de-AT" w:eastAsia="de-DE" w:bidi="ar-SA"/>
    </w:rPr>
  </w:style>
  <w:style w:type="character" w:customStyle="1" w:styleId="CharChar6">
    <w:name w:val="Char Char6"/>
    <w:semiHidden/>
    <w:locked/>
    <w:rsid w:val="001E6E98"/>
    <w:rPr>
      <w:rFonts w:ascii="Tahoma" w:hAnsi="Tahoma" w:cs="Tahoma" w:hint="default"/>
      <w:sz w:val="16"/>
      <w:szCs w:val="16"/>
      <w:lang w:val="de-AT" w:eastAsia="de-DE" w:bidi="ar-SA"/>
    </w:rPr>
  </w:style>
  <w:style w:type="character" w:customStyle="1" w:styleId="CharChar5">
    <w:name w:val="Char Char5"/>
    <w:semiHidden/>
    <w:locked/>
    <w:rsid w:val="001E6E98"/>
    <w:rPr>
      <w:rFonts w:ascii="Tahoma" w:hAnsi="Tahoma" w:cs="Tahoma" w:hint="default"/>
      <w:sz w:val="22"/>
      <w:szCs w:val="22"/>
      <w:lang w:val="de-AT" w:eastAsia="de-DE" w:bidi="ar-SA"/>
    </w:rPr>
  </w:style>
  <w:style w:type="character" w:customStyle="1" w:styleId="CharChar4">
    <w:name w:val="Char Char4"/>
    <w:semiHidden/>
    <w:locked/>
    <w:rsid w:val="001E6E98"/>
    <w:rPr>
      <w:rFonts w:ascii="Tahoma" w:hAnsi="Tahoma" w:cs="Tahoma" w:hint="default"/>
      <w:sz w:val="16"/>
      <w:szCs w:val="16"/>
      <w:lang w:val="de-AT" w:eastAsia="de-DE" w:bidi="ar-SA"/>
    </w:rPr>
  </w:style>
  <w:style w:type="character" w:customStyle="1" w:styleId="CharChar18">
    <w:name w:val="Char Char18"/>
    <w:semiHidden/>
    <w:locked/>
    <w:rsid w:val="001E6E98"/>
    <w:rPr>
      <w:rFonts w:ascii="Tahoma" w:hAnsi="Tahoma" w:cs="Tahoma" w:hint="default"/>
      <w:sz w:val="22"/>
      <w:szCs w:val="22"/>
      <w:lang w:val="de-AT" w:eastAsia="de-DE" w:bidi="ar-SA"/>
    </w:rPr>
  </w:style>
  <w:style w:type="character" w:customStyle="1" w:styleId="CharChar8">
    <w:name w:val="Char Char8"/>
    <w:locked/>
    <w:rsid w:val="001E6E98"/>
    <w:rPr>
      <w:rFonts w:ascii="Tahoma" w:hAnsi="Tahoma" w:cs="Tahoma" w:hint="default"/>
      <w:sz w:val="22"/>
      <w:szCs w:val="22"/>
      <w:lang w:val="de-AT" w:eastAsia="de-DE" w:bidi="ar-SA"/>
    </w:rPr>
  </w:style>
  <w:style w:type="character" w:customStyle="1" w:styleId="CharChar2">
    <w:name w:val="Char Char2"/>
    <w:locked/>
    <w:rsid w:val="001E6E98"/>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1E6E98"/>
    <w:rPr>
      <w:rFonts w:ascii="Tahoma" w:hAnsi="Tahoma" w:cs="Tahoma" w:hint="default"/>
      <w:sz w:val="16"/>
      <w:szCs w:val="16"/>
      <w:lang w:val="sq-AL" w:eastAsia="en-US" w:bidi="ar-SA"/>
    </w:rPr>
  </w:style>
  <w:style w:type="character" w:customStyle="1" w:styleId="CommentTextChar11">
    <w:name w:val="Comment Text Char11"/>
    <w:aliases w:val="Char Char37"/>
    <w:semiHidden/>
    <w:rsid w:val="001E6E98"/>
    <w:rPr>
      <w:rFonts w:ascii="Calibri" w:hAnsi="Calibri" w:hint="default"/>
      <w:lang w:val="sq-AL"/>
    </w:rPr>
  </w:style>
  <w:style w:type="paragraph" w:styleId="NormalIndent">
    <w:name w:val="Normal Indent"/>
    <w:basedOn w:val="Normal"/>
    <w:link w:val="NormalIndentChar"/>
    <w:semiHidden/>
    <w:unhideWhenUsed/>
    <w:rsid w:val="001E6E98"/>
    <w:pPr>
      <w:ind w:left="720"/>
    </w:pPr>
    <w:rPr>
      <w:rFonts w:ascii="Tahoma" w:eastAsia="Times New Roman" w:hAnsi="Tahoma"/>
      <w:lang w:val="de-AT" w:eastAsia="de-DE"/>
    </w:rPr>
  </w:style>
  <w:style w:type="character" w:customStyle="1" w:styleId="DeltaViewInsertion">
    <w:name w:val="DeltaView Insertion"/>
    <w:uiPriority w:val="99"/>
    <w:rsid w:val="001E6E98"/>
    <w:rPr>
      <w:color w:val="0000FF"/>
      <w:spacing w:val="0"/>
      <w:u w:val="double"/>
    </w:rPr>
  </w:style>
  <w:style w:type="character" w:customStyle="1" w:styleId="az12">
    <w:name w:val="az12"/>
    <w:uiPriority w:val="99"/>
    <w:rsid w:val="001E6E98"/>
    <w:rPr>
      <w:rFonts w:ascii="Times New Roman" w:hAnsi="Times New Roman" w:cs="Times New Roman" w:hint="default"/>
      <w:sz w:val="24"/>
    </w:rPr>
  </w:style>
  <w:style w:type="character" w:customStyle="1" w:styleId="Style20">
    <w:name w:val="Style2"/>
    <w:basedOn w:val="Point1Char"/>
    <w:uiPriority w:val="1"/>
    <w:qFormat/>
    <w:rsid w:val="001E6E98"/>
    <w:rPr>
      <w:rFonts w:ascii="Calibri" w:eastAsia="Times New Roman" w:hAnsi="Calibri" w:cs="Times New Roman"/>
      <w:sz w:val="24"/>
      <w:szCs w:val="24"/>
      <w:lang w:val="en-GB" w:eastAsia="en-GB"/>
    </w:rPr>
  </w:style>
  <w:style w:type="character" w:customStyle="1" w:styleId="Style2Char">
    <w:name w:val="Style2 Char"/>
    <w:locked/>
    <w:rsid w:val="001E6E98"/>
    <w:rPr>
      <w:rFonts w:ascii="Times New Roman" w:eastAsia="Times New Roman" w:hAnsi="Times New Roman" w:cs="Times New Roman" w:hint="default"/>
      <w:color w:val="0070C0"/>
      <w:sz w:val="28"/>
      <w:szCs w:val="24"/>
      <w:lang w:val="sq-AL"/>
    </w:rPr>
  </w:style>
  <w:style w:type="character" w:customStyle="1" w:styleId="longtext1">
    <w:name w:val="long_text1"/>
    <w:rsid w:val="001E6E98"/>
    <w:rPr>
      <w:sz w:val="20"/>
      <w:szCs w:val="20"/>
    </w:rPr>
  </w:style>
  <w:style w:type="character" w:customStyle="1" w:styleId="En-tteoupieddepage0">
    <w:name w:val="En-tête ou pied de page"/>
    <w:basedOn w:val="En-tteoupieddepage"/>
    <w:uiPriority w:val="99"/>
    <w:rsid w:val="001E6E98"/>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1E6E98"/>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1E6E98"/>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1E6E98"/>
    <w:rPr>
      <w:rFonts w:ascii="Times New Roman" w:hAnsi="Times New Roman" w:cs="Times New Roman"/>
      <w:u w:val="single"/>
      <w:shd w:val="clear" w:color="auto" w:fill="FFFFFF"/>
    </w:rPr>
  </w:style>
  <w:style w:type="character" w:customStyle="1" w:styleId="super">
    <w:name w:val="super"/>
    <w:basedOn w:val="DefaultParagraphFont"/>
    <w:rsid w:val="001E6E98"/>
  </w:style>
  <w:style w:type="character" w:customStyle="1" w:styleId="italic">
    <w:name w:val="italic"/>
    <w:basedOn w:val="DefaultParagraphFont"/>
    <w:rsid w:val="001E6E98"/>
  </w:style>
  <w:style w:type="character" w:customStyle="1" w:styleId="shorttext">
    <w:name w:val="short_text"/>
    <w:basedOn w:val="DefaultParagraphFont"/>
    <w:rsid w:val="001E6E98"/>
  </w:style>
  <w:style w:type="character" w:customStyle="1" w:styleId="boldface">
    <w:name w:val="boldface"/>
    <w:basedOn w:val="DefaultParagraphFont"/>
    <w:rsid w:val="001E6E98"/>
  </w:style>
  <w:style w:type="character" w:customStyle="1" w:styleId="italics">
    <w:name w:val="italics"/>
    <w:basedOn w:val="DefaultParagraphFont"/>
    <w:rsid w:val="001E6E98"/>
  </w:style>
  <w:style w:type="character" w:customStyle="1" w:styleId="superscript">
    <w:name w:val="superscript"/>
    <w:basedOn w:val="DefaultParagraphFont"/>
    <w:rsid w:val="001E6E98"/>
  </w:style>
  <w:style w:type="character" w:customStyle="1" w:styleId="ParagrafiCharChar">
    <w:name w:val="Paragrafi Char Char"/>
    <w:rsid w:val="001E6E98"/>
    <w:rPr>
      <w:rFonts w:ascii="CG Times" w:hAnsi="CG Times" w:hint="default"/>
      <w:sz w:val="22"/>
      <w:lang w:val="en-US" w:eastAsia="en-US" w:bidi="ar-SA"/>
    </w:rPr>
  </w:style>
  <w:style w:type="character" w:customStyle="1" w:styleId="st">
    <w:name w:val="st"/>
    <w:basedOn w:val="DefaultParagraphFont"/>
    <w:rsid w:val="001E6E98"/>
  </w:style>
  <w:style w:type="character" w:customStyle="1" w:styleId="TitleChar2">
    <w:name w:val="Title Char2"/>
    <w:uiPriority w:val="99"/>
    <w:locked/>
    <w:rsid w:val="001E6E98"/>
    <w:rPr>
      <w:rFonts w:ascii="Arrus BT" w:eastAsia="MS Mincho" w:hAnsi="Arrus BT" w:cs="Arrus BT" w:hint="default"/>
      <w:b/>
      <w:bCs/>
      <w:sz w:val="32"/>
      <w:szCs w:val="32"/>
      <w:lang w:val="en-US" w:eastAsia="en-US"/>
    </w:rPr>
  </w:style>
  <w:style w:type="character" w:customStyle="1" w:styleId="MessageHeaderLabel">
    <w:name w:val="Message Header Label"/>
    <w:rsid w:val="001E6E98"/>
    <w:rPr>
      <w:rFonts w:ascii="Arial Black" w:hAnsi="Arial Black" w:hint="default"/>
      <w:spacing w:val="-10"/>
      <w:sz w:val="18"/>
    </w:rPr>
  </w:style>
  <w:style w:type="character" w:customStyle="1" w:styleId="FontStyle85">
    <w:name w:val="Font Style85"/>
    <w:basedOn w:val="DefaultParagraphFont"/>
    <w:uiPriority w:val="99"/>
    <w:rsid w:val="001E6E98"/>
    <w:rPr>
      <w:rFonts w:ascii="Garamond" w:hAnsi="Garamond" w:cs="Garamond" w:hint="default"/>
      <w:sz w:val="22"/>
      <w:szCs w:val="22"/>
    </w:rPr>
  </w:style>
  <w:style w:type="character" w:customStyle="1" w:styleId="arial14">
    <w:name w:val="arial14"/>
    <w:rsid w:val="001E6E98"/>
  </w:style>
  <w:style w:type="character" w:customStyle="1" w:styleId="ju-005fpara--char">
    <w:name w:val="ju-005fpara--char"/>
    <w:basedOn w:val="DefaultParagraphFont"/>
    <w:rsid w:val="001E6E98"/>
  </w:style>
  <w:style w:type="character" w:customStyle="1" w:styleId="eheadnotes">
    <w:name w:val="eheadnotes"/>
    <w:rsid w:val="001E6E98"/>
    <w:rPr>
      <w:rFonts w:ascii="Times New Roman" w:hAnsi="Times New Roman" w:cs="Times New Roman" w:hint="default"/>
    </w:rPr>
  </w:style>
  <w:style w:type="character" w:customStyle="1" w:styleId="edate">
    <w:name w:val="edate"/>
    <w:rsid w:val="001E6E98"/>
    <w:rPr>
      <w:rFonts w:ascii="Times New Roman" w:hAnsi="Times New Roman" w:cs="Times New Roman" w:hint="default"/>
    </w:rPr>
  </w:style>
  <w:style w:type="character" w:customStyle="1" w:styleId="enumber">
    <w:name w:val="enumber"/>
    <w:rsid w:val="001E6E98"/>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1E6E98"/>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1E6E98"/>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E6E98"/>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E6E98"/>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E6E98"/>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E6E98"/>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E6E98"/>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E6E98"/>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E6E98"/>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E6E98"/>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1E6E98"/>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E6E98"/>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1E6E98"/>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E6E98"/>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E6E98"/>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1E6E98"/>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1E6E98"/>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1E6E98"/>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1E6E9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1E6E98"/>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1E6E9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4">
    <w:name w:val="List Number 4"/>
    <w:basedOn w:val="Normal"/>
    <w:semiHidden/>
    <w:unhideWhenUsed/>
    <w:rsid w:val="001E6E98"/>
    <w:pPr>
      <w:numPr>
        <w:numId w:val="1"/>
      </w:numPr>
      <w:contextualSpacing/>
    </w:pPr>
  </w:style>
  <w:style w:type="paragraph" w:styleId="ListBullet">
    <w:name w:val="List Bullet"/>
    <w:basedOn w:val="Normal"/>
    <w:semiHidden/>
    <w:unhideWhenUsed/>
    <w:rsid w:val="001E6E98"/>
    <w:pPr>
      <w:numPr>
        <w:numId w:val="3"/>
      </w:numPr>
      <w:contextualSpacing/>
    </w:pPr>
  </w:style>
  <w:style w:type="paragraph" w:styleId="ListBullet2">
    <w:name w:val="List Bullet 2"/>
    <w:basedOn w:val="Normal"/>
    <w:semiHidden/>
    <w:unhideWhenUsed/>
    <w:rsid w:val="001E6E98"/>
    <w:pPr>
      <w:numPr>
        <w:numId w:val="5"/>
      </w:numPr>
      <w:contextualSpacing/>
    </w:pPr>
  </w:style>
  <w:style w:type="paragraph" w:styleId="ListBullet3">
    <w:name w:val="List Bullet 3"/>
    <w:basedOn w:val="Normal"/>
    <w:semiHidden/>
    <w:unhideWhenUsed/>
    <w:rsid w:val="001E6E98"/>
    <w:pPr>
      <w:numPr>
        <w:numId w:val="6"/>
      </w:numPr>
      <w:contextualSpacing/>
    </w:pPr>
  </w:style>
  <w:style w:type="paragraph" w:styleId="ListBullet4">
    <w:name w:val="List Bullet 4"/>
    <w:basedOn w:val="Normal"/>
    <w:semiHidden/>
    <w:unhideWhenUsed/>
    <w:rsid w:val="001E6E98"/>
    <w:pPr>
      <w:numPr>
        <w:numId w:val="7"/>
      </w:numPr>
      <w:contextualSpacing/>
    </w:pPr>
  </w:style>
  <w:style w:type="paragraph" w:styleId="ListBullet5">
    <w:name w:val="List Bullet 5"/>
    <w:basedOn w:val="Normal"/>
    <w:semiHidden/>
    <w:unhideWhenUsed/>
    <w:rsid w:val="001E6E98"/>
    <w:pPr>
      <w:numPr>
        <w:numId w:val="8"/>
      </w:numPr>
      <w:contextualSpacing/>
    </w:pPr>
  </w:style>
  <w:style w:type="paragraph" w:styleId="ListNumber2">
    <w:name w:val="List Number 2"/>
    <w:basedOn w:val="Normal"/>
    <w:semiHidden/>
    <w:unhideWhenUsed/>
    <w:rsid w:val="001E6E98"/>
    <w:pPr>
      <w:numPr>
        <w:numId w:val="9"/>
      </w:numPr>
      <w:contextualSpacing/>
    </w:pPr>
  </w:style>
  <w:style w:type="paragraph" w:styleId="ListNumber3">
    <w:name w:val="List Number 3"/>
    <w:basedOn w:val="Normal"/>
    <w:semiHidden/>
    <w:unhideWhenUsed/>
    <w:rsid w:val="001E6E98"/>
    <w:pPr>
      <w:numPr>
        <w:numId w:val="10"/>
      </w:numPr>
      <w:contextualSpacing/>
    </w:pPr>
  </w:style>
  <w:style w:type="paragraph" w:styleId="ListNumber5">
    <w:name w:val="List Number 5"/>
    <w:basedOn w:val="Normal"/>
    <w:semiHidden/>
    <w:unhideWhenUsed/>
    <w:rsid w:val="001E6E98"/>
    <w:pPr>
      <w:numPr>
        <w:numId w:val="11"/>
      </w:numPr>
      <w:contextualSpacing/>
    </w:pPr>
  </w:style>
  <w:style w:type="numbering" w:styleId="111111">
    <w:name w:val="Outline List 2"/>
    <w:basedOn w:val="NoList"/>
    <w:semiHidden/>
    <w:unhideWhenUsed/>
    <w:rsid w:val="001E6E98"/>
    <w:pPr>
      <w:numPr>
        <w:numId w:val="14"/>
      </w:numPr>
    </w:pPr>
  </w:style>
  <w:style w:type="numbering" w:customStyle="1" w:styleId="aAhs">
    <w:name w:val="aAhs"/>
    <w:uiPriority w:val="99"/>
    <w:rsid w:val="001E6E98"/>
    <w:pPr>
      <w:numPr>
        <w:numId w:val="15"/>
      </w:numPr>
    </w:pPr>
  </w:style>
  <w:style w:type="numbering" w:customStyle="1" w:styleId="Style3">
    <w:name w:val="Style3"/>
    <w:rsid w:val="001E6E98"/>
    <w:pPr>
      <w:numPr>
        <w:numId w:val="16"/>
      </w:numPr>
    </w:pPr>
  </w:style>
  <w:style w:type="numbering" w:styleId="ArticleSection">
    <w:name w:val="Outline List 3"/>
    <w:basedOn w:val="NoList"/>
    <w:semiHidden/>
    <w:unhideWhenUsed/>
    <w:rsid w:val="001E6E98"/>
    <w:pPr>
      <w:numPr>
        <w:numId w:val="17"/>
      </w:numPr>
    </w:pPr>
  </w:style>
  <w:style w:type="numbering" w:styleId="1ai">
    <w:name w:val="Outline List 1"/>
    <w:basedOn w:val="NoList"/>
    <w:semiHidden/>
    <w:unhideWhenUsed/>
    <w:rsid w:val="001E6E98"/>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0565823">
      <w:bodyDiv w:val="1"/>
      <w:marLeft w:val="0"/>
      <w:marRight w:val="0"/>
      <w:marTop w:val="0"/>
      <w:marBottom w:val="0"/>
      <w:divBdr>
        <w:top w:val="none" w:sz="0" w:space="0" w:color="auto"/>
        <w:left w:val="none" w:sz="0" w:space="0" w:color="auto"/>
        <w:bottom w:val="none" w:sz="0" w:space="0" w:color="auto"/>
        <w:right w:val="none" w:sz="0" w:space="0" w:color="auto"/>
      </w:divBdr>
    </w:div>
    <w:div w:id="187757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1826</Words>
  <Characters>10409</Characters>
  <Application>Microsoft Office Word</Application>
  <DocSecurity>0</DocSecurity>
  <Lines>86</Lines>
  <Paragraphs>24</Paragraphs>
  <ScaleCrop>false</ScaleCrop>
  <Company/>
  <LinksUpToDate>false</LinksUpToDate>
  <CharactersWithSpaces>12211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2018-03-27T13:55:00Z</dcterms:created>
  <dcterms:modified xsi:type="dcterms:W3CDTF">2018-03-27T14:01:00Z</dcterms:modified>
</cp:coreProperties>
</file>