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AD1" w:rsidRDefault="00D86AD1" w:rsidP="00D86AD1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D86AD1" w:rsidRDefault="00D86AD1" w:rsidP="00D86AD1">
      <w:pPr>
        <w:pStyle w:val="NeniTitull"/>
        <w:rPr>
          <w:lang w:val="sq-AL"/>
        </w:rPr>
      </w:pPr>
      <w:r>
        <w:rPr>
          <w:lang w:val="sq-AL"/>
        </w:rPr>
        <w:t>Nr. 34, datë 2.5.2018</w:t>
      </w:r>
    </w:p>
    <w:p w:rsidR="00D86AD1" w:rsidRDefault="00D86AD1" w:rsidP="00D86AD1">
      <w:pPr>
        <w:pStyle w:val="Hapesira7"/>
        <w:rPr>
          <w:lang w:val="sq-AL"/>
        </w:rPr>
      </w:pPr>
    </w:p>
    <w:p w:rsidR="00D86AD1" w:rsidRDefault="00D86AD1" w:rsidP="00D86AD1">
      <w:pPr>
        <w:pStyle w:val="NeniTitull"/>
        <w:rPr>
          <w:lang w:val="sq-AL"/>
        </w:rPr>
      </w:pPr>
      <w:r>
        <w:rPr>
          <w:lang w:val="sq-AL"/>
        </w:rPr>
        <w:t>PËR DISA NDRYSHIME NË RREGULLOREN “PËR RAPORTIN E MJAFTUESHMËRISË SË KAPITALIT”</w:t>
      </w:r>
    </w:p>
    <w:p w:rsidR="00D86AD1" w:rsidRDefault="00D86AD1" w:rsidP="00D86AD1">
      <w:pPr>
        <w:pStyle w:val="Hapesira7"/>
        <w:rPr>
          <w:lang w:val="sq-AL"/>
        </w:rPr>
      </w:pPr>
    </w:p>
    <w:p w:rsidR="00D86AD1" w:rsidRDefault="00D86AD1" w:rsidP="00D86AD1">
      <w:pPr>
        <w:pStyle w:val="Paragrafi"/>
        <w:rPr>
          <w:lang w:val="sq-AL"/>
        </w:rPr>
      </w:pPr>
      <w:r>
        <w:rPr>
          <w:lang w:val="sq-AL"/>
        </w:rPr>
        <w:t>Në bazë dhe për zbatim të nenit 12, shkronja “a”, dhe neni 43, shkronja “c”, të ligjit nr. 8269, datë 23.12.1997, “Për Bankën e Shqipërisë”, i ndryshuar; nenit 58, shkronjat “a”, “b”, “c” dhe “ç”, nenit 59, pikat 2 dhe 3, dhe të nenit 60, pika 2, të ligjit nr. 9662, datë 18.12.2006, “Për bankat në Republikën e Shqipërisë”, i ndryshuar; Këshilli Mbikëqyrës i Bankës së Shqipërisë, me propozimin e Departamentit të Stabilitetit Financiar dhe të Departamentit të Mbikëqyrjes,</w:t>
      </w:r>
    </w:p>
    <w:p w:rsidR="00D86AD1" w:rsidRDefault="00D86AD1" w:rsidP="00D86AD1">
      <w:pPr>
        <w:pStyle w:val="Hapesira7"/>
        <w:rPr>
          <w:lang w:val="sq-AL"/>
        </w:rPr>
      </w:pPr>
    </w:p>
    <w:p w:rsidR="00D86AD1" w:rsidRDefault="00D86AD1" w:rsidP="00D86AD1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D86AD1" w:rsidRDefault="00D86AD1" w:rsidP="00D86AD1">
      <w:pPr>
        <w:pStyle w:val="Hapesira7"/>
        <w:rPr>
          <w:lang w:val="sq-AL"/>
        </w:rPr>
      </w:pPr>
    </w:p>
    <w:p w:rsidR="00D86AD1" w:rsidRDefault="00D86AD1" w:rsidP="00D86AD1">
      <w:pPr>
        <w:pStyle w:val="Paragrafi"/>
        <w:rPr>
          <w:lang w:val="sq-AL"/>
        </w:rPr>
      </w:pPr>
      <w:r>
        <w:rPr>
          <w:lang w:val="sq-AL"/>
        </w:rPr>
        <w:t>1. Në rregulloren “Për raportin e mjaftueshmërisë së kapitalit” miratuar me vendimin e Këshillit Mbikëqyrës nr. 48, datë 31.7.2013, e ndryshuar, të bëhen ndryshimet e mëposhtme:</w:t>
      </w:r>
    </w:p>
    <w:p w:rsidR="00D86AD1" w:rsidRDefault="00D86AD1" w:rsidP="00D86AD1">
      <w:pPr>
        <w:pStyle w:val="Paragrafi"/>
        <w:rPr>
          <w:lang w:val="sq-AL"/>
        </w:rPr>
      </w:pPr>
      <w:r>
        <w:rPr>
          <w:lang w:val="sq-AL"/>
        </w:rPr>
        <w:t>a) Në nenin 6, pika 2 dhe pika 3 shfuqizohen;</w:t>
      </w:r>
    </w:p>
    <w:p w:rsidR="00D86AD1" w:rsidRDefault="00D86AD1" w:rsidP="00D86AD1">
      <w:pPr>
        <w:pStyle w:val="Paragrafi"/>
        <w:rPr>
          <w:lang w:val="sq-AL"/>
        </w:rPr>
      </w:pPr>
      <w:r>
        <w:rPr>
          <w:lang w:val="sq-AL"/>
        </w:rPr>
        <w:t>b) Në aneksin 7, formulari 9 ndryshon me përmbajtjen e mëposhtme.</w:t>
      </w:r>
    </w:p>
    <w:p w:rsidR="00D86AD1" w:rsidRDefault="00D86AD1" w:rsidP="00D86AD1">
      <w:pPr>
        <w:spacing w:after="0" w:line="240" w:lineRule="auto"/>
        <w:ind w:firstLine="0"/>
        <w:jc w:val="left"/>
        <w:rPr>
          <w:rFonts w:ascii="Garamond" w:eastAsia="MS Mincho" w:hAnsi="Garamond" w:cs="CG Times"/>
          <w:sz w:val="24"/>
          <w:lang w:val="sq-AL"/>
        </w:rPr>
        <w:sectPr w:rsidR="00D86AD1" w:rsidSect="00D86AD1">
          <w:pgSz w:w="11907" w:h="16840"/>
          <w:pgMar w:top="720" w:right="1134" w:bottom="720" w:left="1134" w:header="851" w:footer="851" w:gutter="0"/>
          <w:pgNumType w:start="12"/>
          <w:cols w:space="454"/>
        </w:sectPr>
      </w:pPr>
    </w:p>
    <w:tbl>
      <w:tblPr>
        <w:tblW w:w="4994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1"/>
        <w:gridCol w:w="2316"/>
      </w:tblGrid>
      <w:tr w:rsidR="00D86AD1" w:rsidTr="00D86AD1">
        <w:trPr>
          <w:trHeight w:val="235"/>
        </w:trPr>
        <w:tc>
          <w:tcPr>
            <w:tcW w:w="37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sz w:val="12"/>
                <w:lang w:val="sq-AL"/>
              </w:rPr>
            </w:pPr>
            <w:r>
              <w:rPr>
                <w:lang w:val="sq-AL"/>
              </w:rPr>
              <w:t xml:space="preserve"> </w:t>
            </w:r>
          </w:p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 xml:space="preserve"> RMK – Raporti i mjaftueshmërisë së kapitalit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86AD1" w:rsidRDefault="00D86AD1">
            <w:pPr>
              <w:rPr>
                <w:lang w:val="sq-AL"/>
              </w:rPr>
            </w:pPr>
          </w:p>
        </w:tc>
      </w:tr>
      <w:tr w:rsidR="00D86AD1" w:rsidTr="00D86AD1">
        <w:trPr>
          <w:trHeight w:val="235"/>
        </w:trPr>
        <w:tc>
          <w:tcPr>
            <w:tcW w:w="37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>1)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6AD1" w:rsidRDefault="00D86AD1">
            <w:pPr>
              <w:rPr>
                <w:lang w:val="sq-AL"/>
              </w:rPr>
            </w:pPr>
          </w:p>
        </w:tc>
      </w:tr>
      <w:tr w:rsidR="00D86AD1" w:rsidTr="00D86AD1">
        <w:trPr>
          <w:trHeight w:val="235"/>
        </w:trPr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b/>
                <w:lang w:val="sq-AL"/>
              </w:rPr>
            </w:pPr>
            <w:r>
              <w:rPr>
                <w:b/>
                <w:lang w:val="sq-AL"/>
              </w:rPr>
              <w:t>Treguesit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b/>
                <w:lang w:val="sq-AL"/>
              </w:rPr>
            </w:pPr>
            <w:r>
              <w:rPr>
                <w:b/>
                <w:lang w:val="sq-AL"/>
              </w:rPr>
              <w:t>Vlera</w:t>
            </w:r>
          </w:p>
        </w:tc>
      </w:tr>
      <w:tr w:rsidR="00D86AD1" w:rsidTr="00D86AD1">
        <w:trPr>
          <w:trHeight w:val="235"/>
        </w:trPr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>Kapitali rregullator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>(a)</w:t>
            </w:r>
          </w:p>
        </w:tc>
      </w:tr>
      <w:tr w:rsidR="00D86AD1" w:rsidTr="00D86AD1">
        <w:trPr>
          <w:trHeight w:val="235"/>
        </w:trPr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>Aktivet dhe zërat jashtë bilancit të ponderuara me rrezik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>(b)</w:t>
            </w:r>
          </w:p>
        </w:tc>
      </w:tr>
      <w:tr w:rsidR="00D86AD1" w:rsidTr="00D86AD1">
        <w:trPr>
          <w:trHeight w:val="235"/>
        </w:trPr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>Raporti i Mjaftueshmërisë së Kapitalit (në %)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>(a)/(b)*100</w:t>
            </w:r>
          </w:p>
        </w:tc>
      </w:tr>
    </w:tbl>
    <w:p w:rsidR="00D86AD1" w:rsidRDefault="00D86AD1" w:rsidP="00D86AD1">
      <w:pPr>
        <w:pStyle w:val="Paragrafi"/>
        <w:rPr>
          <w:sz w:val="12"/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316"/>
        <w:gridCol w:w="2323"/>
      </w:tblGrid>
      <w:tr w:rsidR="00D86AD1" w:rsidTr="00D86AD1">
        <w:trPr>
          <w:trHeight w:val="235"/>
        </w:trPr>
        <w:tc>
          <w:tcPr>
            <w:tcW w:w="3795" w:type="pct"/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>2)</w:t>
            </w:r>
          </w:p>
        </w:tc>
        <w:tc>
          <w:tcPr>
            <w:tcW w:w="1205" w:type="pct"/>
            <w:noWrap/>
            <w:vAlign w:val="bottom"/>
            <w:hideMark/>
          </w:tcPr>
          <w:p w:rsidR="00D86AD1" w:rsidRDefault="00D86AD1">
            <w:pPr>
              <w:rPr>
                <w:lang w:val="sq-AL"/>
              </w:rPr>
            </w:pPr>
          </w:p>
        </w:tc>
      </w:tr>
      <w:tr w:rsidR="00D86AD1" w:rsidTr="00D86AD1">
        <w:trPr>
          <w:trHeight w:val="235"/>
        </w:trPr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b/>
                <w:lang w:val="sq-AL"/>
              </w:rPr>
            </w:pPr>
            <w:r>
              <w:rPr>
                <w:b/>
                <w:lang w:val="sq-AL"/>
              </w:rPr>
              <w:t>Treguesit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b/>
                <w:lang w:val="sq-AL"/>
              </w:rPr>
            </w:pPr>
            <w:r>
              <w:rPr>
                <w:b/>
                <w:lang w:val="sq-AL"/>
              </w:rPr>
              <w:t>Vlera</w:t>
            </w:r>
          </w:p>
        </w:tc>
      </w:tr>
      <w:tr w:rsidR="00D86AD1" w:rsidTr="00D86AD1">
        <w:trPr>
          <w:trHeight w:val="235"/>
        </w:trPr>
        <w:tc>
          <w:tcPr>
            <w:tcW w:w="3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>Aktivet dhe zërat jashtë bilancit të ponderuara me rrezik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>(d) = (a)+(b)+(c)</w:t>
            </w:r>
          </w:p>
        </w:tc>
      </w:tr>
      <w:tr w:rsidR="00D86AD1" w:rsidTr="00D86AD1">
        <w:trPr>
          <w:trHeight w:val="235"/>
        </w:trPr>
        <w:tc>
          <w:tcPr>
            <w:tcW w:w="3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>Aktivet dhe zërat jashtë bilancit të ponderuara me rrezik për rrezikun e kredisë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>(a)</w:t>
            </w:r>
          </w:p>
        </w:tc>
      </w:tr>
      <w:tr w:rsidR="00D86AD1" w:rsidTr="00D86AD1">
        <w:trPr>
          <w:trHeight w:val="235"/>
        </w:trPr>
        <w:tc>
          <w:tcPr>
            <w:tcW w:w="3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>12.5*kërkesa për kapital për rrezikun e tregut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>(b)</w:t>
            </w:r>
          </w:p>
        </w:tc>
      </w:tr>
      <w:tr w:rsidR="00D86AD1" w:rsidTr="00D86AD1">
        <w:trPr>
          <w:trHeight w:val="235"/>
        </w:trPr>
        <w:tc>
          <w:tcPr>
            <w:tcW w:w="3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>12.5*kërkesa për kapital për rrezikun operacional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6AD1" w:rsidRDefault="00D86AD1">
            <w:pPr>
              <w:pStyle w:val="Paragrafi"/>
              <w:spacing w:line="276" w:lineRule="auto"/>
              <w:ind w:firstLine="0"/>
              <w:rPr>
                <w:lang w:val="sq-AL"/>
              </w:rPr>
            </w:pPr>
            <w:r>
              <w:rPr>
                <w:lang w:val="sq-AL"/>
              </w:rPr>
              <w:t>(c)</w:t>
            </w:r>
          </w:p>
        </w:tc>
      </w:tr>
      <w:tr w:rsidR="00D86AD1" w:rsidTr="00D86AD1">
        <w:trPr>
          <w:trHeight w:val="235"/>
        </w:trPr>
        <w:tc>
          <w:tcPr>
            <w:tcW w:w="3795" w:type="pct"/>
            <w:noWrap/>
            <w:vAlign w:val="bottom"/>
            <w:hideMark/>
          </w:tcPr>
          <w:p w:rsidR="00D86AD1" w:rsidRDefault="00D86AD1">
            <w:pPr>
              <w:rPr>
                <w:lang w:val="sq-AL"/>
              </w:rPr>
            </w:pPr>
          </w:p>
        </w:tc>
        <w:tc>
          <w:tcPr>
            <w:tcW w:w="1205" w:type="pct"/>
            <w:noWrap/>
            <w:vAlign w:val="bottom"/>
            <w:hideMark/>
          </w:tcPr>
          <w:p w:rsidR="00D86AD1" w:rsidRDefault="00D86AD1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D86AD1" w:rsidRDefault="00D86AD1" w:rsidP="00D86AD1">
      <w:pPr>
        <w:pStyle w:val="Paragrafi"/>
        <w:rPr>
          <w:lang w:val="sq-AL"/>
        </w:rPr>
      </w:pPr>
      <w:r>
        <w:rPr>
          <w:lang w:val="sq-AL"/>
        </w:rPr>
        <w:t>c) Aneksi 8 shfuqizohet.</w:t>
      </w:r>
    </w:p>
    <w:p w:rsidR="00D86AD1" w:rsidRDefault="00D86AD1" w:rsidP="00D86AD1">
      <w:pPr>
        <w:pStyle w:val="Paragrafi"/>
        <w:rPr>
          <w:lang w:val="sq-AL"/>
        </w:rPr>
      </w:pPr>
      <w:r>
        <w:rPr>
          <w:lang w:val="sq-AL"/>
        </w:rPr>
        <w:t>2. Ngarkohen Departamenti i Mbikëqyrjes dhe Departamenti i Statistikave Financiare me ndjekjen e zbatimit të këtij vendimi.</w:t>
      </w:r>
    </w:p>
    <w:p w:rsidR="00D86AD1" w:rsidRDefault="00D86AD1" w:rsidP="00D86AD1">
      <w:pPr>
        <w:pStyle w:val="Paragrafi"/>
        <w:rPr>
          <w:lang w:val="sq-AL"/>
        </w:rPr>
      </w:pPr>
      <w:r>
        <w:rPr>
          <w:lang w:val="sq-AL"/>
        </w:rPr>
        <w:t>3. Ngarkohet Kabineti i Guvernatorit dhe Departamenti i Kërkimeve me publikimin e këtij vendimi, përkatësisht në Fletoren Zyrtare të Republikës së Shqipërisë dhe në Buletinin Zyrtar të Bankës së Shqipërisë.</w:t>
      </w:r>
    </w:p>
    <w:p w:rsidR="00D86AD1" w:rsidRDefault="00D86AD1" w:rsidP="00D86AD1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D86AD1" w:rsidRDefault="00D86AD1" w:rsidP="00D86AD1">
      <w:pPr>
        <w:pStyle w:val="Hapesira7"/>
        <w:rPr>
          <w:sz w:val="4"/>
          <w:lang w:val="sq-AL"/>
        </w:rPr>
      </w:pPr>
    </w:p>
    <w:p w:rsidR="00D86AD1" w:rsidRDefault="00D86AD1" w:rsidP="00D86AD1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D86AD1" w:rsidRDefault="00D86AD1" w:rsidP="00D86AD1">
      <w:pPr>
        <w:widowControl w:val="0"/>
        <w:tabs>
          <w:tab w:val="num" w:pos="1080"/>
        </w:tabs>
        <w:spacing w:after="0" w:line="240" w:lineRule="auto"/>
        <w:jc w:val="right"/>
        <w:rPr>
          <w:rFonts w:ascii="Garamond" w:hAnsi="Garamond"/>
          <w:b/>
          <w:noProof/>
          <w:sz w:val="24"/>
          <w:szCs w:val="24"/>
        </w:rPr>
      </w:pPr>
      <w:r>
        <w:rPr>
          <w:rFonts w:ascii="Garamond" w:hAnsi="Garamond"/>
          <w:b/>
          <w:sz w:val="24"/>
          <w:szCs w:val="24"/>
          <w:lang w:val="sq-AL"/>
        </w:rPr>
        <w:t>Gent Sejko</w:t>
      </w:r>
    </w:p>
    <w:p w:rsidR="00D86AD1" w:rsidRDefault="00D86AD1" w:rsidP="00D86AD1">
      <w:pPr>
        <w:spacing w:after="0" w:line="240" w:lineRule="auto"/>
        <w:ind w:firstLine="0"/>
        <w:jc w:val="left"/>
        <w:rPr>
          <w:rFonts w:ascii="Garamond" w:eastAsia="MS Mincho" w:hAnsi="Garamond" w:cs="CG Times"/>
          <w:sz w:val="24"/>
          <w:lang w:val="sq-AL"/>
        </w:rPr>
        <w:sectPr w:rsidR="00D86AD1" w:rsidSect="00D86AD1">
          <w:type w:val="continuous"/>
          <w:pgSz w:w="11907" w:h="16840"/>
          <w:pgMar w:top="720" w:right="1134" w:bottom="720" w:left="1134" w:header="851" w:footer="851" w:gutter="0"/>
          <w:pgNumType w:start="12"/>
          <w:cols w:space="720"/>
        </w:sectPr>
      </w:pPr>
      <w:bookmarkStart w:id="0" w:name="_GoBack"/>
      <w:bookmarkEnd w:id="0"/>
    </w:p>
    <w:p w:rsidR="00914ACD" w:rsidRDefault="00914ACD"/>
    <w:sectPr w:rsidR="00914ACD" w:rsidSect="00D86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D1"/>
    <w:rsid w:val="00914ACD"/>
    <w:rsid w:val="00D8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D361B0-EC29-427D-80AF-BCE362D0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AD1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D86AD1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D86AD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D86AD1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D86AD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86AD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D86AD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4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2018-05-09T13:30:00Z</dcterms:created>
  <dcterms:modified xsi:type="dcterms:W3CDTF">2018-05-09T13:31:00Z</dcterms:modified>
</cp:coreProperties>
</file>