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6B0" w:rsidRDefault="00EE36B0" w:rsidP="00EE36B0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EE36B0" w:rsidRDefault="00EE36B0" w:rsidP="00EE36B0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>2, datë 9.1.2019</w:t>
      </w:r>
      <w:bookmarkEnd w:id="0"/>
    </w:p>
    <w:p w:rsidR="00EE36B0" w:rsidRDefault="00EE36B0" w:rsidP="00EE36B0">
      <w:pPr>
        <w:pStyle w:val="NeniTitull"/>
        <w:rPr>
          <w:spacing w:val="-4"/>
          <w:sz w:val="14"/>
          <w:lang w:val="sq-AL"/>
        </w:rPr>
      </w:pPr>
    </w:p>
    <w:p w:rsidR="00EE36B0" w:rsidRDefault="00EE36B0" w:rsidP="00EE36B0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PËR DISA NDRYSHIME NË RREGULLOREN “PËR KAPITALIN RREGULLATOR TË BANKËS” </w:t>
      </w:r>
    </w:p>
    <w:p w:rsidR="00EE36B0" w:rsidRDefault="00EE36B0" w:rsidP="00EE36B0">
      <w:pPr>
        <w:pStyle w:val="Paragrafi"/>
        <w:rPr>
          <w:spacing w:val="-4"/>
          <w:sz w:val="14"/>
          <w:lang w:val="sq-AL"/>
        </w:rPr>
      </w:pPr>
    </w:p>
    <w:p w:rsidR="00EE36B0" w:rsidRDefault="00EE36B0" w:rsidP="00EE36B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bazë dhe për zbatim të nenit 12, shkronja “a” dhe nenit 43, shkronja “c”, të ligjit nr. 8269, datë 23.12.1997 “Për Bankën e Shqipërisë”, i ndryshuar, dhe të nenit 59, pika 2 dhe 8 të ligjit nr. 9662, datë 18.12.2006 “Për bankat në Republikën e Shqipërisë”, i ndryshuar, me propozim të Departamentit të Mbikëqyrjes, Këshilli Mbikëqyrës i Bankës së Shqipërisë</w:t>
      </w:r>
    </w:p>
    <w:p w:rsidR="00EE36B0" w:rsidRDefault="00EE36B0" w:rsidP="00EE36B0">
      <w:pPr>
        <w:pStyle w:val="Paragrafi"/>
        <w:rPr>
          <w:spacing w:val="-4"/>
          <w:sz w:val="10"/>
          <w:lang w:val="sq-AL"/>
        </w:rPr>
      </w:pPr>
    </w:p>
    <w:p w:rsidR="00EE36B0" w:rsidRDefault="00EE36B0" w:rsidP="00EE36B0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EE36B0" w:rsidRDefault="00EE36B0" w:rsidP="00EE36B0">
      <w:pPr>
        <w:pStyle w:val="Paragrafi"/>
        <w:rPr>
          <w:spacing w:val="-4"/>
          <w:sz w:val="6"/>
          <w:lang w:val="sq-AL"/>
        </w:rPr>
      </w:pPr>
    </w:p>
    <w:p w:rsidR="00EE36B0" w:rsidRDefault="00EE36B0" w:rsidP="00EE36B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Në rregulloren “Për kapitalin rregullator të bankës”, miratuar me vendimin e Këshillit Mbikëqyrës nr. 69, datë 18.12.2014, e ndryshuar, të bëhen ndryshimet e mëposhtme:</w:t>
      </w:r>
    </w:p>
    <w:p w:rsidR="00EE36B0" w:rsidRDefault="00EE36B0" w:rsidP="00EE36B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Në nenin 42 bëhen ndryshimet e mëposhtme:</w:t>
      </w:r>
    </w:p>
    <w:p w:rsidR="00EE36B0" w:rsidRDefault="00EE36B0" w:rsidP="00EE36B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i. Përmbajtja e shkronjës “a”, ndryshon në: </w:t>
      </w:r>
    </w:p>
    <w:p w:rsidR="00EE36B0" w:rsidRDefault="00EE36B0" w:rsidP="00EE36B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“a) 6.75% të kapitalit bazë të nivelit të parë ndaj ekspozimeve të ponderuara me rrezikun;”;</w:t>
      </w:r>
    </w:p>
    <w:p w:rsidR="00EE36B0" w:rsidRDefault="00EE36B0" w:rsidP="00EE36B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ii. Përmbajtja e shkronjës “b”, ndryshon në: </w:t>
      </w:r>
    </w:p>
    <w:p w:rsidR="00EE36B0" w:rsidRDefault="00EE36B0" w:rsidP="00EE36B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“b) 9% të kapitalit të nivelit të parë ndaj ekspozimeve të ponderuara me rrezikun;”;</w:t>
      </w:r>
    </w:p>
    <w:p w:rsidR="00EE36B0" w:rsidRDefault="00EE36B0" w:rsidP="00EE36B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aneksin 1, tabela “Raportet dhe nivelet e kapitalit”, ndryshon sipas përmbajtjes së mëposhtme:</w:t>
      </w:r>
    </w:p>
    <w:p w:rsidR="00EE36B0" w:rsidRDefault="00EE36B0" w:rsidP="00EE36B0">
      <w:pPr>
        <w:pStyle w:val="Paragrafi"/>
        <w:rPr>
          <w:spacing w:val="-4"/>
          <w:sz w:val="14"/>
          <w:lang w:val="sq-AL"/>
        </w:rPr>
      </w:pPr>
    </w:p>
    <w:p w:rsidR="00EE36B0" w:rsidRDefault="00EE36B0" w:rsidP="00EE36B0">
      <w:pPr>
        <w:pStyle w:val="NeniNr"/>
        <w:rPr>
          <w:lang w:val="sq-AL"/>
        </w:rPr>
      </w:pPr>
      <w:r>
        <w:rPr>
          <w:lang w:val="sq-AL"/>
        </w:rPr>
        <w:t>RAPORTET DHE NIVELET E KAPITALIT</w:t>
      </w:r>
    </w:p>
    <w:p w:rsidR="00EE36B0" w:rsidRDefault="00EE36B0" w:rsidP="00EE36B0">
      <w:pPr>
        <w:pStyle w:val="Paragrafi"/>
        <w:rPr>
          <w:spacing w:val="-4"/>
          <w:sz w:val="14"/>
          <w:lang w:val="sq-AL"/>
        </w:rPr>
      </w:pPr>
    </w:p>
    <w:tbl>
      <w:tblPr>
        <w:tblStyle w:val="TableGrid"/>
        <w:tblW w:w="5000" w:type="pct"/>
        <w:jc w:val="center"/>
        <w:tblInd w:w="0" w:type="dxa"/>
        <w:tblLook w:val="04A0" w:firstRow="1" w:lastRow="0" w:firstColumn="1" w:lastColumn="0" w:noHBand="0" w:noVBand="1"/>
      </w:tblPr>
      <w:tblGrid>
        <w:gridCol w:w="1036"/>
        <w:gridCol w:w="6051"/>
        <w:gridCol w:w="2243"/>
      </w:tblGrid>
      <w:tr w:rsidR="00EE36B0" w:rsidTr="00EE36B0">
        <w:trPr>
          <w:jc w:val="center"/>
        </w:trPr>
        <w:tc>
          <w:tcPr>
            <w:tcW w:w="5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EE36B0" w:rsidRDefault="00EE36B0">
            <w:pPr>
              <w:pStyle w:val="Paragrafi"/>
              <w:ind w:firstLine="0"/>
              <w:jc w:val="center"/>
              <w:rPr>
                <w:b/>
                <w:spacing w:val="-4"/>
                <w:sz w:val="22"/>
                <w:lang w:val="sq-AL"/>
              </w:rPr>
            </w:pPr>
            <w:r>
              <w:rPr>
                <w:b/>
                <w:spacing w:val="-4"/>
                <w:sz w:val="22"/>
                <w:lang w:val="sq-AL"/>
              </w:rPr>
              <w:t>Nr.</w:t>
            </w:r>
          </w:p>
        </w:tc>
        <w:tc>
          <w:tcPr>
            <w:tcW w:w="3243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EE36B0" w:rsidRDefault="00EE36B0">
            <w:pPr>
              <w:pStyle w:val="Paragrafi"/>
              <w:ind w:firstLine="0"/>
              <w:rPr>
                <w:b/>
                <w:spacing w:val="-4"/>
                <w:sz w:val="22"/>
                <w:lang w:val="sq-AL"/>
              </w:rPr>
            </w:pPr>
            <w:r>
              <w:rPr>
                <w:b/>
                <w:spacing w:val="-4"/>
                <w:sz w:val="22"/>
                <w:lang w:val="sq-AL"/>
              </w:rPr>
              <w:t>Zëra</w:t>
            </w:r>
          </w:p>
        </w:tc>
        <w:tc>
          <w:tcPr>
            <w:tcW w:w="1202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EE36B0" w:rsidRDefault="00EE36B0">
            <w:pPr>
              <w:pStyle w:val="Paragrafi"/>
              <w:ind w:firstLine="0"/>
              <w:jc w:val="center"/>
              <w:rPr>
                <w:b/>
                <w:spacing w:val="-4"/>
                <w:sz w:val="22"/>
                <w:lang w:val="sq-AL"/>
              </w:rPr>
            </w:pPr>
            <w:r>
              <w:rPr>
                <w:b/>
                <w:spacing w:val="-4"/>
                <w:sz w:val="22"/>
                <w:lang w:val="sq-AL"/>
              </w:rPr>
              <w:t>Vlera</w:t>
            </w:r>
          </w:p>
        </w:tc>
      </w:tr>
      <w:tr w:rsidR="00EE36B0" w:rsidTr="00EE36B0">
        <w:trPr>
          <w:jc w:val="center"/>
        </w:trPr>
        <w:tc>
          <w:tcPr>
            <w:tcW w:w="55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6B0" w:rsidRDefault="00EE36B0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>
              <w:rPr>
                <w:spacing w:val="-4"/>
                <w:sz w:val="22"/>
                <w:lang w:val="sq-AL"/>
              </w:rPr>
              <w:t>1.</w:t>
            </w:r>
          </w:p>
        </w:tc>
        <w:tc>
          <w:tcPr>
            <w:tcW w:w="324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6B0" w:rsidRDefault="00EE36B0">
            <w:pPr>
              <w:pStyle w:val="Paragrafi"/>
              <w:ind w:firstLine="0"/>
              <w:jc w:val="left"/>
              <w:rPr>
                <w:spacing w:val="-4"/>
                <w:sz w:val="22"/>
                <w:lang w:val="sq-AL"/>
              </w:rPr>
            </w:pPr>
            <w:r>
              <w:rPr>
                <w:spacing w:val="-4"/>
                <w:sz w:val="22"/>
                <w:lang w:val="sq-AL"/>
              </w:rPr>
              <w:t>Raporti: Kapitali bazë i nivelit të parë/ekspozime të ponderuara me rrezikun</w:t>
            </w:r>
          </w:p>
        </w:tc>
        <w:tc>
          <w:tcPr>
            <w:tcW w:w="1202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E36B0" w:rsidRDefault="00EE36B0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>
              <w:rPr>
                <w:spacing w:val="-4"/>
                <w:sz w:val="22"/>
                <w:lang w:val="sq-AL"/>
              </w:rPr>
              <w:t>≥6.75%</w:t>
            </w:r>
          </w:p>
        </w:tc>
      </w:tr>
      <w:tr w:rsidR="00EE36B0" w:rsidTr="00EE36B0">
        <w:trPr>
          <w:jc w:val="center"/>
        </w:trPr>
        <w:tc>
          <w:tcPr>
            <w:tcW w:w="55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6B0" w:rsidRDefault="00EE36B0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>
              <w:rPr>
                <w:spacing w:val="-4"/>
                <w:sz w:val="22"/>
                <w:lang w:val="sq-AL"/>
              </w:rPr>
              <w:t>2.</w:t>
            </w:r>
          </w:p>
        </w:tc>
        <w:tc>
          <w:tcPr>
            <w:tcW w:w="3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6B0" w:rsidRDefault="00EE36B0">
            <w:pPr>
              <w:pStyle w:val="Paragrafi"/>
              <w:ind w:firstLine="0"/>
              <w:jc w:val="left"/>
              <w:rPr>
                <w:spacing w:val="-4"/>
                <w:sz w:val="22"/>
                <w:lang w:val="sq-AL"/>
              </w:rPr>
            </w:pPr>
            <w:r>
              <w:rPr>
                <w:spacing w:val="-4"/>
                <w:sz w:val="22"/>
                <w:lang w:val="sq-AL"/>
              </w:rPr>
              <w:t>Raporti: Kapitali i nivelit të parë/ekspozime të ponderuara me rrezikun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E36B0" w:rsidRDefault="00EE36B0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>
              <w:rPr>
                <w:spacing w:val="-4"/>
                <w:sz w:val="22"/>
                <w:lang w:val="sq-AL"/>
              </w:rPr>
              <w:t>≥9%</w:t>
            </w:r>
          </w:p>
        </w:tc>
      </w:tr>
      <w:tr w:rsidR="00EE36B0" w:rsidTr="00EE36B0">
        <w:trPr>
          <w:jc w:val="center"/>
        </w:trPr>
        <w:tc>
          <w:tcPr>
            <w:tcW w:w="55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E36B0" w:rsidRDefault="00EE36B0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>
              <w:rPr>
                <w:spacing w:val="-4"/>
                <w:sz w:val="22"/>
                <w:lang w:val="sq-AL"/>
              </w:rPr>
              <w:t>3.</w:t>
            </w:r>
          </w:p>
        </w:tc>
        <w:tc>
          <w:tcPr>
            <w:tcW w:w="324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E36B0" w:rsidRDefault="00EE36B0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>
              <w:rPr>
                <w:spacing w:val="-4"/>
                <w:sz w:val="22"/>
                <w:lang w:val="sq-AL"/>
              </w:rPr>
              <w:t>Raporti i mjaftueshmërisë së kapitalit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E36B0" w:rsidRDefault="00EE36B0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>
              <w:rPr>
                <w:spacing w:val="-4"/>
                <w:sz w:val="22"/>
                <w:lang w:val="sq-AL"/>
              </w:rPr>
              <w:t>≥12%</w:t>
            </w:r>
          </w:p>
        </w:tc>
      </w:tr>
    </w:tbl>
    <w:p w:rsidR="00EE36B0" w:rsidRDefault="00EE36B0" w:rsidP="00EE36B0">
      <w:pPr>
        <w:pStyle w:val="Paragrafi"/>
        <w:rPr>
          <w:spacing w:val="-4"/>
          <w:lang w:val="sq-AL"/>
        </w:rPr>
      </w:pPr>
    </w:p>
    <w:p w:rsidR="00EE36B0" w:rsidRDefault="00EE36B0" w:rsidP="00EE36B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Ngarkohen bankat e licencuara nga Banka e Shqipërisë, me zbatimin e këtij vendimi. </w:t>
      </w:r>
    </w:p>
    <w:p w:rsidR="00EE36B0" w:rsidRDefault="00EE36B0" w:rsidP="00EE36B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Ngarkohet Departamenti i Mbikëqyrjes dhe Departamenti i Statistikave Financiare, për ndjekjen e zbatimit të këtij vendimi.</w:t>
      </w:r>
    </w:p>
    <w:p w:rsidR="00EE36B0" w:rsidRDefault="00EE36B0" w:rsidP="00EE36B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Ngarkohet Kabineti i Guvernatorit dhe Departamenti i Kërkimeve me publikimin e këtij vendimi, përkatësisht në Fletoren Zyrtare të Republikës së Shqipërisë dhe në Buletinin Zyrtar të Bankës së Shqipërisë.</w:t>
      </w:r>
    </w:p>
    <w:p w:rsidR="00EE36B0" w:rsidRDefault="00EE36B0" w:rsidP="00EE36B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hyn në fuqi 15 (pesëmbëdhjetë) ditë pas botimit në Fletoren Zyrtare. </w:t>
      </w:r>
    </w:p>
    <w:p w:rsidR="00EE36B0" w:rsidRDefault="00EE36B0" w:rsidP="00EE36B0">
      <w:pPr>
        <w:pStyle w:val="Paragrafi"/>
        <w:rPr>
          <w:spacing w:val="-4"/>
          <w:sz w:val="14"/>
          <w:lang w:val="sq-AL"/>
        </w:rPr>
      </w:pPr>
    </w:p>
    <w:p w:rsidR="00EE36B0" w:rsidRDefault="00EE36B0" w:rsidP="00EE36B0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EE36B0" w:rsidRDefault="00EE36B0" w:rsidP="00EE36B0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Gent Sejko</w:t>
      </w:r>
    </w:p>
    <w:p w:rsidR="00FE7210" w:rsidRDefault="00FE7210"/>
    <w:sectPr w:rsidR="00FE72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6B0"/>
    <w:rsid w:val="00EE36B0"/>
    <w:rsid w:val="00FE7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C40E42-E3DD-4405-ABAC-A7476B65D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6B0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EE36B0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EE36B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EE36B0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EE36B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EE36B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EE36B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table" w:styleId="TableGrid">
    <w:name w:val="Table Grid"/>
    <w:basedOn w:val="TableNormal"/>
    <w:rsid w:val="00EE36B0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087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1575</Characters>
  <Application>Microsoft Office Word</Application>
  <DocSecurity>0</DocSecurity>
  <Lines>13</Lines>
  <Paragraphs>3</Paragraphs>
  <ScaleCrop>false</ScaleCrop>
  <Company/>
  <LinksUpToDate>false</LinksUpToDate>
  <CharactersWithSpaces>1848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2019-01-24T09:20:00Z</dcterms:created>
  <dcterms:modified xsi:type="dcterms:W3CDTF">2019-01-24T09:20:00Z</dcterms:modified>
</cp:coreProperties>
</file>