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D3DF7" w14:textId="1ABD236D" w:rsidR="00CE6062" w:rsidRPr="001C458B" w:rsidRDefault="00CE6062"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VENDIM</w:t>
      </w:r>
    </w:p>
    <w:p w14:paraId="58CEF69C" w14:textId="4994212E" w:rsidR="00CE6062" w:rsidRPr="001C458B" w:rsidRDefault="00CE6062"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 xml:space="preserve">Nr. </w:t>
      </w:r>
      <w:r w:rsidR="001B49D5" w:rsidRPr="001C458B">
        <w:rPr>
          <w:rFonts w:ascii="Garamond" w:hAnsi="Garamond"/>
          <w:b/>
          <w:sz w:val="24"/>
          <w:szCs w:val="24"/>
          <w:lang w:val="sq-AL"/>
        </w:rPr>
        <w:t>41</w:t>
      </w:r>
      <w:r w:rsidRPr="001C458B">
        <w:rPr>
          <w:rFonts w:ascii="Garamond" w:hAnsi="Garamond"/>
          <w:b/>
          <w:sz w:val="24"/>
          <w:szCs w:val="24"/>
          <w:lang w:val="sq-AL"/>
        </w:rPr>
        <w:t xml:space="preserve">, datë </w:t>
      </w:r>
      <w:r w:rsidR="001B49D5" w:rsidRPr="001C458B">
        <w:rPr>
          <w:rFonts w:ascii="Garamond" w:hAnsi="Garamond"/>
          <w:b/>
          <w:sz w:val="24"/>
          <w:szCs w:val="24"/>
          <w:lang w:val="sq-AL"/>
        </w:rPr>
        <w:t>5.</w:t>
      </w:r>
      <w:r w:rsidR="00A75EFD" w:rsidRPr="001C458B">
        <w:rPr>
          <w:rFonts w:ascii="Garamond" w:hAnsi="Garamond"/>
          <w:b/>
          <w:sz w:val="24"/>
          <w:szCs w:val="24"/>
          <w:lang w:val="sq-AL"/>
        </w:rPr>
        <w:t>6</w:t>
      </w:r>
      <w:r w:rsidR="00F34858" w:rsidRPr="001C458B">
        <w:rPr>
          <w:rFonts w:ascii="Garamond" w:hAnsi="Garamond"/>
          <w:b/>
          <w:sz w:val="24"/>
          <w:szCs w:val="24"/>
          <w:lang w:val="sq-AL"/>
        </w:rPr>
        <w:t>.</w:t>
      </w:r>
      <w:r w:rsidRPr="001C458B">
        <w:rPr>
          <w:rFonts w:ascii="Garamond" w:hAnsi="Garamond"/>
          <w:b/>
          <w:sz w:val="24"/>
          <w:szCs w:val="24"/>
          <w:lang w:val="sq-AL"/>
        </w:rPr>
        <w:t>201</w:t>
      </w:r>
      <w:r w:rsidR="00F34858" w:rsidRPr="001C458B">
        <w:rPr>
          <w:rFonts w:ascii="Garamond" w:hAnsi="Garamond"/>
          <w:b/>
          <w:sz w:val="24"/>
          <w:szCs w:val="24"/>
          <w:lang w:val="sq-AL"/>
        </w:rPr>
        <w:t>9</w:t>
      </w:r>
    </w:p>
    <w:p w14:paraId="15FEEA73" w14:textId="77777777" w:rsidR="00862194" w:rsidRPr="001C458B" w:rsidRDefault="00862194" w:rsidP="003D1B12">
      <w:pPr>
        <w:spacing w:after="0" w:line="240" w:lineRule="auto"/>
        <w:jc w:val="center"/>
        <w:rPr>
          <w:rFonts w:ascii="Garamond" w:hAnsi="Garamond"/>
          <w:b/>
          <w:sz w:val="24"/>
          <w:szCs w:val="24"/>
          <w:lang w:val="sq-AL"/>
        </w:rPr>
      </w:pPr>
    </w:p>
    <w:p w14:paraId="689264CB" w14:textId="4DC8E425" w:rsidR="00CE6062" w:rsidRPr="001C458B" w:rsidRDefault="003D1B12"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PËR MIRATIMIN E RREGULLORES “PËR SHTESAT MAKROPRUDENCIALE TË KAPITALIT”</w:t>
      </w:r>
    </w:p>
    <w:p w14:paraId="7742A58F" w14:textId="77777777" w:rsidR="00FE2C1C" w:rsidRPr="001C458B" w:rsidRDefault="00FE2C1C" w:rsidP="003D1B12">
      <w:pPr>
        <w:spacing w:after="0" w:line="240" w:lineRule="auto"/>
        <w:ind w:firstLine="284"/>
        <w:jc w:val="both"/>
        <w:rPr>
          <w:rFonts w:ascii="Garamond" w:hAnsi="Garamond"/>
          <w:sz w:val="24"/>
          <w:szCs w:val="24"/>
          <w:lang w:val="sq-AL"/>
        </w:rPr>
      </w:pPr>
    </w:p>
    <w:p w14:paraId="346A384C" w14:textId="64290AF0" w:rsidR="00C41525" w:rsidRPr="001C458B" w:rsidRDefault="00C41525"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bazë dhe për zbatim të nenit 12</w:t>
      </w:r>
      <w:r w:rsidR="00FB6924" w:rsidRPr="001C458B">
        <w:rPr>
          <w:rFonts w:ascii="Garamond" w:hAnsi="Garamond"/>
          <w:sz w:val="24"/>
          <w:szCs w:val="24"/>
          <w:lang w:val="sq-AL"/>
        </w:rPr>
        <w:t>,</w:t>
      </w:r>
      <w:r w:rsidRPr="001C458B">
        <w:rPr>
          <w:rFonts w:ascii="Garamond" w:hAnsi="Garamond"/>
          <w:sz w:val="24"/>
          <w:szCs w:val="24"/>
          <w:lang w:val="sq-AL"/>
        </w:rPr>
        <w:t xml:space="preserve"> shkronja “a”</w:t>
      </w:r>
      <w:r w:rsidR="00C86E1B" w:rsidRPr="001C458B">
        <w:rPr>
          <w:rFonts w:ascii="Garamond" w:hAnsi="Garamond"/>
          <w:sz w:val="24"/>
          <w:szCs w:val="24"/>
          <w:lang w:val="sq-AL"/>
        </w:rPr>
        <w:t>,</w:t>
      </w:r>
      <w:r w:rsidRPr="001C458B">
        <w:rPr>
          <w:rFonts w:ascii="Garamond" w:hAnsi="Garamond"/>
          <w:sz w:val="24"/>
          <w:szCs w:val="24"/>
          <w:lang w:val="sq-AL"/>
        </w:rPr>
        <w:t xml:space="preserve"> dhe nenit 43, shkronja “c”</w:t>
      </w:r>
      <w:r w:rsidR="00C86E1B" w:rsidRPr="001C458B">
        <w:rPr>
          <w:rFonts w:ascii="Garamond" w:hAnsi="Garamond"/>
          <w:sz w:val="24"/>
          <w:szCs w:val="24"/>
          <w:lang w:val="sq-AL"/>
        </w:rPr>
        <w:t>,</w:t>
      </w:r>
      <w:r w:rsidRPr="001C458B">
        <w:rPr>
          <w:rFonts w:ascii="Garamond" w:hAnsi="Garamond"/>
          <w:sz w:val="24"/>
          <w:szCs w:val="24"/>
          <w:lang w:val="sq-AL"/>
        </w:rPr>
        <w:t xml:space="preserve"> të ligjit nr. 8269, datë 23.12.1997</w:t>
      </w:r>
      <w:r w:rsidR="00C86E1B" w:rsidRPr="001C458B">
        <w:rPr>
          <w:rFonts w:ascii="Garamond" w:hAnsi="Garamond"/>
          <w:sz w:val="24"/>
          <w:szCs w:val="24"/>
          <w:lang w:val="sq-AL"/>
        </w:rPr>
        <w:t>,</w:t>
      </w:r>
      <w:r w:rsidRPr="001C458B">
        <w:rPr>
          <w:rFonts w:ascii="Garamond" w:hAnsi="Garamond"/>
          <w:sz w:val="24"/>
          <w:szCs w:val="24"/>
          <w:lang w:val="sq-AL"/>
        </w:rPr>
        <w:t xml:space="preserve"> “Për Bankën e Shqipërisë”, i ndryshuar</w:t>
      </w:r>
      <w:r w:rsidR="00C86E1B" w:rsidRPr="001C458B">
        <w:rPr>
          <w:rFonts w:ascii="Garamond" w:hAnsi="Garamond"/>
          <w:sz w:val="24"/>
          <w:szCs w:val="24"/>
          <w:lang w:val="sq-AL"/>
        </w:rPr>
        <w:t>;</w:t>
      </w:r>
      <w:r w:rsidRPr="001C458B">
        <w:rPr>
          <w:rFonts w:ascii="Garamond" w:hAnsi="Garamond"/>
          <w:sz w:val="24"/>
          <w:szCs w:val="24"/>
          <w:lang w:val="sq-AL"/>
        </w:rPr>
        <w:t xml:space="preserve"> të nen</w:t>
      </w:r>
      <w:r w:rsidR="004148DE" w:rsidRPr="001C458B">
        <w:rPr>
          <w:rFonts w:ascii="Garamond" w:hAnsi="Garamond"/>
          <w:sz w:val="24"/>
          <w:szCs w:val="24"/>
          <w:lang w:val="sq-AL"/>
        </w:rPr>
        <w:t xml:space="preserve">it </w:t>
      </w:r>
      <w:r w:rsidR="00815CAB" w:rsidRPr="001C458B">
        <w:rPr>
          <w:rFonts w:ascii="Garamond" w:hAnsi="Garamond"/>
          <w:sz w:val="24"/>
          <w:szCs w:val="24"/>
          <w:lang w:val="sq-AL"/>
        </w:rPr>
        <w:t>66/1</w:t>
      </w:r>
      <w:r w:rsidR="004148DE" w:rsidRPr="001C458B">
        <w:rPr>
          <w:rFonts w:ascii="Garamond" w:hAnsi="Garamond"/>
          <w:sz w:val="24"/>
          <w:szCs w:val="24"/>
          <w:lang w:val="sq-AL"/>
        </w:rPr>
        <w:t xml:space="preserve"> </w:t>
      </w:r>
      <w:r w:rsidR="00815CAB" w:rsidRPr="001C458B">
        <w:rPr>
          <w:rFonts w:ascii="Garamond" w:hAnsi="Garamond"/>
          <w:sz w:val="24"/>
          <w:szCs w:val="24"/>
          <w:lang w:val="sq-AL"/>
        </w:rPr>
        <w:t>t</w:t>
      </w:r>
      <w:r w:rsidRPr="001C458B">
        <w:rPr>
          <w:rFonts w:ascii="Garamond" w:hAnsi="Garamond"/>
          <w:sz w:val="24"/>
          <w:szCs w:val="24"/>
          <w:lang w:val="sq-AL"/>
        </w:rPr>
        <w:t>ë ligjit nr. 9662, datë 18.12.2006</w:t>
      </w:r>
      <w:r w:rsidR="00C86E1B" w:rsidRPr="001C458B">
        <w:rPr>
          <w:rFonts w:ascii="Garamond" w:hAnsi="Garamond"/>
          <w:sz w:val="24"/>
          <w:szCs w:val="24"/>
          <w:lang w:val="sq-AL"/>
        </w:rPr>
        <w:t>,</w:t>
      </w:r>
      <w:r w:rsidRPr="001C458B">
        <w:rPr>
          <w:rFonts w:ascii="Garamond" w:hAnsi="Garamond"/>
          <w:sz w:val="24"/>
          <w:szCs w:val="24"/>
          <w:lang w:val="sq-AL"/>
        </w:rPr>
        <w:t xml:space="preserve"> “Për bankat në Republikën e Shqipërisë”, </w:t>
      </w:r>
      <w:r w:rsidR="004148DE" w:rsidRPr="001C458B">
        <w:rPr>
          <w:rFonts w:ascii="Garamond" w:hAnsi="Garamond"/>
          <w:sz w:val="24"/>
          <w:szCs w:val="24"/>
          <w:lang w:val="sq-AL"/>
        </w:rPr>
        <w:t>i ndryshuar</w:t>
      </w:r>
      <w:r w:rsidR="00C86E1B" w:rsidRPr="001C458B">
        <w:rPr>
          <w:rFonts w:ascii="Garamond" w:hAnsi="Garamond"/>
          <w:sz w:val="24"/>
          <w:szCs w:val="24"/>
          <w:lang w:val="sq-AL"/>
        </w:rPr>
        <w:t>;</w:t>
      </w:r>
      <w:r w:rsidR="004148DE" w:rsidRPr="001C458B">
        <w:rPr>
          <w:rFonts w:ascii="Garamond" w:hAnsi="Garamond"/>
          <w:sz w:val="24"/>
          <w:szCs w:val="24"/>
          <w:lang w:val="sq-AL"/>
        </w:rPr>
        <w:t xml:space="preserve"> </w:t>
      </w:r>
      <w:r w:rsidR="007B09C8" w:rsidRPr="001C458B">
        <w:rPr>
          <w:rFonts w:ascii="Garamond" w:hAnsi="Garamond"/>
          <w:sz w:val="24"/>
          <w:szCs w:val="24"/>
          <w:lang w:val="sq-AL"/>
        </w:rPr>
        <w:t>dhe të vendimit nr. 38, dat</w:t>
      </w:r>
      <w:r w:rsidR="00C25296" w:rsidRPr="001C458B">
        <w:rPr>
          <w:rFonts w:ascii="Garamond" w:hAnsi="Garamond"/>
          <w:sz w:val="24"/>
          <w:szCs w:val="24"/>
          <w:lang w:val="sq-AL"/>
        </w:rPr>
        <w:t>ë</w:t>
      </w:r>
      <w:r w:rsidR="00D24D64">
        <w:rPr>
          <w:rFonts w:ascii="Garamond" w:hAnsi="Garamond"/>
          <w:sz w:val="24"/>
          <w:szCs w:val="24"/>
          <w:lang w:val="sq-AL"/>
        </w:rPr>
        <w:t xml:space="preserve"> 2.</w:t>
      </w:r>
      <w:r w:rsidR="007B09C8" w:rsidRPr="001C458B">
        <w:rPr>
          <w:rFonts w:ascii="Garamond" w:hAnsi="Garamond"/>
          <w:sz w:val="24"/>
          <w:szCs w:val="24"/>
          <w:lang w:val="sq-AL"/>
        </w:rPr>
        <w:t>8.2017</w:t>
      </w:r>
      <w:r w:rsidR="00C86E1B" w:rsidRPr="001C458B">
        <w:rPr>
          <w:rFonts w:ascii="Garamond" w:hAnsi="Garamond"/>
          <w:sz w:val="24"/>
          <w:szCs w:val="24"/>
          <w:lang w:val="sq-AL"/>
        </w:rPr>
        <w:t>,</w:t>
      </w:r>
      <w:r w:rsidR="007B09C8" w:rsidRPr="001C458B">
        <w:rPr>
          <w:rFonts w:ascii="Garamond" w:hAnsi="Garamond"/>
          <w:sz w:val="24"/>
          <w:szCs w:val="24"/>
          <w:lang w:val="sq-AL"/>
        </w:rPr>
        <w:t xml:space="preserve"> “Për miratimin e strategjisë së politikës makroprudenciale”</w:t>
      </w:r>
      <w:r w:rsidR="00C86E1B" w:rsidRPr="001C458B">
        <w:rPr>
          <w:rFonts w:ascii="Garamond" w:hAnsi="Garamond"/>
          <w:sz w:val="24"/>
          <w:szCs w:val="24"/>
          <w:lang w:val="sq-AL"/>
        </w:rPr>
        <w:t>;</w:t>
      </w:r>
      <w:r w:rsidR="007B09C8" w:rsidRPr="001C458B">
        <w:rPr>
          <w:rFonts w:ascii="Garamond" w:hAnsi="Garamond"/>
          <w:sz w:val="24"/>
          <w:szCs w:val="24"/>
          <w:lang w:val="sq-AL"/>
        </w:rPr>
        <w:t xml:space="preserve"> </w:t>
      </w:r>
      <w:r w:rsidRPr="001C458B">
        <w:rPr>
          <w:rFonts w:ascii="Garamond" w:hAnsi="Garamond"/>
          <w:sz w:val="24"/>
          <w:szCs w:val="24"/>
          <w:lang w:val="sq-AL"/>
        </w:rPr>
        <w:t xml:space="preserve">me propozim të Departamentit të </w:t>
      </w:r>
      <w:r w:rsidR="00A75EFD" w:rsidRPr="001C458B">
        <w:rPr>
          <w:rFonts w:ascii="Garamond" w:hAnsi="Garamond"/>
          <w:sz w:val="24"/>
          <w:szCs w:val="24"/>
          <w:lang w:val="sq-AL"/>
        </w:rPr>
        <w:t>Stabilitetit Financiar</w:t>
      </w:r>
      <w:r w:rsidR="00C86E1B" w:rsidRPr="001C458B">
        <w:rPr>
          <w:rFonts w:ascii="Garamond" w:hAnsi="Garamond"/>
          <w:sz w:val="24"/>
          <w:szCs w:val="24"/>
          <w:lang w:val="sq-AL"/>
        </w:rPr>
        <w:t>;</w:t>
      </w:r>
      <w:r w:rsidRPr="001C458B">
        <w:rPr>
          <w:rFonts w:ascii="Garamond" w:hAnsi="Garamond"/>
          <w:sz w:val="24"/>
          <w:szCs w:val="24"/>
          <w:lang w:val="sq-AL"/>
        </w:rPr>
        <w:t xml:space="preserve"> Këshilli Mb</w:t>
      </w:r>
      <w:r w:rsidR="00E561AF" w:rsidRPr="001C458B">
        <w:rPr>
          <w:rFonts w:ascii="Garamond" w:hAnsi="Garamond"/>
          <w:sz w:val="24"/>
          <w:szCs w:val="24"/>
          <w:lang w:val="sq-AL"/>
        </w:rPr>
        <w:t>ikëqyrës i Bankës së Shqipërisë</w:t>
      </w:r>
      <w:r w:rsidR="00C86E1B" w:rsidRPr="001C458B">
        <w:rPr>
          <w:rFonts w:ascii="Garamond" w:hAnsi="Garamond"/>
          <w:sz w:val="24"/>
          <w:szCs w:val="24"/>
          <w:lang w:val="sq-AL"/>
        </w:rPr>
        <w:t>,</w:t>
      </w:r>
    </w:p>
    <w:p w14:paraId="69FE9718" w14:textId="77777777" w:rsidR="00CE6062" w:rsidRPr="001C458B" w:rsidRDefault="00CE6062" w:rsidP="003D1B12">
      <w:pPr>
        <w:spacing w:after="0" w:line="240" w:lineRule="auto"/>
        <w:ind w:firstLine="284"/>
        <w:jc w:val="both"/>
        <w:rPr>
          <w:rFonts w:ascii="Garamond" w:hAnsi="Garamond"/>
          <w:sz w:val="24"/>
          <w:szCs w:val="24"/>
          <w:lang w:val="sq-AL"/>
        </w:rPr>
      </w:pPr>
    </w:p>
    <w:p w14:paraId="66F76B9A" w14:textId="77777777" w:rsidR="00CE6062" w:rsidRPr="001C458B" w:rsidRDefault="00CE6062" w:rsidP="003D1B12">
      <w:pPr>
        <w:spacing w:after="0" w:line="240" w:lineRule="auto"/>
        <w:jc w:val="center"/>
        <w:rPr>
          <w:rFonts w:ascii="Garamond" w:hAnsi="Garamond"/>
          <w:sz w:val="24"/>
          <w:szCs w:val="24"/>
          <w:lang w:val="sq-AL"/>
        </w:rPr>
      </w:pPr>
      <w:r w:rsidRPr="001C458B">
        <w:rPr>
          <w:rFonts w:ascii="Garamond" w:hAnsi="Garamond"/>
          <w:sz w:val="24"/>
          <w:szCs w:val="24"/>
          <w:lang w:val="sq-AL"/>
        </w:rPr>
        <w:t>VENDOSI:</w:t>
      </w:r>
    </w:p>
    <w:p w14:paraId="3CE7E4C3" w14:textId="77777777" w:rsidR="00CE6062" w:rsidRPr="001C458B" w:rsidRDefault="00CE6062" w:rsidP="003D1B12">
      <w:pPr>
        <w:spacing w:after="0" w:line="240" w:lineRule="auto"/>
        <w:ind w:firstLine="284"/>
        <w:jc w:val="both"/>
        <w:rPr>
          <w:rFonts w:ascii="Garamond" w:hAnsi="Garamond"/>
          <w:sz w:val="24"/>
          <w:szCs w:val="24"/>
          <w:lang w:val="sq-AL"/>
        </w:rPr>
      </w:pPr>
    </w:p>
    <w:p w14:paraId="4407ABDD" w14:textId="7991408E" w:rsidR="00A81A7D"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A75EFD" w:rsidRPr="001C458B">
        <w:rPr>
          <w:rFonts w:ascii="Garamond" w:hAnsi="Garamond"/>
          <w:sz w:val="24"/>
          <w:szCs w:val="24"/>
          <w:lang w:val="sq-AL"/>
        </w:rPr>
        <w:t>T</w:t>
      </w:r>
      <w:r w:rsidR="00A32027" w:rsidRPr="001C458B">
        <w:rPr>
          <w:rFonts w:ascii="Garamond" w:hAnsi="Garamond"/>
          <w:sz w:val="24"/>
          <w:szCs w:val="24"/>
          <w:lang w:val="sq-AL"/>
        </w:rPr>
        <w:t>ë</w:t>
      </w:r>
      <w:r w:rsidR="00A75EFD" w:rsidRPr="001C458B">
        <w:rPr>
          <w:rFonts w:ascii="Garamond" w:hAnsi="Garamond"/>
          <w:sz w:val="24"/>
          <w:szCs w:val="24"/>
          <w:lang w:val="sq-AL"/>
        </w:rPr>
        <w:t xml:space="preserve"> miratoj</w:t>
      </w:r>
      <w:r w:rsidR="00A32027" w:rsidRPr="001C458B">
        <w:rPr>
          <w:rFonts w:ascii="Garamond" w:hAnsi="Garamond"/>
          <w:sz w:val="24"/>
          <w:szCs w:val="24"/>
          <w:lang w:val="sq-AL"/>
        </w:rPr>
        <w:t>ë</w:t>
      </w:r>
      <w:r w:rsidR="00A75EFD" w:rsidRPr="001C458B">
        <w:rPr>
          <w:rFonts w:ascii="Garamond" w:hAnsi="Garamond"/>
          <w:sz w:val="24"/>
          <w:szCs w:val="24"/>
          <w:lang w:val="sq-AL"/>
        </w:rPr>
        <w:t xml:space="preserve"> rregulloren “Për shtesat makroprudenciale të kapitalit”</w:t>
      </w:r>
      <w:r w:rsidR="00753424" w:rsidRPr="001C458B">
        <w:rPr>
          <w:rFonts w:ascii="Garamond" w:hAnsi="Garamond"/>
          <w:sz w:val="24"/>
          <w:szCs w:val="24"/>
          <w:lang w:val="sq-AL"/>
        </w:rPr>
        <w:t xml:space="preserve"> sipas tekstit bashkëlidhur këtij vendimi.</w:t>
      </w:r>
    </w:p>
    <w:p w14:paraId="3884922E" w14:textId="327CD46C" w:rsidR="00CE6062"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FF55D8" w:rsidRPr="001C458B">
        <w:rPr>
          <w:rFonts w:ascii="Garamond" w:hAnsi="Garamond"/>
          <w:sz w:val="24"/>
          <w:szCs w:val="24"/>
          <w:lang w:val="sq-AL"/>
        </w:rPr>
        <w:t xml:space="preserve">Ngarkohet </w:t>
      </w:r>
      <w:r w:rsidR="00A75EFD" w:rsidRPr="001C458B">
        <w:rPr>
          <w:rFonts w:ascii="Garamond" w:hAnsi="Garamond"/>
          <w:sz w:val="24"/>
          <w:szCs w:val="24"/>
          <w:lang w:val="sq-AL"/>
        </w:rPr>
        <w:t xml:space="preserve">Departamenti i Stabilitetit Financiar, </w:t>
      </w:r>
      <w:r w:rsidR="00CE6062" w:rsidRPr="001C458B">
        <w:rPr>
          <w:rFonts w:ascii="Garamond" w:hAnsi="Garamond"/>
          <w:sz w:val="24"/>
          <w:szCs w:val="24"/>
          <w:lang w:val="sq-AL"/>
        </w:rPr>
        <w:t>Departament</w:t>
      </w:r>
      <w:r w:rsidR="00323F13" w:rsidRPr="001C458B">
        <w:rPr>
          <w:rFonts w:ascii="Garamond" w:hAnsi="Garamond"/>
          <w:sz w:val="24"/>
          <w:szCs w:val="24"/>
          <w:lang w:val="sq-AL"/>
        </w:rPr>
        <w:t>i</w:t>
      </w:r>
      <w:r w:rsidR="00CE6062" w:rsidRPr="001C458B">
        <w:rPr>
          <w:rFonts w:ascii="Garamond" w:hAnsi="Garamond"/>
          <w:sz w:val="24"/>
          <w:szCs w:val="24"/>
          <w:lang w:val="sq-AL"/>
        </w:rPr>
        <w:t xml:space="preserve"> i Mbikëqyrjes </w:t>
      </w:r>
      <w:r w:rsidR="00C038C6" w:rsidRPr="001C458B">
        <w:rPr>
          <w:rFonts w:ascii="Garamond" w:hAnsi="Garamond"/>
          <w:sz w:val="24"/>
          <w:szCs w:val="24"/>
          <w:lang w:val="sq-AL"/>
        </w:rPr>
        <w:t>dhe Departamenti i Statistikave Financiare</w:t>
      </w:r>
      <w:r w:rsidR="00E61BFE" w:rsidRPr="001C458B">
        <w:rPr>
          <w:rFonts w:ascii="Garamond" w:hAnsi="Garamond"/>
          <w:sz w:val="24"/>
          <w:szCs w:val="24"/>
          <w:lang w:val="sq-AL"/>
        </w:rPr>
        <w:t>,</w:t>
      </w:r>
      <w:r w:rsidR="00C038C6" w:rsidRPr="001C458B">
        <w:rPr>
          <w:rFonts w:ascii="Garamond" w:hAnsi="Garamond"/>
          <w:sz w:val="24"/>
          <w:szCs w:val="24"/>
          <w:lang w:val="sq-AL"/>
        </w:rPr>
        <w:t xml:space="preserve"> </w:t>
      </w:r>
      <w:r w:rsidR="00E867AE" w:rsidRPr="001C458B">
        <w:rPr>
          <w:rFonts w:ascii="Garamond" w:hAnsi="Garamond"/>
          <w:sz w:val="24"/>
          <w:szCs w:val="24"/>
          <w:lang w:val="sq-AL"/>
        </w:rPr>
        <w:t>për</w:t>
      </w:r>
      <w:r w:rsidR="00CE6062" w:rsidRPr="001C458B">
        <w:rPr>
          <w:rFonts w:ascii="Garamond" w:hAnsi="Garamond"/>
          <w:sz w:val="24"/>
          <w:szCs w:val="24"/>
          <w:lang w:val="sq-AL"/>
        </w:rPr>
        <w:t xml:space="preserve"> ndjekjen e zbatimit të këtij vendimi.</w:t>
      </w:r>
    </w:p>
    <w:p w14:paraId="0AA81A53" w14:textId="79EE0D5F" w:rsidR="0099553B"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99553B" w:rsidRPr="001C458B">
        <w:rPr>
          <w:rFonts w:ascii="Garamond" w:hAnsi="Garamond"/>
          <w:sz w:val="24"/>
          <w:szCs w:val="24"/>
          <w:lang w:val="sq-AL"/>
        </w:rPr>
        <w:t>Ngarkohet Kabineti i Guvernatorit dhe Departamenti i Kërkimeve me publikimin e këtij vendimi, përkatësisht në Fletoren Zyrtare të Republikës së Shqipërisë dhe në Buletinin Zyrtar të Bankës së Shqipërisë.</w:t>
      </w:r>
    </w:p>
    <w:p w14:paraId="1C845639" w14:textId="1E2F0094" w:rsidR="00CE6062" w:rsidRPr="001C458B" w:rsidRDefault="005A3E4D"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Ky vendim hyn në fuqi </w:t>
      </w:r>
      <w:r w:rsidR="00E0405E" w:rsidRPr="001C458B">
        <w:rPr>
          <w:rFonts w:ascii="Garamond" w:hAnsi="Garamond"/>
          <w:sz w:val="24"/>
          <w:szCs w:val="24"/>
          <w:lang w:val="sq-AL"/>
        </w:rPr>
        <w:t>15 ditë pas botimit në Fletoren Zyrtare</w:t>
      </w:r>
      <w:r w:rsidR="00753424" w:rsidRPr="001C458B">
        <w:rPr>
          <w:rFonts w:ascii="Garamond" w:hAnsi="Garamond"/>
          <w:sz w:val="24"/>
          <w:szCs w:val="24"/>
          <w:lang w:val="sq-AL"/>
        </w:rPr>
        <w:t>.</w:t>
      </w:r>
      <w:r w:rsidR="00CE6062" w:rsidRPr="001C458B">
        <w:rPr>
          <w:rFonts w:ascii="Garamond" w:hAnsi="Garamond"/>
          <w:sz w:val="24"/>
          <w:szCs w:val="24"/>
          <w:lang w:val="sq-AL"/>
        </w:rPr>
        <w:t xml:space="preserve"> </w:t>
      </w:r>
    </w:p>
    <w:p w14:paraId="0316237A" w14:textId="77777777" w:rsidR="00FE2C1C" w:rsidRPr="001C458B" w:rsidRDefault="00FE2C1C" w:rsidP="003D1B12">
      <w:pPr>
        <w:spacing w:after="0" w:line="240" w:lineRule="auto"/>
        <w:ind w:firstLine="284"/>
        <w:jc w:val="both"/>
        <w:rPr>
          <w:rFonts w:ascii="Garamond" w:hAnsi="Garamond"/>
          <w:sz w:val="24"/>
          <w:szCs w:val="24"/>
          <w:lang w:val="sq-AL"/>
        </w:rPr>
      </w:pPr>
    </w:p>
    <w:p w14:paraId="1944C5D1" w14:textId="2AAA7F82" w:rsidR="00F34858" w:rsidRPr="001C458B" w:rsidRDefault="003D1B12" w:rsidP="003D1B12">
      <w:pPr>
        <w:spacing w:after="0" w:line="240" w:lineRule="auto"/>
        <w:ind w:firstLine="284"/>
        <w:jc w:val="right"/>
        <w:rPr>
          <w:rFonts w:ascii="Garamond" w:hAnsi="Garamond"/>
          <w:sz w:val="24"/>
          <w:szCs w:val="24"/>
          <w:lang w:val="sq-AL"/>
        </w:rPr>
      </w:pPr>
      <w:r w:rsidRPr="001C458B">
        <w:rPr>
          <w:rFonts w:ascii="Garamond" w:hAnsi="Garamond"/>
          <w:sz w:val="24"/>
          <w:szCs w:val="24"/>
          <w:lang w:val="sq-AL"/>
        </w:rPr>
        <w:t>KRYETAR</w:t>
      </w:r>
    </w:p>
    <w:p w14:paraId="3C83E30F" w14:textId="5DDFD177" w:rsidR="003D1B12" w:rsidRPr="001C458B" w:rsidRDefault="003D1B12" w:rsidP="003D1B12">
      <w:pPr>
        <w:spacing w:after="0" w:line="240" w:lineRule="auto"/>
        <w:ind w:firstLine="284"/>
        <w:jc w:val="right"/>
        <w:rPr>
          <w:rFonts w:ascii="Garamond" w:hAnsi="Garamond"/>
          <w:b/>
          <w:sz w:val="24"/>
          <w:szCs w:val="24"/>
          <w:lang w:val="sq-AL"/>
        </w:rPr>
      </w:pPr>
      <w:r w:rsidRPr="001C458B">
        <w:rPr>
          <w:rFonts w:ascii="Garamond" w:hAnsi="Garamond"/>
          <w:b/>
          <w:sz w:val="24"/>
          <w:szCs w:val="24"/>
          <w:lang w:val="sq-AL"/>
        </w:rPr>
        <w:t>Gent Sejko</w:t>
      </w:r>
    </w:p>
    <w:p w14:paraId="52D6520A" w14:textId="77777777" w:rsidR="00FE2C1C" w:rsidRPr="001C458B" w:rsidRDefault="00FE2C1C" w:rsidP="003D1B12">
      <w:pPr>
        <w:spacing w:after="0" w:line="240" w:lineRule="auto"/>
        <w:ind w:firstLine="284"/>
        <w:jc w:val="both"/>
        <w:rPr>
          <w:rFonts w:ascii="Garamond" w:hAnsi="Garamond"/>
          <w:sz w:val="24"/>
          <w:szCs w:val="24"/>
          <w:lang w:val="sq-AL"/>
        </w:rPr>
      </w:pPr>
    </w:p>
    <w:p w14:paraId="0E105BB3" w14:textId="77777777" w:rsidR="00583ABC" w:rsidRPr="001C458B" w:rsidRDefault="00583ABC" w:rsidP="003D1B12">
      <w:pPr>
        <w:spacing w:after="0" w:line="240" w:lineRule="auto"/>
        <w:ind w:firstLine="284"/>
        <w:jc w:val="both"/>
        <w:rPr>
          <w:rFonts w:ascii="Garamond" w:hAnsi="Garamond"/>
          <w:sz w:val="24"/>
          <w:szCs w:val="24"/>
          <w:lang w:val="sq-AL"/>
        </w:rPr>
      </w:pPr>
    </w:p>
    <w:p w14:paraId="249A9A13" w14:textId="77777777" w:rsidR="00583ABC" w:rsidRPr="001C458B" w:rsidRDefault="00583ABC" w:rsidP="003D1B12">
      <w:pPr>
        <w:spacing w:after="0" w:line="240" w:lineRule="auto"/>
        <w:jc w:val="center"/>
        <w:rPr>
          <w:rFonts w:ascii="Garamond" w:hAnsi="Garamond"/>
          <w:sz w:val="24"/>
          <w:szCs w:val="24"/>
          <w:lang w:val="sq-AL"/>
        </w:rPr>
      </w:pPr>
      <w:r w:rsidRPr="001C458B">
        <w:rPr>
          <w:rFonts w:ascii="Garamond" w:hAnsi="Garamond"/>
          <w:sz w:val="24"/>
          <w:szCs w:val="24"/>
          <w:lang w:val="sq-AL"/>
        </w:rPr>
        <w:t>Neni 1</w:t>
      </w:r>
    </w:p>
    <w:p w14:paraId="5A159FA5" w14:textId="6E73AFA0" w:rsidR="00583ABC" w:rsidRPr="001C458B" w:rsidRDefault="00583ABC"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Objekti i rregullores</w:t>
      </w:r>
    </w:p>
    <w:p w14:paraId="0A9A677E" w14:textId="77777777" w:rsidR="00583ABC" w:rsidRPr="001C458B" w:rsidRDefault="00583ABC" w:rsidP="003D1B12">
      <w:pPr>
        <w:spacing w:after="0" w:line="240" w:lineRule="auto"/>
        <w:ind w:firstLine="284"/>
        <w:jc w:val="both"/>
        <w:rPr>
          <w:rFonts w:ascii="Garamond" w:hAnsi="Garamond"/>
          <w:sz w:val="24"/>
          <w:szCs w:val="24"/>
          <w:lang w:val="sq-AL"/>
        </w:rPr>
      </w:pPr>
    </w:p>
    <w:p w14:paraId="60810B7D" w14:textId="540EA5AF"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Objekti i rregullores:</w:t>
      </w:r>
    </w:p>
    <w:p w14:paraId="654F0AB9" w14:textId="067A7ACB"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 xml:space="preserve">është të përcaktojë mënyrën e zbatimit të secilës prej shtesave makroprudenciale të kapitalit dhe të kombinimit të tyre; </w:t>
      </w:r>
    </w:p>
    <w:p w14:paraId="245B3B4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dhe</w:t>
      </w:r>
    </w:p>
    <w:p w14:paraId="5AFD744C" w14:textId="0696ECE4"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nuk është të tregojë mënyrën se si secila nga shtesat makroprudenciale të kapitalit dhe kombinimi i tyre, ndërveprojnë me kërkesat për instrumentet e kapitalit dhe të detyrimeve të pranuara sipas ligjit nr. 133/2016 “Për ndërhyrjen e jashtëzakonshme në banka, në Republikën e Shqipërisë” (më tej, ligji nr. 133/2016).</w:t>
      </w:r>
    </w:p>
    <w:p w14:paraId="2808A5AA" w14:textId="670A8E17"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Zbatimi i këtyre shtesave makroprudenciale të kapitalit nuk ndalon dhe as kufizon zbatimin e masave të tjera mbikëqyrëse mbi subjektet e rregullores.</w:t>
      </w:r>
    </w:p>
    <w:p w14:paraId="6EC8451E" w14:textId="77777777" w:rsidR="00583ABC" w:rsidRPr="001C458B" w:rsidRDefault="00583ABC" w:rsidP="003D1B12">
      <w:pPr>
        <w:spacing w:after="0" w:line="240" w:lineRule="auto"/>
        <w:ind w:firstLine="284"/>
        <w:jc w:val="both"/>
        <w:rPr>
          <w:rFonts w:ascii="Garamond" w:hAnsi="Garamond"/>
          <w:sz w:val="24"/>
          <w:szCs w:val="24"/>
          <w:lang w:val="sq-AL"/>
        </w:rPr>
      </w:pPr>
    </w:p>
    <w:p w14:paraId="5ACB4350" w14:textId="1AF9E917" w:rsidR="00583ABC" w:rsidRPr="001C458B" w:rsidRDefault="00583ABC" w:rsidP="003D1B12">
      <w:pPr>
        <w:spacing w:after="0" w:line="240" w:lineRule="auto"/>
        <w:ind w:firstLine="284"/>
        <w:jc w:val="center"/>
        <w:rPr>
          <w:rFonts w:ascii="Garamond" w:hAnsi="Garamond"/>
          <w:sz w:val="24"/>
          <w:szCs w:val="24"/>
          <w:lang w:val="sq-AL"/>
        </w:rPr>
      </w:pPr>
      <w:r w:rsidRPr="001C458B">
        <w:rPr>
          <w:rFonts w:ascii="Garamond" w:hAnsi="Garamond"/>
          <w:sz w:val="24"/>
          <w:szCs w:val="24"/>
          <w:lang w:val="sq-AL"/>
        </w:rPr>
        <w:t>Neni 2</w:t>
      </w:r>
    </w:p>
    <w:p w14:paraId="42E22BE1" w14:textId="006FDDF1" w:rsidR="00583ABC" w:rsidRPr="001C458B" w:rsidRDefault="00583ABC" w:rsidP="003D1B12">
      <w:pPr>
        <w:spacing w:after="0" w:line="240" w:lineRule="auto"/>
        <w:ind w:firstLine="284"/>
        <w:jc w:val="center"/>
        <w:rPr>
          <w:rFonts w:ascii="Garamond" w:hAnsi="Garamond"/>
          <w:b/>
          <w:sz w:val="24"/>
          <w:szCs w:val="24"/>
          <w:lang w:val="sq-AL"/>
        </w:rPr>
      </w:pPr>
      <w:r w:rsidRPr="001C458B">
        <w:rPr>
          <w:rFonts w:ascii="Garamond" w:hAnsi="Garamond"/>
          <w:b/>
          <w:sz w:val="24"/>
          <w:szCs w:val="24"/>
          <w:lang w:val="sq-AL"/>
        </w:rPr>
        <w:t>Subjektet e rregullores</w:t>
      </w:r>
    </w:p>
    <w:p w14:paraId="79BA2C14" w14:textId="77777777" w:rsidR="00583ABC" w:rsidRPr="001C458B" w:rsidRDefault="00583ABC" w:rsidP="003D1B12">
      <w:pPr>
        <w:spacing w:after="0" w:line="240" w:lineRule="auto"/>
        <w:ind w:firstLine="284"/>
        <w:jc w:val="both"/>
        <w:rPr>
          <w:rFonts w:ascii="Garamond" w:hAnsi="Garamond"/>
          <w:sz w:val="24"/>
          <w:szCs w:val="24"/>
          <w:lang w:val="sq-AL"/>
        </w:rPr>
      </w:pPr>
    </w:p>
    <w:p w14:paraId="7639F732"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Sipas përcaktimeve në këtë rregullore, Banka e Shqipërisë zbaton secilën nga shtesat makroprudenciale të kapitalit:</w:t>
      </w:r>
    </w:p>
    <w:p w14:paraId="60E2C224" w14:textId="0C68893C"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potencialisht, mbi secilën nga bankat e licencuara prej saj;</w:t>
      </w:r>
    </w:p>
    <w:p w14:paraId="763EBD09" w14:textId="163986B1"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lastRenderedPageBreak/>
        <w:t xml:space="preserve">b) </w:t>
      </w:r>
      <w:r w:rsidR="00583ABC" w:rsidRPr="001C458B">
        <w:rPr>
          <w:rFonts w:ascii="Garamond" w:hAnsi="Garamond"/>
          <w:sz w:val="24"/>
          <w:szCs w:val="24"/>
          <w:lang w:val="sq-AL"/>
        </w:rPr>
        <w:t>në nivel institucioni (të veçantë) dhe/ose në nivel të konsoliduar, sipas një njoftimi specifik që i bëhet bankës për këtë qëllim, ku përcaktohet edhe se ku do të mbahet (kontabilizohet) vlera e shtesave makroprudenciale të kapitalit. Mbajtja e shtesave makroprudenciale të kapitalit orientohet sipas matricës në Aneksin 1 dhe në rastet konkrete, mund të përcaktohet mbështetur në komunikimin paraprak të Bankës së Shqipërisë me autoritetin e huaj përgjegjës.</w:t>
      </w:r>
    </w:p>
    <w:p w14:paraId="3B0EFC73" w14:textId="77777777" w:rsidR="00583ABC" w:rsidRPr="001C458B" w:rsidRDefault="00583ABC" w:rsidP="003D1B12">
      <w:pPr>
        <w:spacing w:after="0" w:line="240" w:lineRule="auto"/>
        <w:ind w:firstLine="284"/>
        <w:jc w:val="both"/>
        <w:rPr>
          <w:rFonts w:ascii="Garamond" w:hAnsi="Garamond"/>
          <w:sz w:val="24"/>
          <w:szCs w:val="24"/>
          <w:lang w:val="sq-AL"/>
        </w:rPr>
      </w:pPr>
    </w:p>
    <w:p w14:paraId="48F78B36" w14:textId="77777777" w:rsidR="00583ABC" w:rsidRPr="001C458B" w:rsidRDefault="00583ABC" w:rsidP="003D1B12">
      <w:pPr>
        <w:spacing w:after="0" w:line="240" w:lineRule="auto"/>
        <w:jc w:val="center"/>
        <w:rPr>
          <w:rFonts w:ascii="Garamond" w:hAnsi="Garamond"/>
          <w:sz w:val="24"/>
          <w:szCs w:val="24"/>
          <w:lang w:val="sq-AL"/>
        </w:rPr>
      </w:pPr>
      <w:r w:rsidRPr="001C458B">
        <w:rPr>
          <w:rFonts w:ascii="Garamond" w:hAnsi="Garamond"/>
          <w:sz w:val="24"/>
          <w:szCs w:val="24"/>
          <w:lang w:val="sq-AL"/>
        </w:rPr>
        <w:t>Neni 3</w:t>
      </w:r>
    </w:p>
    <w:p w14:paraId="5BA482BD" w14:textId="77777777" w:rsidR="00583ABC" w:rsidRPr="001C458B" w:rsidRDefault="00583ABC"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Baza ligjore</w:t>
      </w:r>
    </w:p>
    <w:p w14:paraId="51386A9F" w14:textId="77777777" w:rsidR="00583ABC" w:rsidRPr="001C458B" w:rsidRDefault="00583ABC" w:rsidP="003D1B12">
      <w:pPr>
        <w:spacing w:after="0" w:line="240" w:lineRule="auto"/>
        <w:ind w:firstLine="284"/>
        <w:jc w:val="both"/>
        <w:rPr>
          <w:rFonts w:ascii="Garamond" w:hAnsi="Garamond"/>
          <w:sz w:val="24"/>
          <w:szCs w:val="24"/>
          <w:lang w:val="sq-AL"/>
        </w:rPr>
      </w:pPr>
    </w:p>
    <w:p w14:paraId="7C5F270E"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Kjo rregullore nxirret në bazë dhe për zbatim të:</w:t>
      </w:r>
    </w:p>
    <w:p w14:paraId="2D407741" w14:textId="4E25671F"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 xml:space="preserve">nenit 12, shkronja “a”, dhe nenit 43, shkronja “c”, të ligjit nr. 8269, datë 23.12.1997, “Për Bankën e Shqipërisë”, i ndryshuar (më tej, ligji nr. 8269/1997); </w:t>
      </w:r>
    </w:p>
    <w:p w14:paraId="1D2BC27F" w14:textId="699A1060"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nenit 66/1 të ligjit nr. 9662, datë 18.12.2006, “Për bankat në Republikën e Shqipërisë”, i ndryshuar (më tej, ligji nr. 9662/2006);</w:t>
      </w:r>
    </w:p>
    <w:p w14:paraId="32D1395C" w14:textId="2541CFFE"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 xml:space="preserve">nenit 8 </w:t>
      </w:r>
      <w:r w:rsidR="00D24D64">
        <w:rPr>
          <w:rFonts w:ascii="Garamond" w:hAnsi="Garamond"/>
          <w:sz w:val="24"/>
          <w:szCs w:val="24"/>
          <w:lang w:val="sq-AL"/>
        </w:rPr>
        <w:t>të rregullores nr. 19, datë 29.</w:t>
      </w:r>
      <w:r w:rsidR="00583ABC" w:rsidRPr="001C458B">
        <w:rPr>
          <w:rFonts w:ascii="Garamond" w:hAnsi="Garamond"/>
          <w:sz w:val="24"/>
          <w:szCs w:val="24"/>
          <w:lang w:val="sq-AL"/>
        </w:rPr>
        <w:t>2.2016, “Mbi organizimin dhe funksionimin e Departamentit të Stabilitetit Financiar”;</w:t>
      </w:r>
    </w:p>
    <w:p w14:paraId="1F92533E" w14:textId="3A723EC5"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w:t>
      </w:r>
      <w:r w:rsidR="00D24D64">
        <w:rPr>
          <w:rFonts w:ascii="Garamond" w:hAnsi="Garamond"/>
          <w:sz w:val="24"/>
          <w:szCs w:val="24"/>
          <w:lang w:val="sq-AL"/>
        </w:rPr>
        <w:t>vendimit nr. 38, datë 2.</w:t>
      </w:r>
      <w:r w:rsidR="00583ABC" w:rsidRPr="001C458B">
        <w:rPr>
          <w:rFonts w:ascii="Garamond" w:hAnsi="Garamond"/>
          <w:sz w:val="24"/>
          <w:szCs w:val="24"/>
          <w:lang w:val="sq-AL"/>
        </w:rPr>
        <w:t>8.2017, të Këshillit Mbikëqyrës të Bankës së Shqipërisë “Për miratimin e Strategjisë së Politikës Makroprudenciale”.</w:t>
      </w:r>
    </w:p>
    <w:p w14:paraId="4B903CAD" w14:textId="77777777" w:rsidR="00583ABC" w:rsidRPr="001C458B" w:rsidRDefault="00583ABC" w:rsidP="003D1B12">
      <w:pPr>
        <w:spacing w:after="0" w:line="240" w:lineRule="auto"/>
        <w:ind w:firstLine="284"/>
        <w:jc w:val="both"/>
        <w:rPr>
          <w:rFonts w:ascii="Garamond" w:hAnsi="Garamond"/>
          <w:sz w:val="24"/>
          <w:szCs w:val="24"/>
          <w:lang w:val="sq-AL"/>
        </w:rPr>
      </w:pPr>
    </w:p>
    <w:p w14:paraId="4F3D4F53" w14:textId="77777777" w:rsidR="00583ABC" w:rsidRPr="001C458B" w:rsidRDefault="00583ABC" w:rsidP="003D1B12">
      <w:pPr>
        <w:spacing w:after="0" w:line="240" w:lineRule="auto"/>
        <w:jc w:val="center"/>
        <w:rPr>
          <w:rFonts w:ascii="Garamond" w:hAnsi="Garamond"/>
          <w:sz w:val="24"/>
          <w:szCs w:val="24"/>
          <w:lang w:val="sq-AL"/>
        </w:rPr>
      </w:pPr>
      <w:r w:rsidRPr="001C458B">
        <w:rPr>
          <w:rFonts w:ascii="Garamond" w:hAnsi="Garamond"/>
          <w:sz w:val="24"/>
          <w:szCs w:val="24"/>
          <w:lang w:val="sq-AL"/>
        </w:rPr>
        <w:t>Neni 4</w:t>
      </w:r>
    </w:p>
    <w:p w14:paraId="7E18F4BF" w14:textId="77777777" w:rsidR="00583ABC" w:rsidRPr="001C458B" w:rsidRDefault="00583ABC" w:rsidP="003D1B12">
      <w:pPr>
        <w:spacing w:after="0" w:line="240" w:lineRule="auto"/>
        <w:jc w:val="center"/>
        <w:rPr>
          <w:rFonts w:ascii="Garamond" w:hAnsi="Garamond"/>
          <w:b/>
          <w:sz w:val="24"/>
          <w:szCs w:val="24"/>
          <w:lang w:val="sq-AL"/>
        </w:rPr>
      </w:pPr>
      <w:r w:rsidRPr="001C458B">
        <w:rPr>
          <w:rFonts w:ascii="Garamond" w:hAnsi="Garamond"/>
          <w:b/>
          <w:sz w:val="24"/>
          <w:szCs w:val="24"/>
          <w:lang w:val="sq-AL"/>
        </w:rPr>
        <w:t>Përkufizime</w:t>
      </w:r>
    </w:p>
    <w:p w14:paraId="1E723C2C" w14:textId="77777777" w:rsidR="00583ABC" w:rsidRPr="001C458B" w:rsidRDefault="00583ABC" w:rsidP="003D1B12">
      <w:pPr>
        <w:spacing w:after="0" w:line="240" w:lineRule="auto"/>
        <w:ind w:firstLine="284"/>
        <w:jc w:val="both"/>
        <w:rPr>
          <w:rFonts w:ascii="Garamond" w:hAnsi="Garamond"/>
          <w:sz w:val="24"/>
          <w:szCs w:val="24"/>
          <w:lang w:val="sq-AL"/>
        </w:rPr>
      </w:pPr>
    </w:p>
    <w:p w14:paraId="1F7B3655" w14:textId="7EF64401"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Në këtë rregullore, termat e mëposhtëm kanë kuptimet më poshtë.</w:t>
      </w:r>
    </w:p>
    <w:p w14:paraId="3628817A" w14:textId="1D85CEB4"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b/>
          <w:sz w:val="24"/>
          <w:szCs w:val="24"/>
          <w:lang w:val="sq-AL"/>
        </w:rPr>
        <w:t>Banka</w:t>
      </w:r>
      <w:r w:rsidR="00583ABC" w:rsidRPr="001C458B">
        <w:rPr>
          <w:rFonts w:ascii="Garamond" w:hAnsi="Garamond"/>
          <w:sz w:val="24"/>
          <w:szCs w:val="24"/>
          <w:lang w:val="sq-AL"/>
        </w:rPr>
        <w:t xml:space="preserve"> - ka kuptimin sipas ligjit nr. 9662/2006.</w:t>
      </w:r>
    </w:p>
    <w:p w14:paraId="4AFBF472" w14:textId="31579EBE"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b/>
          <w:sz w:val="24"/>
          <w:szCs w:val="24"/>
          <w:lang w:val="sq-AL"/>
        </w:rPr>
        <w:t>Kapitali bazë i nivelit të parë</w:t>
      </w:r>
      <w:r w:rsidR="00583ABC" w:rsidRPr="001C458B">
        <w:rPr>
          <w:rFonts w:ascii="Garamond" w:hAnsi="Garamond"/>
          <w:sz w:val="24"/>
          <w:szCs w:val="24"/>
          <w:lang w:val="sq-AL"/>
        </w:rPr>
        <w:t xml:space="preserve"> - ka kuptimin sipas nenit 6 të rregullores nr. 69, datë 18.12.2014, “Për kapitalin rregullator të bankës”, e ndryshuar (më tej, “rregullorja 69/2014”). Në këtë rregullore do të shënohet me akronimin “</w:t>
      </w:r>
      <w:r w:rsidR="00583ABC" w:rsidRPr="001C458B">
        <w:rPr>
          <w:rFonts w:ascii="Garamond" w:hAnsi="Garamond"/>
          <w:b/>
          <w:sz w:val="24"/>
          <w:szCs w:val="24"/>
          <w:lang w:val="sq-AL"/>
        </w:rPr>
        <w:t>KBN1</w:t>
      </w:r>
      <w:r w:rsidR="00583ABC" w:rsidRPr="001C458B">
        <w:rPr>
          <w:rFonts w:ascii="Garamond" w:hAnsi="Garamond"/>
          <w:sz w:val="24"/>
          <w:szCs w:val="24"/>
          <w:lang w:val="sq-AL"/>
        </w:rPr>
        <w:t>”.</w:t>
      </w:r>
    </w:p>
    <w:p w14:paraId="3EDD8C0F" w14:textId="3AFEC55E"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b/>
          <w:sz w:val="24"/>
          <w:szCs w:val="24"/>
          <w:lang w:val="sq-AL"/>
        </w:rPr>
        <w:t>Raporti i KBN1</w:t>
      </w:r>
      <w:r w:rsidR="00583ABC" w:rsidRPr="001C458B">
        <w:rPr>
          <w:rFonts w:ascii="Garamond" w:hAnsi="Garamond"/>
          <w:sz w:val="24"/>
          <w:szCs w:val="24"/>
          <w:lang w:val="sq-AL"/>
        </w:rPr>
        <w:t xml:space="preserve"> - Është raporti i vlerës së KBN1-së ndaj ekspozimeve të ponderuara me rrezikun (përcaktuar sipas nënparagrafit 22), i shprehur në përqindje. Në këtë rregullore do të shënohet me akronimin “</w:t>
      </w:r>
      <w:r w:rsidR="00583ABC" w:rsidRPr="001C458B">
        <w:rPr>
          <w:rFonts w:ascii="Garamond" w:hAnsi="Garamond"/>
          <w:b/>
          <w:sz w:val="24"/>
          <w:szCs w:val="24"/>
          <w:lang w:val="sq-AL"/>
        </w:rPr>
        <w:t>KBN1r</w:t>
      </w:r>
      <w:r w:rsidR="00583ABC" w:rsidRPr="001C458B">
        <w:rPr>
          <w:rFonts w:ascii="Garamond" w:hAnsi="Garamond"/>
          <w:sz w:val="24"/>
          <w:szCs w:val="24"/>
          <w:lang w:val="sq-AL"/>
        </w:rPr>
        <w:t>”.</w:t>
      </w:r>
    </w:p>
    <w:p w14:paraId="545302B3" w14:textId="5AE66D34"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b/>
          <w:sz w:val="24"/>
          <w:szCs w:val="24"/>
          <w:lang w:val="sq-AL"/>
        </w:rPr>
        <w:t xml:space="preserve">4. </w:t>
      </w:r>
      <w:r w:rsidR="00583ABC" w:rsidRPr="001C458B">
        <w:rPr>
          <w:rFonts w:ascii="Garamond" w:hAnsi="Garamond"/>
          <w:b/>
          <w:sz w:val="24"/>
          <w:szCs w:val="24"/>
          <w:lang w:val="sq-AL"/>
        </w:rPr>
        <w:t>Kapitali i nivelit të parë</w:t>
      </w:r>
      <w:r w:rsidR="00583ABC" w:rsidRPr="001C458B">
        <w:rPr>
          <w:rFonts w:ascii="Garamond" w:hAnsi="Garamond"/>
          <w:sz w:val="24"/>
          <w:szCs w:val="24"/>
          <w:lang w:val="sq-AL"/>
        </w:rPr>
        <w:t xml:space="preserve"> - ka kuptimin sipas nenit 6 të rregullores 69/2014. Në këtë rregullore do të shënohet me akronimin “KN1”.</w:t>
      </w:r>
    </w:p>
    <w:p w14:paraId="0F9B7269" w14:textId="54F85DB9" w:rsidR="00583ABC" w:rsidRPr="001C458B" w:rsidRDefault="003D1B12"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b/>
          <w:sz w:val="24"/>
          <w:szCs w:val="24"/>
          <w:lang w:val="sq-AL"/>
        </w:rPr>
        <w:t>Raporti i KN1</w:t>
      </w:r>
      <w:r w:rsidR="00583ABC" w:rsidRPr="001C458B">
        <w:rPr>
          <w:rFonts w:ascii="Garamond" w:hAnsi="Garamond"/>
          <w:sz w:val="24"/>
          <w:szCs w:val="24"/>
          <w:lang w:val="sq-AL"/>
        </w:rPr>
        <w:t xml:space="preserve"> - është raporti i vlerës së KBN1-së ndaj ekspozimeve të ponderuara me rrezikun, i shprehur në përqindje. Në këtë rregullore do të shënohet me akronimin “</w:t>
      </w:r>
      <w:r w:rsidR="00583ABC" w:rsidRPr="001C458B">
        <w:rPr>
          <w:rFonts w:ascii="Garamond" w:hAnsi="Garamond"/>
          <w:b/>
          <w:sz w:val="24"/>
          <w:szCs w:val="24"/>
          <w:lang w:val="sq-AL"/>
        </w:rPr>
        <w:t>KN1r</w:t>
      </w:r>
      <w:r w:rsidR="00583ABC" w:rsidRPr="001C458B">
        <w:rPr>
          <w:rFonts w:ascii="Garamond" w:hAnsi="Garamond"/>
          <w:sz w:val="24"/>
          <w:szCs w:val="24"/>
          <w:lang w:val="sq-AL"/>
        </w:rPr>
        <w:t>”.</w:t>
      </w:r>
    </w:p>
    <w:p w14:paraId="5980D067" w14:textId="0730E80D"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b/>
          <w:sz w:val="24"/>
          <w:szCs w:val="24"/>
          <w:lang w:val="sq-AL"/>
        </w:rPr>
        <w:t>Kapitali rregullator</w:t>
      </w:r>
      <w:r w:rsidR="00583ABC" w:rsidRPr="001C458B">
        <w:rPr>
          <w:rFonts w:ascii="Garamond" w:hAnsi="Garamond"/>
          <w:sz w:val="24"/>
          <w:szCs w:val="24"/>
          <w:lang w:val="sq-AL"/>
        </w:rPr>
        <w:t xml:space="preserve"> - ka kuptimin sipas nenit 6 të rregullores 69/2014. Në këtë rregullore do të shënohet me akronimin “</w:t>
      </w:r>
      <w:r w:rsidR="00583ABC" w:rsidRPr="001C458B">
        <w:rPr>
          <w:rFonts w:ascii="Garamond" w:hAnsi="Garamond"/>
          <w:b/>
          <w:sz w:val="24"/>
          <w:szCs w:val="24"/>
          <w:lang w:val="sq-AL"/>
        </w:rPr>
        <w:t>KREG</w:t>
      </w:r>
      <w:r w:rsidR="00583ABC" w:rsidRPr="001C458B">
        <w:rPr>
          <w:rFonts w:ascii="Garamond" w:hAnsi="Garamond"/>
          <w:sz w:val="24"/>
          <w:szCs w:val="24"/>
          <w:lang w:val="sq-AL"/>
        </w:rPr>
        <w:t>”.</w:t>
      </w:r>
    </w:p>
    <w:p w14:paraId="3DC7EA57" w14:textId="744BB11C"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7. </w:t>
      </w:r>
      <w:r w:rsidR="00583ABC" w:rsidRPr="001C458B">
        <w:rPr>
          <w:rFonts w:ascii="Garamond" w:hAnsi="Garamond"/>
          <w:b/>
          <w:sz w:val="24"/>
          <w:szCs w:val="24"/>
          <w:lang w:val="sq-AL"/>
        </w:rPr>
        <w:t>Raporti i mjaftueshmërisë së kapitalit</w:t>
      </w:r>
      <w:r w:rsidR="00583ABC" w:rsidRPr="001C458B">
        <w:rPr>
          <w:rFonts w:ascii="Garamond" w:hAnsi="Garamond"/>
          <w:sz w:val="24"/>
          <w:szCs w:val="24"/>
          <w:lang w:val="sq-AL"/>
        </w:rPr>
        <w:t xml:space="preserve"> - është raporti i vlerës së KREG-ut ndaj ekspozimeve të ponderuara me rrezikun, i shprehur në përqindje, sipas nenit 5 të rregullores nr. 48, datë 31.07.2013, “Për raportin e mjaftueshmërisë së kapitalit”, e ndryshuar (më tej, “rregullorja 48/2013”). Në këtë rregullore do të shënohet me akronimin “RMK”.</w:t>
      </w:r>
    </w:p>
    <w:p w14:paraId="3975ED2A" w14:textId="0AD23330"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8. </w:t>
      </w:r>
      <w:r w:rsidR="00583ABC" w:rsidRPr="001C458B">
        <w:rPr>
          <w:rFonts w:ascii="Garamond" w:hAnsi="Garamond"/>
          <w:b/>
          <w:sz w:val="24"/>
          <w:szCs w:val="24"/>
          <w:lang w:val="sq-AL"/>
        </w:rPr>
        <w:t>Kërkesa minimale e kapitalit</w:t>
      </w:r>
      <w:r w:rsidR="00583ABC" w:rsidRPr="001C458B">
        <w:rPr>
          <w:rFonts w:ascii="Garamond" w:hAnsi="Garamond"/>
          <w:sz w:val="24"/>
          <w:szCs w:val="24"/>
          <w:lang w:val="sq-AL"/>
        </w:rPr>
        <w:t xml:space="preserve"> - janë kërkesat e detyrueshme për vlerat minimale të KBN1r-së, të KN1r-së dhe të RMK-së, sipas nenit 42 të rregullores 69/2014. Në këtë rregullore do të shënohet me akronimin “KMK”.</w:t>
      </w:r>
    </w:p>
    <w:p w14:paraId="7C182AC3" w14:textId="2FBCA0E2"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9. </w:t>
      </w:r>
      <w:r w:rsidR="00583ABC" w:rsidRPr="001C458B">
        <w:rPr>
          <w:rFonts w:ascii="Garamond" w:hAnsi="Garamond"/>
          <w:b/>
          <w:sz w:val="24"/>
          <w:szCs w:val="24"/>
          <w:lang w:val="sq-AL"/>
        </w:rPr>
        <w:t>Kërkesa të tjera të detyrueshme të kapitalit</w:t>
      </w:r>
      <w:r w:rsidR="00583ABC" w:rsidRPr="001C458B">
        <w:rPr>
          <w:rFonts w:ascii="Garamond" w:hAnsi="Garamond"/>
          <w:sz w:val="24"/>
          <w:szCs w:val="24"/>
          <w:lang w:val="sq-AL"/>
        </w:rPr>
        <w:t xml:space="preserve"> - janë kërkesa të detyrueshme për sasinë e kapitalit, të ndryshme nga (dhe zakonisht mbi) KMK-të, sipas përcaktimeve në ligj ose akt nënligjor (për shembull, kërkesa në kuadër të procesit të rishikimit dhe vlerësimit mbikëqyrës dhe kërkesa të tjera në procesin e ndërhyrjes së jashtëzakonshme në banka në zbatim të ligjit nr. 133/2016).</w:t>
      </w:r>
    </w:p>
    <w:p w14:paraId="462D781F" w14:textId="66E9DD84"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lastRenderedPageBreak/>
        <w:t xml:space="preserve">10. </w:t>
      </w:r>
      <w:r w:rsidR="00583ABC" w:rsidRPr="001C458B">
        <w:rPr>
          <w:rFonts w:ascii="Garamond" w:hAnsi="Garamond"/>
          <w:b/>
          <w:sz w:val="24"/>
          <w:szCs w:val="24"/>
          <w:lang w:val="sq-AL"/>
        </w:rPr>
        <w:t>Kapitali neto i disponueshëm</w:t>
      </w:r>
      <w:r w:rsidR="00583ABC" w:rsidRPr="001C458B">
        <w:rPr>
          <w:rFonts w:ascii="Garamond" w:hAnsi="Garamond"/>
          <w:sz w:val="24"/>
          <w:szCs w:val="24"/>
          <w:lang w:val="sq-AL"/>
        </w:rPr>
        <w:t xml:space="preserve"> - ka kuptimin e KBN1-së së bankës që mbetet pasi pakësohet me shumën e vlerës që nevojitet për të përmbushur:</w:t>
      </w:r>
    </w:p>
    <w:p w14:paraId="59660BB6" w14:textId="34E40D5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KBN1r, KN1r dhe RMK; dhe</w:t>
      </w:r>
    </w:p>
    <w:p w14:paraId="3ADC25C6" w14:textId="38628089"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kërkesat e tjera të detyrueshme të kapitalit, që zbatohen ndaj bankës, për aq sa ato duhet të përmbushen me instrumente të KBN1-së. </w:t>
      </w:r>
    </w:p>
    <w:p w14:paraId="2AA202E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këtë rregullore do të shënohet me akronimin “KND”.</w:t>
      </w:r>
    </w:p>
    <w:p w14:paraId="2456604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11. </w:t>
      </w:r>
      <w:r w:rsidRPr="001C458B">
        <w:rPr>
          <w:rFonts w:ascii="Garamond" w:hAnsi="Garamond"/>
          <w:b/>
          <w:sz w:val="24"/>
          <w:szCs w:val="24"/>
          <w:lang w:val="sq-AL"/>
        </w:rPr>
        <w:t>Raporti i kapitalit neto të disponueshëm</w:t>
      </w:r>
      <w:r w:rsidRPr="001C458B">
        <w:rPr>
          <w:rFonts w:ascii="Garamond" w:hAnsi="Garamond"/>
          <w:sz w:val="24"/>
          <w:szCs w:val="24"/>
          <w:lang w:val="sq-AL"/>
        </w:rPr>
        <w:t xml:space="preserve"> - është raporti i vlerës së KND-së ndaj ekspozimeve të ponderuara me rrezik të bankës, i shprehur në përqindje. Në këtë rregullore do të shënohet me akronimin “KNDr”.</w:t>
      </w:r>
    </w:p>
    <w:p w14:paraId="20B8C0D7" w14:textId="19D17A9D"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12. </w:t>
      </w:r>
      <w:r w:rsidR="00583ABC" w:rsidRPr="001C458B">
        <w:rPr>
          <w:rFonts w:ascii="Garamond" w:hAnsi="Garamond"/>
          <w:b/>
          <w:sz w:val="24"/>
          <w:szCs w:val="24"/>
          <w:lang w:val="sq-AL"/>
        </w:rPr>
        <w:t>Shtesa konservuese e kapitalit</w:t>
      </w:r>
      <w:r w:rsidR="00583ABC" w:rsidRPr="001C458B">
        <w:rPr>
          <w:rFonts w:ascii="Garamond" w:hAnsi="Garamond"/>
          <w:sz w:val="24"/>
          <w:szCs w:val="24"/>
          <w:lang w:val="sq-AL"/>
        </w:rPr>
        <w:t xml:space="preserve"> - është sasia e kapitalit që një bankë duhet të mbajë në instrumente të KBN1-së, mbi KMK-në, sipas nenit 10. Ajo shprehet në përqindje, si raport ndaj ekspozimeve të ponderuara me rrezikun të bankës. Në këtë rregullore do të shënohet me akronimin “KONS”. Madhësia e shtesës (norma në %) është unike dhe ndikimi i saj është i njëjtë për secilën nga bankat.</w:t>
      </w:r>
    </w:p>
    <w:p w14:paraId="6ACAB64B" w14:textId="02FC90EF"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13. </w:t>
      </w:r>
      <w:r w:rsidR="00583ABC" w:rsidRPr="001C458B">
        <w:rPr>
          <w:rFonts w:ascii="Garamond" w:hAnsi="Garamond"/>
          <w:b/>
          <w:sz w:val="24"/>
          <w:szCs w:val="24"/>
          <w:lang w:val="sq-AL"/>
        </w:rPr>
        <w:t>Shtesa kundërciklike e kapitalit</w:t>
      </w:r>
      <w:r w:rsidR="00583ABC" w:rsidRPr="001C458B">
        <w:rPr>
          <w:rFonts w:ascii="Garamond" w:hAnsi="Garamond"/>
          <w:sz w:val="24"/>
          <w:szCs w:val="24"/>
          <w:lang w:val="sq-AL"/>
        </w:rPr>
        <w:t xml:space="preserve"> - është sasia e kapitalit që një bankë duhet të mbajë në instrumente të KBN1-së, përtej KONS-it, sipas nenit 11. Ajo shprehet në përqindje, si raport ndaj ekspozimeve të ponderuara me rrezik të bankës. Në këtë rregullore do të shënohet me akronimin “KUNC”. Madhësia e shtesës (norma në %) është unike, por ndikimi i saj për secilën nga bankat do të varet nga përbërja dhe niveli i ekspozimeve të përshtatshme të kreditit (përcaktuar në nënparagrafin (29)).</w:t>
      </w:r>
    </w:p>
    <w:p w14:paraId="7DC0524E" w14:textId="0587BB4E"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14. </w:t>
      </w:r>
      <w:r w:rsidR="00583ABC" w:rsidRPr="001C458B">
        <w:rPr>
          <w:rFonts w:ascii="Garamond" w:hAnsi="Garamond"/>
          <w:b/>
          <w:sz w:val="24"/>
          <w:szCs w:val="24"/>
          <w:lang w:val="sq-AL"/>
        </w:rPr>
        <w:t>KUNC i aplikuar</w:t>
      </w:r>
      <w:r w:rsidR="00583ABC" w:rsidRPr="001C458B">
        <w:rPr>
          <w:rFonts w:ascii="Garamond" w:hAnsi="Garamond"/>
          <w:sz w:val="24"/>
          <w:szCs w:val="24"/>
          <w:lang w:val="sq-AL"/>
        </w:rPr>
        <w:t xml:space="preserve"> - është norma e KUNC-it, e zbatuar në Shqipëri dhe në juridiksione të huaja, e përcaktuar sipas neneve 12 dhe 13. Në këtë rregullore do të shënohet me akronimin “AKUNC”.</w:t>
      </w:r>
    </w:p>
    <w:p w14:paraId="56226C4D" w14:textId="2D4F5A02"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15. </w:t>
      </w:r>
      <w:r w:rsidR="00583ABC" w:rsidRPr="001C458B">
        <w:rPr>
          <w:rFonts w:ascii="Garamond" w:hAnsi="Garamond"/>
          <w:b/>
          <w:sz w:val="24"/>
          <w:szCs w:val="24"/>
          <w:lang w:val="sq-AL"/>
        </w:rPr>
        <w:t>KUNC specifik për bankën</w:t>
      </w:r>
      <w:r w:rsidR="00583ABC" w:rsidRPr="001C458B">
        <w:rPr>
          <w:rFonts w:ascii="Garamond" w:hAnsi="Garamond"/>
          <w:sz w:val="24"/>
          <w:szCs w:val="24"/>
          <w:lang w:val="sq-AL"/>
        </w:rPr>
        <w:t xml:space="preserve"> - është KUNC-i i llogaritur për bankën, sipas nenit 11. Në këtë rregullore do të shënohet me akronimin “SPEKUNC”.</w:t>
      </w:r>
    </w:p>
    <w:p w14:paraId="01A1AA75" w14:textId="57ED0DB8"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16. </w:t>
      </w:r>
      <w:r w:rsidR="00583ABC" w:rsidRPr="001C458B">
        <w:rPr>
          <w:rFonts w:ascii="Garamond" w:hAnsi="Garamond"/>
          <w:b/>
          <w:sz w:val="24"/>
          <w:szCs w:val="24"/>
          <w:lang w:val="sq-AL"/>
        </w:rPr>
        <w:t>Bankat me rëndësi sistemike</w:t>
      </w:r>
      <w:r w:rsidR="00583ABC" w:rsidRPr="001C458B">
        <w:rPr>
          <w:rFonts w:ascii="Garamond" w:hAnsi="Garamond"/>
          <w:sz w:val="24"/>
          <w:szCs w:val="24"/>
          <w:lang w:val="sq-AL"/>
        </w:rPr>
        <w:t xml:space="preserve"> - Janë bankat e përcaktuara me rëndësi sistemike sipas një metodologjie të caktuar të Bankës se Shqipërisë, në përputhje me nenin 14. Në këtë rregullore do të shënohet me akronimin “BARS”.</w:t>
      </w:r>
    </w:p>
    <w:p w14:paraId="3214EDDF" w14:textId="18EC3351"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17. </w:t>
      </w:r>
      <w:r w:rsidR="00583ABC" w:rsidRPr="001C458B">
        <w:rPr>
          <w:rFonts w:ascii="Garamond" w:hAnsi="Garamond"/>
          <w:b/>
          <w:sz w:val="24"/>
          <w:szCs w:val="24"/>
          <w:lang w:val="sq-AL"/>
        </w:rPr>
        <w:t>Shtesa e kapitalit për bankat me rëndësi sistemike</w:t>
      </w:r>
      <w:r w:rsidR="00583ABC" w:rsidRPr="001C458B">
        <w:rPr>
          <w:rFonts w:ascii="Garamond" w:hAnsi="Garamond"/>
          <w:sz w:val="24"/>
          <w:szCs w:val="24"/>
          <w:lang w:val="sq-AL"/>
        </w:rPr>
        <w:t xml:space="preserve"> – është sasia e kapitalit që një BARS duhet të mbajë në instrumente të KBN1-së, përtej KONS-it, sipas nenit 14. Ajo shprehet në përqindje, si raport ndaj ekspozimeve të ponderuara me rrezik të bankës. Në këtë rregullore do të shënohet me akronimin “SIST”. Madhësia e shtesës (norma në %) është tërësisht në varësi të rëndësisë sistemike të bankës.</w:t>
      </w:r>
    </w:p>
    <w:p w14:paraId="67F653A9" w14:textId="55243E5E"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18. </w:t>
      </w:r>
      <w:r w:rsidR="00583ABC" w:rsidRPr="001C458B">
        <w:rPr>
          <w:rFonts w:ascii="Garamond" w:hAnsi="Garamond"/>
          <w:b/>
          <w:sz w:val="24"/>
          <w:szCs w:val="24"/>
          <w:lang w:val="sq-AL"/>
        </w:rPr>
        <w:t>Shtesa e kapitalit për rrezikun sistemik</w:t>
      </w:r>
      <w:r w:rsidR="00583ABC" w:rsidRPr="001C458B">
        <w:rPr>
          <w:rFonts w:ascii="Garamond" w:hAnsi="Garamond"/>
          <w:sz w:val="24"/>
          <w:szCs w:val="24"/>
          <w:lang w:val="sq-AL"/>
        </w:rPr>
        <w:t xml:space="preserve"> - është sasia e kapitalit që një bankë duhet të mbajë në instrumente të KBN1-së, përtej KONS-it, sipas nenit 15. Ajo shprehet në përqindje, si raport ndaj ekspozimeve të ponderuara me rrezik të bankës. Në këtë rregullore do të shënohet me akronimin “STRUK”. Mënyra e zbatimit të kësaj shtese ka një shkallë relativisht të lartë fleksibiliteti.</w:t>
      </w:r>
    </w:p>
    <w:p w14:paraId="6FF462F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19. </w:t>
      </w:r>
      <w:r w:rsidRPr="001C458B">
        <w:rPr>
          <w:rFonts w:ascii="Garamond" w:hAnsi="Garamond"/>
          <w:b/>
          <w:sz w:val="24"/>
          <w:szCs w:val="24"/>
          <w:lang w:val="sq-AL"/>
        </w:rPr>
        <w:t>Shtesa makroprudenciale e kapitalit</w:t>
      </w:r>
      <w:r w:rsidRPr="001C458B">
        <w:rPr>
          <w:rFonts w:ascii="Garamond" w:hAnsi="Garamond"/>
          <w:sz w:val="24"/>
          <w:szCs w:val="24"/>
          <w:lang w:val="sq-AL"/>
        </w:rPr>
        <w:t xml:space="preserve"> - Sipas normave të shpallura të Bankës së Shqipërisë dhe afateve përkatëse, është secila nga shtesat e kapitalit, në kuadër të zbatimit të politikës makroprudenciale për KONS, KUNC, SIST dhe STRUK. Në këtë rregullore do të shënohet me akronimin “SHMAK”.</w:t>
      </w:r>
    </w:p>
    <w:p w14:paraId="0D852A06"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20</w:t>
      </w:r>
      <w:r w:rsidRPr="001C458B">
        <w:rPr>
          <w:rFonts w:ascii="Garamond" w:hAnsi="Garamond"/>
          <w:b/>
          <w:sz w:val="24"/>
          <w:szCs w:val="24"/>
          <w:lang w:val="sq-AL"/>
        </w:rPr>
        <w:t>. Shtesa e kombinuar makroprudenciale e kapitalit</w:t>
      </w:r>
      <w:r w:rsidRPr="001C458B">
        <w:rPr>
          <w:rFonts w:ascii="Garamond" w:hAnsi="Garamond"/>
          <w:sz w:val="24"/>
          <w:szCs w:val="24"/>
          <w:lang w:val="sq-AL"/>
        </w:rPr>
        <w:t xml:space="preserve"> - është zbatimi i më shumë se një SHMAK-u në të njëjtën kohë (për shembull, i KONS-it dhe i KUNC-it). Në këtë rregullore do të shënohet me akronimin “SHKOMAK”. Nëse zbatohet vetëm një SHMAK (për shembull, KONS-i), atëherë SHMAK-u dhe SHKOMAK-u përfaqësojnë të njëjtën gjë (vlerë).</w:t>
      </w:r>
    </w:p>
    <w:p w14:paraId="48A9D39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21. </w:t>
      </w:r>
      <w:r w:rsidRPr="001C458B">
        <w:rPr>
          <w:rFonts w:ascii="Garamond" w:hAnsi="Garamond"/>
          <w:b/>
          <w:sz w:val="24"/>
          <w:szCs w:val="24"/>
          <w:lang w:val="sq-AL"/>
        </w:rPr>
        <w:t>Raporti i përmbushjes së SHKOMAK</w:t>
      </w:r>
      <w:r w:rsidRPr="001C458B">
        <w:rPr>
          <w:rFonts w:ascii="Garamond" w:hAnsi="Garamond"/>
          <w:sz w:val="24"/>
          <w:szCs w:val="24"/>
          <w:lang w:val="sq-AL"/>
        </w:rPr>
        <w:t xml:space="preserve"> - është raporti i KNDr-së ndaj SHKOMAK-ut, i shprehur në përqindje.</w:t>
      </w:r>
    </w:p>
    <w:p w14:paraId="36261BAC" w14:textId="11ADA108"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lastRenderedPageBreak/>
        <w:t xml:space="preserve">22. </w:t>
      </w:r>
      <w:r w:rsidR="00583ABC" w:rsidRPr="001C458B">
        <w:rPr>
          <w:rFonts w:ascii="Garamond" w:hAnsi="Garamond"/>
          <w:b/>
          <w:sz w:val="24"/>
          <w:szCs w:val="24"/>
          <w:lang w:val="sq-AL"/>
        </w:rPr>
        <w:t>Ekspozimet e ponderuara me rrezikun</w:t>
      </w:r>
      <w:r w:rsidR="00583ABC" w:rsidRPr="001C458B">
        <w:rPr>
          <w:rFonts w:ascii="Garamond" w:hAnsi="Garamond"/>
          <w:sz w:val="24"/>
          <w:szCs w:val="24"/>
          <w:lang w:val="sq-AL"/>
        </w:rPr>
        <w:t xml:space="preserve"> - janë aktivet e bankës të ponderuara me peshat e rrezikut për qëllimin e llogaritjes së kërkesës për kapital, sipas rregullores nr. 48/2013. Në këtë rregullore do të shënohet me akronimin “EPR”.</w:t>
      </w:r>
    </w:p>
    <w:p w14:paraId="6F005F96" w14:textId="6AE48745"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23. </w:t>
      </w:r>
      <w:r w:rsidR="00583ABC" w:rsidRPr="001C458B">
        <w:rPr>
          <w:rFonts w:ascii="Garamond" w:hAnsi="Garamond"/>
          <w:b/>
          <w:sz w:val="24"/>
          <w:szCs w:val="24"/>
          <w:lang w:val="sq-AL"/>
        </w:rPr>
        <w:t>Pagesë shpërndarjeje</w:t>
      </w:r>
      <w:r w:rsidR="00583ABC" w:rsidRPr="001C458B">
        <w:rPr>
          <w:rFonts w:ascii="Garamond" w:hAnsi="Garamond"/>
          <w:sz w:val="24"/>
          <w:szCs w:val="24"/>
          <w:lang w:val="sq-AL"/>
        </w:rPr>
        <w:t xml:space="preserve"> - për një bankë, ka kuptimin e kryerjes së një pagese ose të krijimit të një angazhimi për pagesë, që shoqërohet me uljen e vlerës së KBN1-së dhe të të ardhurave, dhe që përfshin:</w:t>
      </w:r>
    </w:p>
    <w:p w14:paraId="7C5FEFFB" w14:textId="42873D03"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dividentin;</w:t>
      </w:r>
    </w:p>
    <w:p w14:paraId="07865F02" w14:textId="593C631F"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blerjen ose shlyerjen e instrumenteve të KBN1;</w:t>
      </w:r>
    </w:p>
    <w:p w14:paraId="48F775B7" w14:textId="7CB37D97"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instrumentet e kapitalit shtesë të nivelit të parë;</w:t>
      </w:r>
    </w:p>
    <w:p w14:paraId="586BCAD7" w14:textId="4822907A"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w:t>
      </w:r>
      <w:r w:rsidR="00583ABC" w:rsidRPr="001C458B">
        <w:rPr>
          <w:rFonts w:ascii="Garamond" w:hAnsi="Garamond"/>
          <w:sz w:val="24"/>
          <w:szCs w:val="24"/>
          <w:lang w:val="sq-AL"/>
        </w:rPr>
        <w:t>shpërblimet apo fondin e pensionit për drejtuesit dhe personelin e institucionit;</w:t>
      </w:r>
    </w:p>
    <w:p w14:paraId="3A518062" w14:textId="4877E5DE"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 </w:t>
      </w:r>
      <w:r w:rsidR="00583ABC" w:rsidRPr="001C458B">
        <w:rPr>
          <w:rFonts w:ascii="Garamond" w:hAnsi="Garamond"/>
          <w:sz w:val="24"/>
          <w:szCs w:val="24"/>
          <w:lang w:val="sq-AL"/>
        </w:rPr>
        <w:t>çdo formë tjetër, të ngjashme.</w:t>
      </w:r>
    </w:p>
    <w:p w14:paraId="63B7071E"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kuptimin e kësaj rregulloreje, ulja e nivelit të KBN1-së nuk përfshin rastin kur rrezikohet mospërmbushja e KMK-së sipas rregullores nr. 69/2014, nenit 42, për të cilin banka duhet të veprojë sipas përcaktimeve në atë rregullore.</w:t>
      </w:r>
      <w:r w:rsidRPr="001C458B">
        <w:rPr>
          <w:rFonts w:ascii="Garamond" w:hAnsi="Garamond"/>
          <w:sz w:val="24"/>
          <w:szCs w:val="24"/>
          <w:lang w:val="sq-AL"/>
        </w:rPr>
        <w:tab/>
      </w:r>
      <w:r w:rsidRPr="001C458B">
        <w:rPr>
          <w:rFonts w:ascii="Garamond" w:hAnsi="Garamond"/>
          <w:sz w:val="24"/>
          <w:szCs w:val="24"/>
          <w:lang w:val="sq-AL"/>
        </w:rPr>
        <w:tab/>
      </w:r>
    </w:p>
    <w:p w14:paraId="7F98E9B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24. </w:t>
      </w:r>
      <w:r w:rsidRPr="001C458B">
        <w:rPr>
          <w:rFonts w:ascii="Garamond" w:hAnsi="Garamond"/>
          <w:b/>
          <w:sz w:val="24"/>
          <w:szCs w:val="24"/>
          <w:lang w:val="sq-AL"/>
        </w:rPr>
        <w:t>Të ardhurat</w:t>
      </w:r>
      <w:r w:rsidRPr="001C458B">
        <w:rPr>
          <w:rFonts w:ascii="Garamond" w:hAnsi="Garamond"/>
          <w:sz w:val="24"/>
          <w:szCs w:val="24"/>
          <w:lang w:val="sq-AL"/>
        </w:rPr>
        <w:t xml:space="preserve"> - ka kuptimin e vlerës që llogaritet:</w:t>
      </w:r>
    </w:p>
    <w:p w14:paraId="284B90FD" w14:textId="39442E92"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duke mbledhur së bashku:</w:t>
      </w:r>
    </w:p>
    <w:p w14:paraId="7605FCAB" w14:textId="13670749"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fitimin e periudhave të ndërmjetme (sipas rregullores nr. 69/2014, neni 6, paragrafët 2 dhe 8), i papërfshirë në KBN1, dhe i gjeneruar që prej kryerjes së pagesës me të fundit të shpërndarjes, dhe</w:t>
      </w:r>
    </w:p>
    <w:p w14:paraId="5EBB2641" w14:textId="794FE6B6"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 xml:space="preserve">fitimin e llogaritur për fundin e vitit financiar (sipas rregullores nr. 69/2014, neni 6, paragrafët 2 dhe 8), i papërfshirë në KBN1, dhe i gjeneruar që prej kryerjes së pagesës më të fundit të shpërndarjes; </w:t>
      </w:r>
    </w:p>
    <w:p w14:paraId="4CB76873"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si dhe</w:t>
      </w:r>
    </w:p>
    <w:p w14:paraId="332EDFA4" w14:textId="46D21F7D"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duke zbritur nga vlera e llogaritur sipas pikës </w:t>
      </w:r>
      <w:r w:rsidR="001C458B">
        <w:rPr>
          <w:rFonts w:ascii="Garamond" w:hAnsi="Garamond"/>
          <w:sz w:val="24"/>
          <w:szCs w:val="24"/>
          <w:lang w:val="sq-AL"/>
        </w:rPr>
        <w:t>“</w:t>
      </w:r>
      <w:r w:rsidR="00583ABC" w:rsidRPr="001C458B">
        <w:rPr>
          <w:rFonts w:ascii="Garamond" w:hAnsi="Garamond"/>
          <w:sz w:val="24"/>
          <w:szCs w:val="24"/>
          <w:lang w:val="sq-AL"/>
        </w:rPr>
        <w:t>a</w:t>
      </w:r>
      <w:r w:rsidR="001C458B">
        <w:rPr>
          <w:rFonts w:ascii="Garamond" w:hAnsi="Garamond"/>
          <w:sz w:val="24"/>
          <w:szCs w:val="24"/>
          <w:lang w:val="sq-AL"/>
        </w:rPr>
        <w:t>”</w:t>
      </w:r>
      <w:r w:rsidR="00583ABC" w:rsidRPr="001C458B">
        <w:rPr>
          <w:rFonts w:ascii="Garamond" w:hAnsi="Garamond"/>
          <w:sz w:val="24"/>
          <w:szCs w:val="24"/>
          <w:lang w:val="sq-AL"/>
        </w:rPr>
        <w:t xml:space="preserve"> çdo taksë apo detyrim tjetër të ngjashëm, që do të duhej të paguhej nëse fitimi i gjeneruar sipas pikës </w:t>
      </w:r>
      <w:r w:rsidR="001C458B">
        <w:rPr>
          <w:rFonts w:ascii="Garamond" w:hAnsi="Garamond"/>
          <w:sz w:val="24"/>
          <w:szCs w:val="24"/>
          <w:lang w:val="sq-AL"/>
        </w:rPr>
        <w:t>“</w:t>
      </w:r>
      <w:r w:rsidR="00583ABC" w:rsidRPr="001C458B">
        <w:rPr>
          <w:rFonts w:ascii="Garamond" w:hAnsi="Garamond"/>
          <w:sz w:val="24"/>
          <w:szCs w:val="24"/>
          <w:lang w:val="sq-AL"/>
        </w:rPr>
        <w:t>a</w:t>
      </w:r>
      <w:r w:rsidR="001C458B">
        <w:rPr>
          <w:rFonts w:ascii="Garamond" w:hAnsi="Garamond"/>
          <w:sz w:val="24"/>
          <w:szCs w:val="24"/>
          <w:lang w:val="sq-AL"/>
        </w:rPr>
        <w:t>”</w:t>
      </w:r>
      <w:r w:rsidR="00583ABC" w:rsidRPr="001C458B">
        <w:rPr>
          <w:rFonts w:ascii="Garamond" w:hAnsi="Garamond"/>
          <w:sz w:val="24"/>
          <w:szCs w:val="24"/>
          <w:lang w:val="sq-AL"/>
        </w:rPr>
        <w:t xml:space="preserve"> do të ruhej i plotë (</w:t>
      </w:r>
      <w:r w:rsidR="00583ABC" w:rsidRPr="001C458B">
        <w:rPr>
          <w:rFonts w:ascii="Garamond" w:hAnsi="Garamond"/>
          <w:i/>
          <w:sz w:val="24"/>
          <w:szCs w:val="24"/>
          <w:lang w:val="sq-AL"/>
        </w:rPr>
        <w:t>retained</w:t>
      </w:r>
      <w:r w:rsidR="00583ABC" w:rsidRPr="001C458B">
        <w:rPr>
          <w:rFonts w:ascii="Garamond" w:hAnsi="Garamond"/>
          <w:sz w:val="24"/>
          <w:szCs w:val="24"/>
          <w:lang w:val="sq-AL"/>
        </w:rPr>
        <w:t>).</w:t>
      </w:r>
      <w:r w:rsidR="00583ABC" w:rsidRPr="001C458B">
        <w:rPr>
          <w:rFonts w:ascii="Garamond" w:hAnsi="Garamond"/>
          <w:sz w:val="24"/>
          <w:szCs w:val="24"/>
          <w:lang w:val="sq-AL"/>
        </w:rPr>
        <w:tab/>
      </w:r>
      <w:r w:rsidR="00583ABC" w:rsidRPr="001C458B">
        <w:rPr>
          <w:rFonts w:ascii="Garamond" w:hAnsi="Garamond"/>
          <w:sz w:val="24"/>
          <w:szCs w:val="24"/>
          <w:lang w:val="sq-AL"/>
        </w:rPr>
        <w:tab/>
      </w:r>
    </w:p>
    <w:p w14:paraId="28466495"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25. </w:t>
      </w:r>
      <w:r w:rsidRPr="001C458B">
        <w:rPr>
          <w:rFonts w:ascii="Garamond" w:hAnsi="Garamond"/>
          <w:b/>
          <w:sz w:val="24"/>
          <w:szCs w:val="24"/>
          <w:lang w:val="sq-AL"/>
        </w:rPr>
        <w:t>Përqindja maksimale</w:t>
      </w:r>
      <w:r w:rsidRPr="001C458B">
        <w:rPr>
          <w:rFonts w:ascii="Garamond" w:hAnsi="Garamond"/>
          <w:sz w:val="24"/>
          <w:szCs w:val="24"/>
          <w:lang w:val="sq-AL"/>
        </w:rPr>
        <w:t xml:space="preserve"> e shpërndarjes - përcaktohet duke iu referuar kuartilit të normës së SHKOMAK-ut, ku pozicionohet KNDr-ja, siç tregohet në nenin 8, tabela 1.</w:t>
      </w:r>
    </w:p>
    <w:p w14:paraId="2F8D5EFA" w14:textId="001B1CF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26. </w:t>
      </w:r>
      <w:r w:rsidRPr="001C458B">
        <w:rPr>
          <w:rFonts w:ascii="Garamond" w:hAnsi="Garamond"/>
          <w:b/>
          <w:sz w:val="24"/>
          <w:szCs w:val="24"/>
          <w:lang w:val="sq-AL"/>
        </w:rPr>
        <w:t>Vlera maksimale e shpërndarjes</w:t>
      </w:r>
      <w:r w:rsidRPr="001C458B">
        <w:rPr>
          <w:rFonts w:ascii="Garamond" w:hAnsi="Garamond"/>
          <w:sz w:val="24"/>
          <w:szCs w:val="24"/>
          <w:lang w:val="sq-AL"/>
        </w:rPr>
        <w:t xml:space="preserve"> - për një bankë, është prodhimi midis: a) të ardhurave të bankës sipas nënparagrafit 24; dhe b) përqindjes maksimale të shpërndarjes sipas nënparagrafit 25.</w:t>
      </w:r>
      <w:r w:rsidRPr="001C458B">
        <w:rPr>
          <w:rFonts w:ascii="Garamond" w:hAnsi="Garamond"/>
          <w:sz w:val="24"/>
          <w:szCs w:val="24"/>
          <w:lang w:val="sq-AL"/>
        </w:rPr>
        <w:tab/>
      </w:r>
    </w:p>
    <w:p w14:paraId="5D81752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27. </w:t>
      </w:r>
      <w:r w:rsidRPr="001C458B">
        <w:rPr>
          <w:rFonts w:ascii="Garamond" w:hAnsi="Garamond"/>
          <w:b/>
          <w:sz w:val="24"/>
          <w:szCs w:val="24"/>
          <w:lang w:val="sq-AL"/>
        </w:rPr>
        <w:t>Periudha paraprijëse</w:t>
      </w:r>
      <w:r w:rsidRPr="001C458B">
        <w:rPr>
          <w:rFonts w:ascii="Garamond" w:hAnsi="Garamond"/>
          <w:sz w:val="24"/>
          <w:szCs w:val="24"/>
          <w:lang w:val="sq-AL"/>
        </w:rPr>
        <w:t xml:space="preserve"> - duke iu referuar vendosjes së shtesës makroprudenciale të kapitalit, është periudha që fillon në ditën vijuese të punës të datës së shpalljes së shtesës makroprudenciale dhe që përfundon në ditën e punës që paraprin datën efektive të shtesës makroprudenciale.</w:t>
      </w:r>
    </w:p>
    <w:p w14:paraId="4A7885A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28. </w:t>
      </w:r>
      <w:r w:rsidRPr="001C458B">
        <w:rPr>
          <w:rFonts w:ascii="Garamond" w:hAnsi="Garamond"/>
          <w:b/>
          <w:sz w:val="24"/>
          <w:szCs w:val="24"/>
          <w:lang w:val="sq-AL"/>
        </w:rPr>
        <w:t>Data efektive</w:t>
      </w:r>
      <w:r w:rsidRPr="001C458B">
        <w:rPr>
          <w:rFonts w:ascii="Garamond" w:hAnsi="Garamond"/>
          <w:sz w:val="24"/>
          <w:szCs w:val="24"/>
          <w:lang w:val="sq-AL"/>
        </w:rPr>
        <w:t xml:space="preserve"> - duke iu referuar SHMAK-ut, nënkupton datën kur ajo nis të zbatohet, pra kur banka duhet të përmbushë SHMAK-un.</w:t>
      </w:r>
    </w:p>
    <w:p w14:paraId="0CAC36C1" w14:textId="70B2E97F"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29. </w:t>
      </w:r>
      <w:r w:rsidR="00583ABC" w:rsidRPr="001C458B">
        <w:rPr>
          <w:rFonts w:ascii="Garamond" w:hAnsi="Garamond"/>
          <w:b/>
          <w:sz w:val="24"/>
          <w:szCs w:val="24"/>
          <w:lang w:val="sq-AL"/>
        </w:rPr>
        <w:t>Ekspozimi i përshtatshëm i kreditit</w:t>
      </w:r>
      <w:r w:rsidR="00583ABC" w:rsidRPr="001C458B">
        <w:rPr>
          <w:rFonts w:ascii="Garamond" w:hAnsi="Garamond"/>
          <w:sz w:val="24"/>
          <w:szCs w:val="24"/>
          <w:lang w:val="sq-AL"/>
        </w:rPr>
        <w:t xml:space="preserve"> - për këtë rregullore dhe duke iu referuar një banke, ka kuptimin e një ekspozimi që njëherazi përmbush përcaktimet në pikat </w:t>
      </w:r>
      <w:r w:rsidR="001C458B">
        <w:rPr>
          <w:rFonts w:ascii="Garamond" w:hAnsi="Garamond"/>
          <w:sz w:val="24"/>
          <w:szCs w:val="24"/>
          <w:lang w:val="sq-AL"/>
        </w:rPr>
        <w:t>“</w:t>
      </w:r>
      <w:r w:rsidR="00583ABC" w:rsidRPr="001C458B">
        <w:rPr>
          <w:rFonts w:ascii="Garamond" w:hAnsi="Garamond"/>
          <w:sz w:val="24"/>
          <w:szCs w:val="24"/>
          <w:lang w:val="sq-AL"/>
        </w:rPr>
        <w:t>a</w:t>
      </w:r>
      <w:r w:rsidR="001C458B">
        <w:rPr>
          <w:rFonts w:ascii="Garamond" w:hAnsi="Garamond"/>
          <w:sz w:val="24"/>
          <w:szCs w:val="24"/>
          <w:lang w:val="sq-AL"/>
        </w:rPr>
        <w:t>”</w:t>
      </w:r>
      <w:r w:rsidR="00583ABC" w:rsidRPr="001C458B">
        <w:rPr>
          <w:rFonts w:ascii="Garamond" w:hAnsi="Garamond"/>
          <w:sz w:val="24"/>
          <w:szCs w:val="24"/>
          <w:lang w:val="sq-AL"/>
        </w:rPr>
        <w:t xml:space="preserve"> dhe </w:t>
      </w:r>
      <w:r w:rsidR="001C458B">
        <w:rPr>
          <w:rFonts w:ascii="Garamond" w:hAnsi="Garamond"/>
          <w:sz w:val="24"/>
          <w:szCs w:val="24"/>
          <w:lang w:val="sq-AL"/>
        </w:rPr>
        <w:t>“</w:t>
      </w:r>
      <w:r w:rsidR="00583ABC" w:rsidRPr="001C458B">
        <w:rPr>
          <w:rFonts w:ascii="Garamond" w:hAnsi="Garamond"/>
          <w:sz w:val="24"/>
          <w:szCs w:val="24"/>
          <w:lang w:val="sq-AL"/>
        </w:rPr>
        <w:t>b</w:t>
      </w:r>
      <w:r w:rsidR="001C458B">
        <w:rPr>
          <w:rFonts w:ascii="Garamond" w:hAnsi="Garamond"/>
          <w:sz w:val="24"/>
          <w:szCs w:val="24"/>
          <w:lang w:val="sq-AL"/>
        </w:rPr>
        <w:t>”</w:t>
      </w:r>
      <w:r w:rsidR="00583ABC" w:rsidRPr="001C458B">
        <w:rPr>
          <w:rFonts w:ascii="Garamond" w:hAnsi="Garamond"/>
          <w:sz w:val="24"/>
          <w:szCs w:val="24"/>
          <w:lang w:val="sq-AL"/>
        </w:rPr>
        <w:t>, si në vijim:</w:t>
      </w:r>
    </w:p>
    <w:p w14:paraId="45BD50D8" w14:textId="039ADF33"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është:</w:t>
      </w:r>
    </w:p>
    <w:p w14:paraId="0AD35A4B" w14:textId="7CA376B8"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një ekspozim jo i titullzuar, për të cilin banka llogarit një vlerë kapitali sipas nënparagrafit 30</w:t>
      </w:r>
      <w:r w:rsidR="001C458B">
        <w:rPr>
          <w:rFonts w:ascii="Garamond" w:hAnsi="Garamond"/>
          <w:sz w:val="24"/>
          <w:szCs w:val="24"/>
          <w:lang w:val="sq-AL"/>
        </w:rPr>
        <w:t>/</w:t>
      </w:r>
      <w:r w:rsidR="00583ABC" w:rsidRPr="001C458B">
        <w:rPr>
          <w:rFonts w:ascii="Garamond" w:hAnsi="Garamond"/>
          <w:sz w:val="24"/>
          <w:szCs w:val="24"/>
          <w:lang w:val="sq-AL"/>
        </w:rPr>
        <w:t>a,</w:t>
      </w:r>
    </w:p>
    <w:p w14:paraId="693BB155" w14:textId="0227319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1C458B">
        <w:rPr>
          <w:rFonts w:ascii="Garamond" w:hAnsi="Garamond"/>
          <w:sz w:val="24"/>
          <w:szCs w:val="24"/>
          <w:lang w:val="sq-AL"/>
        </w:rPr>
        <w:t>.</w:t>
      </w:r>
      <w:r w:rsidRPr="001C458B">
        <w:rPr>
          <w:rFonts w:ascii="Garamond" w:hAnsi="Garamond"/>
          <w:sz w:val="24"/>
          <w:szCs w:val="24"/>
          <w:lang w:val="sq-AL"/>
        </w:rPr>
        <w:t xml:space="preserve"> një ekspozim i titullzuar, për të cilin banka llogarit një vlerë kapitali sipas nënparagrafit 30</w:t>
      </w:r>
      <w:r w:rsidR="001C458B">
        <w:rPr>
          <w:rFonts w:ascii="Garamond" w:hAnsi="Garamond"/>
          <w:sz w:val="24"/>
          <w:szCs w:val="24"/>
          <w:lang w:val="sq-AL"/>
        </w:rPr>
        <w:t>/</w:t>
      </w:r>
      <w:r w:rsidRPr="001C458B">
        <w:rPr>
          <w:rFonts w:ascii="Garamond" w:hAnsi="Garamond"/>
          <w:sz w:val="24"/>
          <w:szCs w:val="24"/>
          <w:lang w:val="sq-AL"/>
        </w:rPr>
        <w:t xml:space="preserve">b, </w:t>
      </w:r>
    </w:p>
    <w:p w14:paraId="320EEBA9" w14:textId="688DADD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iii</w:t>
      </w:r>
      <w:r w:rsidR="001C458B">
        <w:rPr>
          <w:rFonts w:ascii="Garamond" w:hAnsi="Garamond"/>
          <w:sz w:val="24"/>
          <w:szCs w:val="24"/>
          <w:lang w:val="sq-AL"/>
        </w:rPr>
        <w:t>.</w:t>
      </w:r>
      <w:r w:rsidRPr="001C458B">
        <w:rPr>
          <w:rFonts w:ascii="Garamond" w:hAnsi="Garamond"/>
          <w:sz w:val="24"/>
          <w:szCs w:val="24"/>
          <w:lang w:val="sq-AL"/>
        </w:rPr>
        <w:t xml:space="preserve"> një ekspozim për të cilin banka llogarit një vlerë kapitali për rrezikun e tregut, sipas nënparagrafit 30</w:t>
      </w:r>
      <w:r w:rsidR="001C458B">
        <w:rPr>
          <w:rFonts w:ascii="Garamond" w:hAnsi="Garamond"/>
          <w:sz w:val="24"/>
          <w:szCs w:val="24"/>
          <w:lang w:val="sq-AL"/>
        </w:rPr>
        <w:t>/</w:t>
      </w:r>
      <w:r w:rsidRPr="001C458B">
        <w:rPr>
          <w:rFonts w:ascii="Garamond" w:hAnsi="Garamond"/>
          <w:sz w:val="24"/>
          <w:szCs w:val="24"/>
          <w:lang w:val="sq-AL"/>
        </w:rPr>
        <w:t>c;</w:t>
      </w:r>
    </w:p>
    <w:p w14:paraId="491408C1" w14:textId="72F6DD76" w:rsidR="00583ABC" w:rsidRPr="001C458B" w:rsidRDefault="00AB0AF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i cili është dhënë për një subjekt që, si rezultat, ka një detyrim financiar ndaj bankës dhe ku ky subjekt NUK është:</w:t>
      </w:r>
    </w:p>
    <w:p w14:paraId="20A0A3B1" w14:textId="4D764EE4"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1C458B">
        <w:rPr>
          <w:rFonts w:ascii="Garamond" w:hAnsi="Garamond"/>
          <w:sz w:val="24"/>
          <w:szCs w:val="24"/>
          <w:lang w:val="sq-AL"/>
        </w:rPr>
        <w:t>.</w:t>
      </w:r>
      <w:r w:rsidRPr="001C458B">
        <w:rPr>
          <w:rFonts w:ascii="Garamond" w:hAnsi="Garamond"/>
          <w:sz w:val="24"/>
          <w:szCs w:val="24"/>
          <w:lang w:val="sq-AL"/>
        </w:rPr>
        <w:t xml:space="preserve"> një qeveri qendrore,</w:t>
      </w:r>
    </w:p>
    <w:p w14:paraId="4DB4787E" w14:textId="4FB9B5E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1C458B">
        <w:rPr>
          <w:rFonts w:ascii="Garamond" w:hAnsi="Garamond"/>
          <w:sz w:val="24"/>
          <w:szCs w:val="24"/>
          <w:lang w:val="sq-AL"/>
        </w:rPr>
        <w:t>.</w:t>
      </w:r>
      <w:r w:rsidRPr="001C458B">
        <w:rPr>
          <w:rFonts w:ascii="Garamond" w:hAnsi="Garamond"/>
          <w:sz w:val="24"/>
          <w:szCs w:val="24"/>
          <w:lang w:val="sq-AL"/>
        </w:rPr>
        <w:t xml:space="preserve"> një organizëm qeverisës lokal/rajonal,</w:t>
      </w:r>
    </w:p>
    <w:p w14:paraId="1F7F66A6" w14:textId="3FEABC8E"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iii</w:t>
      </w:r>
      <w:r w:rsidR="001C458B">
        <w:rPr>
          <w:rFonts w:ascii="Garamond" w:hAnsi="Garamond"/>
          <w:sz w:val="24"/>
          <w:szCs w:val="24"/>
          <w:lang w:val="sq-AL"/>
        </w:rPr>
        <w:t>.</w:t>
      </w:r>
      <w:r w:rsidRPr="001C458B">
        <w:rPr>
          <w:rFonts w:ascii="Garamond" w:hAnsi="Garamond"/>
          <w:sz w:val="24"/>
          <w:szCs w:val="24"/>
          <w:lang w:val="sq-AL"/>
        </w:rPr>
        <w:t xml:space="preserve"> një kompani e sektorit publik,</w:t>
      </w:r>
    </w:p>
    <w:p w14:paraId="75919EDB" w14:textId="448BE269"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iv</w:t>
      </w:r>
      <w:r w:rsidR="001C458B">
        <w:rPr>
          <w:rFonts w:ascii="Garamond" w:hAnsi="Garamond"/>
          <w:sz w:val="24"/>
          <w:szCs w:val="24"/>
          <w:lang w:val="sq-AL"/>
        </w:rPr>
        <w:t>.</w:t>
      </w:r>
      <w:r w:rsidRPr="001C458B">
        <w:rPr>
          <w:rFonts w:ascii="Garamond" w:hAnsi="Garamond"/>
          <w:sz w:val="24"/>
          <w:szCs w:val="24"/>
          <w:lang w:val="sq-AL"/>
        </w:rPr>
        <w:t xml:space="preserve"> një bankë zhvillimi,</w:t>
      </w:r>
    </w:p>
    <w:p w14:paraId="6E882C5F" w14:textId="6A60D132"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v</w:t>
      </w:r>
      <w:r w:rsidR="001C458B">
        <w:rPr>
          <w:rFonts w:ascii="Garamond" w:hAnsi="Garamond"/>
          <w:sz w:val="24"/>
          <w:szCs w:val="24"/>
          <w:lang w:val="sq-AL"/>
        </w:rPr>
        <w:t>.</w:t>
      </w:r>
      <w:r w:rsidRPr="001C458B">
        <w:rPr>
          <w:rFonts w:ascii="Garamond" w:hAnsi="Garamond"/>
          <w:sz w:val="24"/>
          <w:szCs w:val="24"/>
          <w:lang w:val="sq-AL"/>
        </w:rPr>
        <w:t xml:space="preserve"> një bankë.</w:t>
      </w:r>
    </w:p>
    <w:p w14:paraId="791B193E"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këtë rregullore do të shënohet me akronimin “EPSHK”.</w:t>
      </w:r>
    </w:p>
    <w:p w14:paraId="1FA44C8C"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30. </w:t>
      </w:r>
      <w:r w:rsidRPr="001C458B">
        <w:rPr>
          <w:rFonts w:ascii="Garamond" w:hAnsi="Garamond"/>
          <w:b/>
          <w:sz w:val="24"/>
          <w:szCs w:val="24"/>
          <w:lang w:val="sq-AL"/>
        </w:rPr>
        <w:t>Kërkesa për kapital</w:t>
      </w:r>
      <w:r w:rsidRPr="001C458B">
        <w:rPr>
          <w:rFonts w:ascii="Garamond" w:hAnsi="Garamond"/>
          <w:sz w:val="24"/>
          <w:szCs w:val="24"/>
          <w:lang w:val="sq-AL"/>
        </w:rPr>
        <w:t xml:space="preserve"> – në këtë rregullore: </w:t>
      </w:r>
    </w:p>
    <w:p w14:paraId="7D19556C" w14:textId="2D586C6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për EPSHK-të</w:t>
      </w:r>
      <w:r w:rsidR="00D24D64">
        <w:rPr>
          <w:rFonts w:ascii="Garamond" w:hAnsi="Garamond"/>
          <w:sz w:val="24"/>
          <w:szCs w:val="24"/>
          <w:lang w:val="sq-AL"/>
        </w:rPr>
        <w:t xml:space="preserve"> e bankës, sipas nënparagrafit 29/a/i</w:t>
      </w:r>
      <w:r w:rsidRPr="001C458B">
        <w:rPr>
          <w:rFonts w:ascii="Garamond" w:hAnsi="Garamond"/>
          <w:sz w:val="24"/>
          <w:szCs w:val="24"/>
          <w:lang w:val="sq-AL"/>
        </w:rPr>
        <w:t>, është kërkesa për kapital për rrezikun e kredisë, sipas rregullores nr</w:t>
      </w:r>
      <w:r w:rsidR="00D24D64">
        <w:rPr>
          <w:rFonts w:ascii="Garamond" w:hAnsi="Garamond"/>
          <w:sz w:val="24"/>
          <w:szCs w:val="24"/>
          <w:lang w:val="sq-AL"/>
        </w:rPr>
        <w:t>. 48/2013: neni 6, paragrafi 1/a, neni 7, paragrafi 2/a</w:t>
      </w:r>
      <w:r w:rsidRPr="001C458B">
        <w:rPr>
          <w:rFonts w:ascii="Garamond" w:hAnsi="Garamond"/>
          <w:sz w:val="24"/>
          <w:szCs w:val="24"/>
          <w:lang w:val="sq-AL"/>
        </w:rPr>
        <w:t xml:space="preserve">, por duke përjashtuar rrezikun e kreditit të kundërpartisë, si edhe sipas </w:t>
      </w:r>
      <w:r w:rsidR="00E877E5">
        <w:rPr>
          <w:rFonts w:ascii="Garamond" w:hAnsi="Garamond"/>
          <w:sz w:val="24"/>
          <w:szCs w:val="24"/>
          <w:lang w:val="sq-AL"/>
        </w:rPr>
        <w:t>k</w:t>
      </w:r>
      <w:r w:rsidRPr="001C458B">
        <w:rPr>
          <w:rFonts w:ascii="Garamond" w:hAnsi="Garamond"/>
          <w:sz w:val="24"/>
          <w:szCs w:val="24"/>
          <w:lang w:val="sq-AL"/>
        </w:rPr>
        <w:t>reut III;</w:t>
      </w:r>
    </w:p>
    <w:p w14:paraId="4FEF03C6" w14:textId="5CB1F288"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për EPSHK-të e b</w:t>
      </w:r>
      <w:r w:rsidR="00D24D64">
        <w:rPr>
          <w:rFonts w:ascii="Garamond" w:hAnsi="Garamond"/>
          <w:sz w:val="24"/>
          <w:szCs w:val="24"/>
          <w:lang w:val="sq-AL"/>
        </w:rPr>
        <w:t>ankës, sipas nënparagrafit 29/a/ii</w:t>
      </w:r>
      <w:r w:rsidRPr="001C458B">
        <w:rPr>
          <w:rFonts w:ascii="Garamond" w:hAnsi="Garamond"/>
          <w:sz w:val="24"/>
          <w:szCs w:val="24"/>
          <w:lang w:val="sq-AL"/>
        </w:rPr>
        <w:t xml:space="preserve">, është kërkesa për kapital sipas rregullores nr. 48/2013, </w:t>
      </w:r>
      <w:r w:rsidR="00E877E5">
        <w:rPr>
          <w:rFonts w:ascii="Garamond" w:hAnsi="Garamond"/>
          <w:sz w:val="24"/>
          <w:szCs w:val="24"/>
          <w:lang w:val="sq-AL"/>
        </w:rPr>
        <w:t>k</w:t>
      </w:r>
      <w:r w:rsidRPr="001C458B">
        <w:rPr>
          <w:rFonts w:ascii="Garamond" w:hAnsi="Garamond"/>
          <w:sz w:val="24"/>
          <w:szCs w:val="24"/>
          <w:lang w:val="sq-AL"/>
        </w:rPr>
        <w:t>reu V;</w:t>
      </w:r>
    </w:p>
    <w:p w14:paraId="1F70A05E" w14:textId="71FD2EA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për EPSHK-të e b</w:t>
      </w:r>
      <w:r w:rsidR="00D24D64">
        <w:rPr>
          <w:rFonts w:ascii="Garamond" w:hAnsi="Garamond"/>
          <w:sz w:val="24"/>
          <w:szCs w:val="24"/>
          <w:lang w:val="sq-AL"/>
        </w:rPr>
        <w:t>ankës, sipas nënparagrafit 29/a/iii</w:t>
      </w:r>
      <w:r w:rsidRPr="001C458B">
        <w:rPr>
          <w:rFonts w:ascii="Garamond" w:hAnsi="Garamond"/>
          <w:sz w:val="24"/>
          <w:szCs w:val="24"/>
          <w:lang w:val="sq-AL"/>
        </w:rPr>
        <w:t>, është kërkesa për kapital për rrezikun e tregut, sipas rregullores nr</w:t>
      </w:r>
      <w:r w:rsidR="00D24D64">
        <w:rPr>
          <w:rFonts w:ascii="Garamond" w:hAnsi="Garamond"/>
          <w:sz w:val="24"/>
          <w:szCs w:val="24"/>
          <w:lang w:val="sq-AL"/>
        </w:rPr>
        <w:t>. 48/2013: neni 6 paragrafi 1/b, neni 7, paragrafi 2/b</w:t>
      </w:r>
      <w:r w:rsidRPr="001C458B">
        <w:rPr>
          <w:rFonts w:ascii="Garamond" w:hAnsi="Garamond"/>
          <w:sz w:val="24"/>
          <w:szCs w:val="24"/>
          <w:lang w:val="sq-AL"/>
        </w:rPr>
        <w:t xml:space="preserve">, dhe </w:t>
      </w:r>
      <w:r w:rsidR="00E877E5">
        <w:rPr>
          <w:rFonts w:ascii="Garamond" w:hAnsi="Garamond"/>
          <w:sz w:val="24"/>
          <w:szCs w:val="24"/>
          <w:lang w:val="sq-AL"/>
        </w:rPr>
        <w:t>k</w:t>
      </w:r>
      <w:r w:rsidRPr="001C458B">
        <w:rPr>
          <w:rFonts w:ascii="Garamond" w:hAnsi="Garamond"/>
          <w:sz w:val="24"/>
          <w:szCs w:val="24"/>
          <w:lang w:val="sq-AL"/>
        </w:rPr>
        <w:t>reut VII, ku kërkesa për kapital do të mbulojë vetëm rrezikun specifik në instrumentet e borxhit dhe në instrumentet financiare, vlera e të cilave varet nga faktorë që lidhen me gjendjen individuale të emetuesit, duke përfshirë edhe instrumentet derivativë të kreditit.</w:t>
      </w:r>
    </w:p>
    <w:p w14:paraId="3EC4FD08"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këtë rregullore do të shënohet me akronimin “KPK”.</w:t>
      </w:r>
    </w:p>
    <w:p w14:paraId="262BEF4E"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31. </w:t>
      </w:r>
      <w:r w:rsidRPr="001C458B">
        <w:rPr>
          <w:rFonts w:ascii="Garamond" w:hAnsi="Garamond"/>
          <w:b/>
          <w:sz w:val="24"/>
          <w:szCs w:val="24"/>
          <w:lang w:val="sq-AL"/>
        </w:rPr>
        <w:t>Rrezik përfundimtar</w:t>
      </w:r>
      <w:r w:rsidRPr="001C458B">
        <w:rPr>
          <w:rFonts w:ascii="Garamond" w:hAnsi="Garamond"/>
          <w:sz w:val="24"/>
          <w:szCs w:val="24"/>
          <w:lang w:val="sq-AL"/>
        </w:rPr>
        <w:t xml:space="preserve"> - sipas kësaj rregulloreje, ka kuptimin e identifikimit të subjektit që mban i fundit rrezikun që shoqëron një EPSHK (për shembull, huamarrësi, në rastin e një ekspozimi të pagarantuar; ose lëshuesi/zotëruesi i garancisë/kolateralit, në rastin e një ekspozimi të garantuar).</w:t>
      </w:r>
    </w:p>
    <w:p w14:paraId="7E883D2D"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32. </w:t>
      </w:r>
      <w:r w:rsidRPr="001C458B">
        <w:rPr>
          <w:rFonts w:ascii="Garamond" w:hAnsi="Garamond"/>
          <w:b/>
          <w:sz w:val="24"/>
          <w:szCs w:val="24"/>
          <w:lang w:val="sq-AL"/>
        </w:rPr>
        <w:t>Lokalizim i rrezikut përfundimtar</w:t>
      </w:r>
      <w:r w:rsidRPr="001C458B">
        <w:rPr>
          <w:rFonts w:ascii="Garamond" w:hAnsi="Garamond"/>
          <w:sz w:val="24"/>
          <w:szCs w:val="24"/>
          <w:lang w:val="sq-AL"/>
        </w:rPr>
        <w:t xml:space="preserve"> - për qëllimin e identifikimit të AKUNC-it, ka kuptimin e juridiksionit ku është vendosur subjekti që mban i fundit rrezikun e EPSHK-së (që ka detyrimin ndaj bankës).</w:t>
      </w:r>
    </w:p>
    <w:p w14:paraId="4B9FF03E" w14:textId="038CA59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33. </w:t>
      </w:r>
      <w:r w:rsidRPr="001C458B">
        <w:rPr>
          <w:rFonts w:ascii="Garamond" w:hAnsi="Garamond"/>
          <w:b/>
          <w:sz w:val="24"/>
          <w:szCs w:val="24"/>
          <w:lang w:val="sq-AL"/>
        </w:rPr>
        <w:t>Juridiksioni ku është vendosur subjekti që mban i fundit rrezikun e EPSHK-ve</w:t>
      </w:r>
      <w:r w:rsidRPr="001C458B">
        <w:rPr>
          <w:rFonts w:ascii="Garamond" w:hAnsi="Garamond"/>
          <w:sz w:val="24"/>
          <w:szCs w:val="24"/>
          <w:lang w:val="sq-AL"/>
        </w:rPr>
        <w:t xml:space="preserve"> - duke konsideruar më parë pikat </w:t>
      </w:r>
      <w:r w:rsidR="00E877E5">
        <w:rPr>
          <w:rFonts w:ascii="Garamond" w:hAnsi="Garamond"/>
          <w:sz w:val="24"/>
          <w:szCs w:val="24"/>
          <w:lang w:val="sq-AL"/>
        </w:rPr>
        <w:t>“</w:t>
      </w:r>
      <w:r w:rsidRPr="001C458B">
        <w:rPr>
          <w:rFonts w:ascii="Garamond" w:hAnsi="Garamond"/>
          <w:sz w:val="24"/>
          <w:szCs w:val="24"/>
          <w:lang w:val="sq-AL"/>
        </w:rPr>
        <w:t>c</w:t>
      </w:r>
      <w:r w:rsidR="00E877E5">
        <w:rPr>
          <w:rFonts w:ascii="Garamond" w:hAnsi="Garamond"/>
          <w:sz w:val="24"/>
          <w:szCs w:val="24"/>
          <w:lang w:val="sq-AL"/>
        </w:rPr>
        <w:t>”</w:t>
      </w:r>
      <w:r w:rsidRPr="001C458B">
        <w:rPr>
          <w:rFonts w:ascii="Garamond" w:hAnsi="Garamond"/>
          <w:sz w:val="24"/>
          <w:szCs w:val="24"/>
          <w:lang w:val="sq-AL"/>
        </w:rPr>
        <w:t xml:space="preserve"> dhe </w:t>
      </w:r>
      <w:r w:rsidR="00E877E5">
        <w:rPr>
          <w:rFonts w:ascii="Garamond" w:hAnsi="Garamond"/>
          <w:sz w:val="24"/>
          <w:szCs w:val="24"/>
          <w:lang w:val="sq-AL"/>
        </w:rPr>
        <w:t>“</w:t>
      </w:r>
      <w:r w:rsidRPr="001C458B">
        <w:rPr>
          <w:rFonts w:ascii="Garamond" w:hAnsi="Garamond"/>
          <w:sz w:val="24"/>
          <w:szCs w:val="24"/>
          <w:lang w:val="sq-AL"/>
        </w:rPr>
        <w:t>d</w:t>
      </w:r>
      <w:r w:rsidR="00E877E5">
        <w:rPr>
          <w:rFonts w:ascii="Garamond" w:hAnsi="Garamond"/>
          <w:sz w:val="24"/>
          <w:szCs w:val="24"/>
          <w:lang w:val="sq-AL"/>
        </w:rPr>
        <w:t>”</w:t>
      </w:r>
      <w:r w:rsidRPr="001C458B">
        <w:rPr>
          <w:rFonts w:ascii="Garamond" w:hAnsi="Garamond"/>
          <w:sz w:val="24"/>
          <w:szCs w:val="24"/>
          <w:lang w:val="sq-AL"/>
        </w:rPr>
        <w:t>, ka kuptimin e:</w:t>
      </w:r>
    </w:p>
    <w:p w14:paraId="51D04EF8" w14:textId="1EBC6B5F"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në rastin kur subjekti është person fizik, juridiksionit ku subjekti është rezident;</w:t>
      </w:r>
    </w:p>
    <w:p w14:paraId="3F724EC5" w14:textId="3D6FD9B4"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në rastin kur subjekti është person juridik:</w:t>
      </w:r>
    </w:p>
    <w:p w14:paraId="1F44AAC5" w14:textId="3E060CA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E877E5">
        <w:rPr>
          <w:rFonts w:ascii="Garamond" w:hAnsi="Garamond"/>
          <w:sz w:val="24"/>
          <w:szCs w:val="24"/>
          <w:lang w:val="sq-AL"/>
        </w:rPr>
        <w:t>.</w:t>
      </w:r>
      <w:r w:rsidRPr="001C458B">
        <w:rPr>
          <w:rFonts w:ascii="Garamond" w:hAnsi="Garamond"/>
          <w:sz w:val="24"/>
          <w:szCs w:val="24"/>
          <w:lang w:val="sq-AL"/>
        </w:rPr>
        <w:t xml:space="preserve"> juridiksionit ku subjekti është i licencuar/i regjistruar për veprimtarinë e tij, ose</w:t>
      </w:r>
    </w:p>
    <w:p w14:paraId="2857FAD2" w14:textId="1CC22D24"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E877E5">
        <w:rPr>
          <w:rFonts w:ascii="Garamond" w:hAnsi="Garamond"/>
          <w:sz w:val="24"/>
          <w:szCs w:val="24"/>
          <w:lang w:val="sq-AL"/>
        </w:rPr>
        <w:t>.</w:t>
      </w:r>
      <w:r w:rsidRPr="001C458B">
        <w:rPr>
          <w:rFonts w:ascii="Garamond" w:hAnsi="Garamond"/>
          <w:sz w:val="24"/>
          <w:szCs w:val="24"/>
          <w:lang w:val="sq-AL"/>
        </w:rPr>
        <w:t xml:space="preserve"> juridiksionit ku është vendosur drejtoria qendrore e administrimit të subjektit, nëse ky juridiksion është i ndryshëm nga ai i nënpikës </w:t>
      </w:r>
      <w:r w:rsidR="00E877E5">
        <w:rPr>
          <w:rFonts w:ascii="Garamond" w:hAnsi="Garamond"/>
          <w:sz w:val="24"/>
          <w:szCs w:val="24"/>
          <w:lang w:val="sq-AL"/>
        </w:rPr>
        <w:t>“</w:t>
      </w:r>
      <w:r w:rsidRPr="001C458B">
        <w:rPr>
          <w:rFonts w:ascii="Garamond" w:hAnsi="Garamond"/>
          <w:sz w:val="24"/>
          <w:szCs w:val="24"/>
          <w:lang w:val="sq-AL"/>
        </w:rPr>
        <w:t>i</w:t>
      </w:r>
      <w:r w:rsidR="00E877E5">
        <w:rPr>
          <w:rFonts w:ascii="Garamond" w:hAnsi="Garamond"/>
          <w:sz w:val="24"/>
          <w:szCs w:val="24"/>
          <w:lang w:val="sq-AL"/>
        </w:rPr>
        <w:t>”</w:t>
      </w:r>
      <w:r w:rsidRPr="001C458B">
        <w:rPr>
          <w:rFonts w:ascii="Garamond" w:hAnsi="Garamond"/>
          <w:sz w:val="24"/>
          <w:szCs w:val="24"/>
          <w:lang w:val="sq-AL"/>
        </w:rPr>
        <w:t>;</w:t>
      </w:r>
    </w:p>
    <w:p w14:paraId="523E070E" w14:textId="7ED6D092"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në rastin kur ekspozimi i kreditit është i specializuar (për shembull në rastin e proje</w:t>
      </w:r>
      <w:r w:rsidR="00E877E5">
        <w:rPr>
          <w:rFonts w:ascii="Garamond" w:hAnsi="Garamond"/>
          <w:sz w:val="24"/>
          <w:szCs w:val="24"/>
          <w:lang w:val="sq-AL"/>
        </w:rPr>
        <w:t>k</w:t>
      </w:r>
      <w:r w:rsidRPr="001C458B">
        <w:rPr>
          <w:rFonts w:ascii="Garamond" w:hAnsi="Garamond"/>
          <w:sz w:val="24"/>
          <w:szCs w:val="24"/>
          <w:lang w:val="sq-AL"/>
        </w:rPr>
        <w:t>t finance):</w:t>
      </w:r>
    </w:p>
    <w:p w14:paraId="30A189D7" w14:textId="0058E09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E877E5">
        <w:rPr>
          <w:rFonts w:ascii="Garamond" w:hAnsi="Garamond"/>
          <w:sz w:val="24"/>
          <w:szCs w:val="24"/>
          <w:lang w:val="sq-AL"/>
        </w:rPr>
        <w:t>.</w:t>
      </w:r>
      <w:r w:rsidRPr="001C458B">
        <w:rPr>
          <w:rFonts w:ascii="Garamond" w:hAnsi="Garamond"/>
          <w:sz w:val="24"/>
          <w:szCs w:val="24"/>
          <w:lang w:val="sq-AL"/>
        </w:rPr>
        <w:t xml:space="preserve"> juridiksionit nga ku gjenerohen të ardhurat kryesore të projektit, ose</w:t>
      </w:r>
    </w:p>
    <w:p w14:paraId="4031CA35" w14:textId="52092D1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E877E5">
        <w:rPr>
          <w:rFonts w:ascii="Garamond" w:hAnsi="Garamond"/>
          <w:sz w:val="24"/>
          <w:szCs w:val="24"/>
          <w:lang w:val="sq-AL"/>
        </w:rPr>
        <w:t>.</w:t>
      </w:r>
      <w:r w:rsidRPr="001C458B">
        <w:rPr>
          <w:rFonts w:ascii="Garamond" w:hAnsi="Garamond"/>
          <w:sz w:val="24"/>
          <w:szCs w:val="24"/>
          <w:lang w:val="sq-AL"/>
        </w:rPr>
        <w:t xml:space="preserve"> juridiksionit ku janë të vendosura (të regjistruara) asetet që shërbejnë si kolateral për projektin (nëse ky juridiksion është i ndryshëm nga ai i nënpikës </w:t>
      </w:r>
      <w:r w:rsidR="00E877E5">
        <w:rPr>
          <w:rFonts w:ascii="Garamond" w:hAnsi="Garamond"/>
          <w:sz w:val="24"/>
          <w:szCs w:val="24"/>
          <w:lang w:val="sq-AL"/>
        </w:rPr>
        <w:t>“</w:t>
      </w:r>
      <w:r w:rsidRPr="001C458B">
        <w:rPr>
          <w:rFonts w:ascii="Garamond" w:hAnsi="Garamond"/>
          <w:sz w:val="24"/>
          <w:szCs w:val="24"/>
          <w:lang w:val="sq-AL"/>
        </w:rPr>
        <w:t>i</w:t>
      </w:r>
      <w:r w:rsidR="00E877E5">
        <w:rPr>
          <w:rFonts w:ascii="Garamond" w:hAnsi="Garamond"/>
          <w:sz w:val="24"/>
          <w:szCs w:val="24"/>
          <w:lang w:val="sq-AL"/>
        </w:rPr>
        <w:t>”</w:t>
      </w:r>
      <w:r w:rsidRPr="001C458B">
        <w:rPr>
          <w:rFonts w:ascii="Garamond" w:hAnsi="Garamond"/>
          <w:sz w:val="24"/>
          <w:szCs w:val="24"/>
          <w:lang w:val="sq-AL"/>
        </w:rPr>
        <w:t xml:space="preserve">; </w:t>
      </w:r>
    </w:p>
    <w:p w14:paraId="51272992" w14:textId="67D9A440"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 juridiksionit të bankës ku është kontabilizuar ekspozimi i kreditit ndaj subjektit privat, nëse plotësohet parashikimi i nenit 13, paragrafi 6.</w:t>
      </w:r>
      <w:r w:rsidRPr="001C458B">
        <w:rPr>
          <w:rFonts w:ascii="Garamond" w:hAnsi="Garamond"/>
          <w:sz w:val="24"/>
          <w:szCs w:val="24"/>
          <w:lang w:val="sq-AL"/>
        </w:rPr>
        <w:tab/>
      </w:r>
    </w:p>
    <w:p w14:paraId="6672A978"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34. </w:t>
      </w:r>
      <w:r w:rsidRPr="001C458B">
        <w:rPr>
          <w:rFonts w:ascii="Garamond" w:hAnsi="Garamond"/>
          <w:b/>
          <w:sz w:val="24"/>
          <w:szCs w:val="24"/>
          <w:lang w:val="sq-AL"/>
        </w:rPr>
        <w:t>Juridiksion i huaj</w:t>
      </w:r>
      <w:r w:rsidRPr="001C458B">
        <w:rPr>
          <w:rFonts w:ascii="Garamond" w:hAnsi="Garamond"/>
          <w:sz w:val="24"/>
          <w:szCs w:val="24"/>
          <w:lang w:val="sq-AL"/>
        </w:rPr>
        <w:t xml:space="preserve"> - në këtë rregullore ka kuptimin e e një shteti apo territori të ndryshëm nga Shqipëria, ku një bankë e licencuar në Shqipëri ka EPSHK.</w:t>
      </w:r>
    </w:p>
    <w:p w14:paraId="57DC3BDB" w14:textId="46F9C16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35. </w:t>
      </w:r>
      <w:r w:rsidRPr="001C458B">
        <w:rPr>
          <w:rFonts w:ascii="Garamond" w:hAnsi="Garamond"/>
          <w:b/>
          <w:sz w:val="24"/>
          <w:szCs w:val="24"/>
          <w:lang w:val="sq-AL"/>
        </w:rPr>
        <w:t>Autoriteti përgjegjës i huaj</w:t>
      </w:r>
      <w:r w:rsidRPr="001C458B">
        <w:rPr>
          <w:rFonts w:ascii="Garamond" w:hAnsi="Garamond"/>
          <w:sz w:val="24"/>
          <w:szCs w:val="24"/>
          <w:lang w:val="sq-AL"/>
        </w:rPr>
        <w:t xml:space="preserve"> - ka kuptimin e autoritetit publik në juridiksionin e huaj, i cili ka përgjegjësinë ligjore ose rregullative të vendosë normën e KUNC-it. Kur juridiksioni i huaj është vend që i përket (anëtar i) Zonës Ekonomike Evropiane, atëherë autoriteti përgjegjës mund të jetë Banka Qendrore Evropiane kur ajo vepron në përputhje me rregulloren e Këshillit Evropian nr. 1024/2013, neni 5, paragrafi 2.</w:t>
      </w:r>
    </w:p>
    <w:p w14:paraId="36F1238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36. </w:t>
      </w:r>
      <w:r w:rsidRPr="001C458B">
        <w:rPr>
          <w:rFonts w:ascii="Garamond" w:hAnsi="Garamond"/>
          <w:b/>
          <w:sz w:val="24"/>
          <w:szCs w:val="24"/>
          <w:lang w:val="sq-AL"/>
        </w:rPr>
        <w:t>Bordi Evropian i Rrezikut Sistemik</w:t>
      </w:r>
      <w:r w:rsidRPr="001C458B">
        <w:rPr>
          <w:rFonts w:ascii="Garamond" w:hAnsi="Garamond"/>
          <w:sz w:val="24"/>
          <w:szCs w:val="24"/>
          <w:lang w:val="sq-AL"/>
        </w:rPr>
        <w:t xml:space="preserve"> - është institucioni që funksionon sipas rregullores  nr. 1092/2010 të datës 24.11.2010 të Parlamentit Evropian dhe të mbikëqyrjes makroprudenciale të Këshillit të Bashkimit Evropian për sistemin financiar. Në këtë rregullore do të shënohet me akronimin “BERRS”.</w:t>
      </w:r>
    </w:p>
    <w:p w14:paraId="5BED3CF3" w14:textId="1CDAC6A1"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37. </w:t>
      </w:r>
      <w:r w:rsidR="00583ABC" w:rsidRPr="001C458B">
        <w:rPr>
          <w:rFonts w:ascii="Garamond" w:hAnsi="Garamond"/>
          <w:b/>
          <w:sz w:val="24"/>
          <w:szCs w:val="24"/>
          <w:lang w:val="sq-AL"/>
        </w:rPr>
        <w:t>STRUK i aplikuar</w:t>
      </w:r>
      <w:r w:rsidR="00583ABC" w:rsidRPr="001C458B">
        <w:rPr>
          <w:rFonts w:ascii="Garamond" w:hAnsi="Garamond"/>
          <w:sz w:val="24"/>
          <w:szCs w:val="24"/>
          <w:lang w:val="sq-AL"/>
        </w:rPr>
        <w:t xml:space="preserve"> - është niveli i aplikuar i STRUK-ut, i cili përcaktohet sipas nenit 15. Në këtë rregullore do të shënohet me akronimin “ASTRUK”. </w:t>
      </w:r>
    </w:p>
    <w:p w14:paraId="61F2A854" w14:textId="49BEE149" w:rsidR="00583ABC" w:rsidRPr="001C458B" w:rsidRDefault="00D21136" w:rsidP="003D1B12">
      <w:pPr>
        <w:spacing w:after="0" w:line="240" w:lineRule="auto"/>
        <w:ind w:firstLine="284"/>
        <w:jc w:val="both"/>
        <w:rPr>
          <w:rFonts w:ascii="Garamond" w:hAnsi="Garamond"/>
          <w:sz w:val="24"/>
          <w:szCs w:val="24"/>
          <w:lang w:val="sq-AL"/>
        </w:rPr>
      </w:pPr>
      <w:r w:rsidRPr="00E877E5">
        <w:rPr>
          <w:rFonts w:ascii="Garamond" w:hAnsi="Garamond"/>
          <w:sz w:val="24"/>
          <w:szCs w:val="24"/>
          <w:highlight w:val="yellow"/>
          <w:lang w:val="sq-AL"/>
        </w:rPr>
        <w:t>(2)</w:t>
      </w:r>
      <w:r w:rsidRPr="001C458B">
        <w:rPr>
          <w:rFonts w:ascii="Garamond" w:hAnsi="Garamond"/>
          <w:sz w:val="24"/>
          <w:szCs w:val="24"/>
          <w:lang w:val="sq-AL"/>
        </w:rPr>
        <w:t xml:space="preserve"> </w:t>
      </w:r>
      <w:r w:rsidR="00583ABC" w:rsidRPr="001C458B">
        <w:rPr>
          <w:rFonts w:ascii="Garamond" w:hAnsi="Garamond"/>
          <w:sz w:val="24"/>
          <w:szCs w:val="24"/>
          <w:lang w:val="sq-AL"/>
        </w:rPr>
        <w:t>Në këtë rregullore, sa herë përmenden termat “SHMAK”, “SHKOMAK”, “KONS”, “KUNC”, “AKUNC”, “SPEKUNC”, “SIST”, “STRUK” dhe “ASTRUK”, do të kuptohet, sipas rastit, niveli ose norma në përqindje e secilit prej tyre.</w:t>
      </w:r>
    </w:p>
    <w:p w14:paraId="22043006" w14:textId="77777777" w:rsidR="00583ABC" w:rsidRPr="001C458B" w:rsidRDefault="00583ABC" w:rsidP="003D1B12">
      <w:pPr>
        <w:spacing w:after="0" w:line="240" w:lineRule="auto"/>
        <w:ind w:firstLine="284"/>
        <w:jc w:val="both"/>
        <w:rPr>
          <w:rFonts w:ascii="Garamond" w:hAnsi="Garamond"/>
          <w:sz w:val="24"/>
          <w:szCs w:val="24"/>
          <w:lang w:val="sq-AL"/>
        </w:rPr>
      </w:pPr>
    </w:p>
    <w:p w14:paraId="15B30F0E"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5</w:t>
      </w:r>
    </w:p>
    <w:p w14:paraId="11553A65" w14:textId="77777777" w:rsidR="00583ABC" w:rsidRPr="001C458B" w:rsidRDefault="00583ABC" w:rsidP="00D21136">
      <w:pPr>
        <w:spacing w:after="0" w:line="240" w:lineRule="auto"/>
        <w:jc w:val="center"/>
        <w:rPr>
          <w:rFonts w:ascii="Garamond" w:hAnsi="Garamond"/>
          <w:sz w:val="24"/>
          <w:szCs w:val="24"/>
          <w:lang w:val="sq-AL"/>
        </w:rPr>
      </w:pPr>
      <w:r w:rsidRPr="0011574C">
        <w:rPr>
          <w:rFonts w:ascii="Garamond" w:hAnsi="Garamond"/>
          <w:b/>
          <w:sz w:val="24"/>
          <w:szCs w:val="24"/>
          <w:lang w:val="sq-AL"/>
        </w:rPr>
        <w:t>Përjashtime</w:t>
      </w:r>
    </w:p>
    <w:p w14:paraId="0DADF1E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p>
    <w:p w14:paraId="65263A7B" w14:textId="18F31E79" w:rsidR="00583ABC" w:rsidRPr="001C458B" w:rsidRDefault="00D24D64"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583ABC" w:rsidRPr="001C458B">
        <w:rPr>
          <w:rFonts w:ascii="Garamond" w:hAnsi="Garamond"/>
          <w:sz w:val="24"/>
          <w:szCs w:val="24"/>
          <w:lang w:val="sq-AL"/>
        </w:rPr>
        <w:t>Pavarësisht përcaktimit në nenin 2</w:t>
      </w:r>
      <w:r w:rsidR="0011574C">
        <w:rPr>
          <w:rFonts w:ascii="Garamond" w:hAnsi="Garamond"/>
          <w:sz w:val="24"/>
          <w:szCs w:val="24"/>
          <w:lang w:val="sq-AL"/>
        </w:rPr>
        <w:t>/</w:t>
      </w:r>
      <w:r w:rsidR="00583ABC" w:rsidRPr="001C458B">
        <w:rPr>
          <w:rFonts w:ascii="Garamond" w:hAnsi="Garamond"/>
          <w:sz w:val="24"/>
          <w:szCs w:val="24"/>
          <w:lang w:val="sq-AL"/>
        </w:rPr>
        <w:t>a, me kërkesë të bankës, Banka e Shqipërisë mund të përjashtojë banka me karakteristika të caktuara nga zbatimi i SHMAK-ut, kur përjashtimi nuk dobëson stabilitetin e sistemit financiar në vend.</w:t>
      </w:r>
    </w:p>
    <w:p w14:paraId="042616CE" w14:textId="6D90B290" w:rsidR="00583ABC" w:rsidRPr="001C458B" w:rsidRDefault="00D24D64"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583ABC" w:rsidRPr="001C458B">
        <w:rPr>
          <w:rFonts w:ascii="Garamond" w:hAnsi="Garamond"/>
          <w:sz w:val="24"/>
          <w:szCs w:val="24"/>
          <w:lang w:val="sq-AL"/>
        </w:rPr>
        <w:t>Nëse Banka e Shqipërisë do ta zbatojë përjashtimin sipas paragrafit 1, vendimi i saj:</w:t>
      </w:r>
    </w:p>
    <w:p w14:paraId="3A0372A7" w14:textId="631F31B3" w:rsidR="00583ABC" w:rsidRPr="001C458B" w:rsidRDefault="00D24D64" w:rsidP="003D1B12">
      <w:pPr>
        <w:spacing w:after="0" w:line="240" w:lineRule="auto"/>
        <w:ind w:firstLine="284"/>
        <w:jc w:val="both"/>
        <w:rPr>
          <w:rFonts w:ascii="Garamond" w:hAnsi="Garamond"/>
          <w:sz w:val="24"/>
          <w:szCs w:val="24"/>
          <w:lang w:val="sq-AL"/>
        </w:rPr>
      </w:pPr>
      <w:r w:rsidRPr="001E1203">
        <w:rPr>
          <w:rFonts w:ascii="Garamond" w:hAnsi="Garamond"/>
          <w:sz w:val="24"/>
          <w:szCs w:val="24"/>
          <w:lang w:val="sq-AL"/>
        </w:rPr>
        <w:t xml:space="preserve">a) </w:t>
      </w:r>
      <w:r w:rsidR="00583ABC" w:rsidRPr="001E1203">
        <w:rPr>
          <w:rFonts w:ascii="Garamond" w:hAnsi="Garamond"/>
          <w:sz w:val="24"/>
          <w:szCs w:val="24"/>
          <w:lang w:val="sq-AL"/>
        </w:rPr>
        <w:t xml:space="preserve">do </w:t>
      </w:r>
      <w:r w:rsidR="00583ABC" w:rsidRPr="001C458B">
        <w:rPr>
          <w:rFonts w:ascii="Garamond" w:hAnsi="Garamond"/>
          <w:sz w:val="24"/>
          <w:szCs w:val="24"/>
          <w:lang w:val="sq-AL"/>
        </w:rPr>
        <w:t>të identifikojë bankën ose bankat që përjashtohen;</w:t>
      </w:r>
    </w:p>
    <w:p w14:paraId="31523887" w14:textId="3EC295BD" w:rsidR="00583ABC" w:rsidRPr="001C458B" w:rsidRDefault="00D24D64" w:rsidP="003D1B12">
      <w:pPr>
        <w:spacing w:after="0" w:line="240" w:lineRule="auto"/>
        <w:ind w:firstLine="284"/>
        <w:jc w:val="both"/>
        <w:rPr>
          <w:rFonts w:ascii="Garamond" w:hAnsi="Garamond"/>
          <w:sz w:val="24"/>
          <w:szCs w:val="24"/>
          <w:lang w:val="sq-AL"/>
        </w:rPr>
      </w:pPr>
      <w:r w:rsidRPr="001E1203">
        <w:rPr>
          <w:rFonts w:ascii="Garamond" w:hAnsi="Garamond"/>
          <w:sz w:val="24"/>
          <w:szCs w:val="24"/>
          <w:lang w:val="sq-AL"/>
        </w:rPr>
        <w:t xml:space="preserve">b) </w:t>
      </w:r>
      <w:r w:rsidR="00583ABC" w:rsidRPr="001E1203">
        <w:rPr>
          <w:rFonts w:ascii="Garamond" w:hAnsi="Garamond"/>
          <w:sz w:val="24"/>
          <w:szCs w:val="24"/>
          <w:lang w:val="sq-AL"/>
        </w:rPr>
        <w:t>do të</w:t>
      </w:r>
      <w:r w:rsidR="00583ABC" w:rsidRPr="001C458B">
        <w:rPr>
          <w:rFonts w:ascii="Garamond" w:hAnsi="Garamond"/>
          <w:sz w:val="24"/>
          <w:szCs w:val="24"/>
          <w:lang w:val="sq-AL"/>
        </w:rPr>
        <w:t xml:space="preserve"> jetë i arsyetuar për përzgjedhjen;</w:t>
      </w:r>
    </w:p>
    <w:p w14:paraId="3A4F4DF0" w14:textId="49F75B36" w:rsidR="00583ABC" w:rsidRPr="001C458B" w:rsidRDefault="00D24D64" w:rsidP="003D1B12">
      <w:pPr>
        <w:spacing w:after="0" w:line="240" w:lineRule="auto"/>
        <w:ind w:firstLine="284"/>
        <w:jc w:val="both"/>
        <w:rPr>
          <w:rFonts w:ascii="Garamond" w:hAnsi="Garamond"/>
          <w:sz w:val="24"/>
          <w:szCs w:val="24"/>
          <w:lang w:val="sq-AL"/>
        </w:rPr>
      </w:pPr>
      <w:r w:rsidRPr="001E1203">
        <w:rPr>
          <w:rFonts w:ascii="Garamond" w:hAnsi="Garamond"/>
          <w:sz w:val="24"/>
          <w:szCs w:val="24"/>
          <w:lang w:val="sq-AL"/>
        </w:rPr>
        <w:t xml:space="preserve">c) </w:t>
      </w:r>
      <w:r w:rsidR="00583ABC" w:rsidRPr="001E1203">
        <w:rPr>
          <w:rFonts w:ascii="Garamond" w:hAnsi="Garamond"/>
          <w:sz w:val="24"/>
          <w:szCs w:val="24"/>
          <w:lang w:val="sq-AL"/>
        </w:rPr>
        <w:t>do të</w:t>
      </w:r>
      <w:r w:rsidR="00583ABC" w:rsidRPr="001C458B">
        <w:rPr>
          <w:rFonts w:ascii="Garamond" w:hAnsi="Garamond"/>
          <w:sz w:val="24"/>
          <w:szCs w:val="24"/>
          <w:lang w:val="sq-AL"/>
        </w:rPr>
        <w:t xml:space="preserve"> shpjegojë përse ky përjashtim nuk dobëson stabilitetin e sistemit financiar në vend.</w:t>
      </w:r>
    </w:p>
    <w:p w14:paraId="00990F7B" w14:textId="31730182" w:rsidR="00583ABC" w:rsidRPr="001C458B" w:rsidRDefault="00D24D64"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r w:rsidR="00583ABC" w:rsidRPr="001C458B">
        <w:rPr>
          <w:rFonts w:ascii="Garamond" w:hAnsi="Garamond"/>
          <w:sz w:val="24"/>
          <w:szCs w:val="24"/>
          <w:lang w:val="sq-AL"/>
        </w:rPr>
        <w:t xml:space="preserve">Nëse parashikohet ose i shërben angazhimeve të saj në marrëveshjet ndërkombëtare, Banka e Shqipërisë njofton edhe autoritetet e vendeve të tjera, që kanë kompetencën mbikëqyrëse në vendin e origjinës së bankës ose të grupit bankar zotërues të saj, lidhur me përjashtimin sipas paragrafit 1. </w:t>
      </w:r>
    </w:p>
    <w:p w14:paraId="3BBFADD0" w14:textId="77777777" w:rsidR="00583ABC" w:rsidRPr="001C458B" w:rsidRDefault="00583ABC" w:rsidP="003D1B12">
      <w:pPr>
        <w:spacing w:after="0" w:line="240" w:lineRule="auto"/>
        <w:ind w:firstLine="284"/>
        <w:jc w:val="both"/>
        <w:rPr>
          <w:rFonts w:ascii="Garamond" w:hAnsi="Garamond"/>
          <w:sz w:val="24"/>
          <w:szCs w:val="24"/>
          <w:lang w:val="sq-AL"/>
        </w:rPr>
      </w:pPr>
    </w:p>
    <w:p w14:paraId="437BD55F"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6</w:t>
      </w:r>
    </w:p>
    <w:p w14:paraId="00B586B7" w14:textId="77777777" w:rsidR="00583ABC" w:rsidRPr="00C42C15" w:rsidRDefault="00583ABC" w:rsidP="00D21136">
      <w:pPr>
        <w:spacing w:after="0" w:line="240" w:lineRule="auto"/>
        <w:jc w:val="center"/>
        <w:rPr>
          <w:rFonts w:ascii="Garamond" w:hAnsi="Garamond"/>
          <w:b/>
          <w:sz w:val="24"/>
          <w:szCs w:val="24"/>
          <w:lang w:val="sq-AL"/>
        </w:rPr>
      </w:pPr>
      <w:r w:rsidRPr="00C42C15">
        <w:rPr>
          <w:rFonts w:ascii="Garamond" w:hAnsi="Garamond"/>
          <w:b/>
          <w:sz w:val="24"/>
          <w:szCs w:val="24"/>
          <w:lang w:val="sq-AL"/>
        </w:rPr>
        <w:t>Përbërja dhe shprehja e shtesës makroprudenciale të kapitalit (SHMAK) dhe shtesës së kombinuar makroprudenciale të kapitalit (SHKOMAK)</w:t>
      </w:r>
    </w:p>
    <w:p w14:paraId="4EFDCEDB" w14:textId="77777777" w:rsidR="00583ABC" w:rsidRPr="001C458B" w:rsidRDefault="00583ABC" w:rsidP="003D1B12">
      <w:pPr>
        <w:spacing w:after="0" w:line="240" w:lineRule="auto"/>
        <w:ind w:firstLine="284"/>
        <w:jc w:val="both"/>
        <w:rPr>
          <w:rFonts w:ascii="Garamond" w:hAnsi="Garamond"/>
          <w:sz w:val="24"/>
          <w:szCs w:val="24"/>
          <w:lang w:val="sq-AL"/>
        </w:rPr>
      </w:pPr>
    </w:p>
    <w:p w14:paraId="79F5801F" w14:textId="5D48862D"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SHMAK-u:</w:t>
      </w:r>
    </w:p>
    <w:p w14:paraId="1044382F" w14:textId="07646C27"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në çdo rast, krijohet dhe mbahet me instrumente të KBN1;</w:t>
      </w:r>
    </w:p>
    <w:p w14:paraId="242C2829" w14:textId="3295C71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shprehet si raport në përqindje ndaj totalit të EPR; </w:t>
      </w:r>
    </w:p>
    <w:p w14:paraId="4D0D7281" w14:textId="5311D5E4"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shpallet nga Banka e Shqipërisë sipas nenit 17, paragrafi 1.</w:t>
      </w:r>
    </w:p>
    <w:p w14:paraId="35EC7401" w14:textId="7746A5E5"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Në bazë të shpalljeve të Bankës së Shqipërisë, SHKOMAK-u do të jetë:</w:t>
      </w:r>
    </w:p>
    <w:p w14:paraId="5171CC8D" w14:textId="6BF0FF1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 xml:space="preserve">për një bankë të përcaktuar si BARS sipas nenit 14, i njëjtë me: </w:t>
      </w:r>
    </w:p>
    <w:p w14:paraId="15C13051"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“KONS + SPEKUNC+ SIST+ ASTRUK”;</w:t>
      </w:r>
    </w:p>
    <w:p w14:paraId="2F6746E7" w14:textId="177837FC"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për një bankë që nuk është e përcaktuar si BARS, i njëjtë me: </w:t>
      </w:r>
    </w:p>
    <w:p w14:paraId="2817DD9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“KONS + SPEKUNC + ASTRUK”.</w:t>
      </w:r>
    </w:p>
    <w:p w14:paraId="36FB161D" w14:textId="77777777" w:rsidR="00583ABC" w:rsidRPr="001C458B" w:rsidRDefault="00583ABC" w:rsidP="003D1B12">
      <w:pPr>
        <w:spacing w:after="0" w:line="240" w:lineRule="auto"/>
        <w:ind w:firstLine="284"/>
        <w:jc w:val="both"/>
        <w:rPr>
          <w:rFonts w:ascii="Garamond" w:hAnsi="Garamond"/>
          <w:sz w:val="24"/>
          <w:szCs w:val="24"/>
          <w:lang w:val="sq-AL"/>
        </w:rPr>
      </w:pPr>
    </w:p>
    <w:p w14:paraId="598C2249"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7</w:t>
      </w:r>
    </w:p>
    <w:p w14:paraId="700C3CDC" w14:textId="77777777" w:rsidR="00583ABC" w:rsidRPr="001C458B" w:rsidRDefault="00583ABC" w:rsidP="00D21136">
      <w:pPr>
        <w:spacing w:after="0" w:line="240" w:lineRule="auto"/>
        <w:jc w:val="center"/>
        <w:rPr>
          <w:rFonts w:ascii="Garamond" w:hAnsi="Garamond"/>
          <w:b/>
          <w:sz w:val="24"/>
          <w:szCs w:val="24"/>
          <w:lang w:val="sq-AL"/>
        </w:rPr>
      </w:pPr>
      <w:r w:rsidRPr="001C458B">
        <w:rPr>
          <w:rFonts w:ascii="Garamond" w:hAnsi="Garamond"/>
          <w:b/>
          <w:sz w:val="24"/>
          <w:szCs w:val="24"/>
          <w:lang w:val="sq-AL"/>
        </w:rPr>
        <w:t>Përmbushja dhe raportimi i shtesës së kombinuar makroprudenciale të kapitalit (SHKOMAK)</w:t>
      </w:r>
    </w:p>
    <w:p w14:paraId="2087A4CE" w14:textId="77777777" w:rsidR="00583ABC" w:rsidRPr="001C458B" w:rsidRDefault="00583ABC" w:rsidP="003D1B12">
      <w:pPr>
        <w:spacing w:after="0" w:line="240" w:lineRule="auto"/>
        <w:ind w:firstLine="284"/>
        <w:jc w:val="both"/>
        <w:rPr>
          <w:rFonts w:ascii="Garamond" w:hAnsi="Garamond"/>
          <w:sz w:val="24"/>
          <w:szCs w:val="24"/>
          <w:lang w:val="sq-AL"/>
        </w:rPr>
      </w:pPr>
    </w:p>
    <w:p w14:paraId="0ECA476F" w14:textId="101C9AE9"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Banka duhet të synojë përmbushjen e vazhdueshme (në çdo kohë) të normës së SHKOMAK-ut (pra që KNDr ≥ SHKOMAK ose që KNDr/SHKOMAK ≥ 100%).</w:t>
      </w:r>
    </w:p>
    <w:p w14:paraId="3C18855C" w14:textId="46A9D2E0"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Për realizimin e kërkesës në paragrafin 1, banka angazhon burimet e nevojshme njerëzore, teknike dhe financiare, si edhe ndërton, dokumenton e rivlerëson rregullisht proceset e nevojshme të mbledhjes së të dhënave, llogaritjes, monitorimit, raportimit dhe vendimmarrjes.</w:t>
      </w:r>
    </w:p>
    <w:p w14:paraId="6C7BAA91" w14:textId="5D3965D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 xml:space="preserve">Duke konsideruar më parë paragrafin 5, banka raporton në Bankën e Shqipërisë nivelin e përmbushjes së SHKOMAK-ut, me frekuencë tremujore, mbi të dhënat e ditës së fundit të punës për muajt mars, qershor, shtator dhe dhjetor, sipas afateve të raportimit që zbaton Banka e Shqipërisë. </w:t>
      </w:r>
    </w:p>
    <w:p w14:paraId="6E2AD3AC" w14:textId="73C65270"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Për të përmbushur kërkesën e paragrafit 3, banka përfshin në raportimin e periudhës të dhënat mbi:</w:t>
      </w:r>
    </w:p>
    <w:p w14:paraId="421C40B9" w14:textId="3F9B15CE"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vlerën e llogaritur të SHKOMAK-ut, mbështetur në shumën e:</w:t>
      </w:r>
    </w:p>
    <w:p w14:paraId="50EBE0D5" w14:textId="6764D9F6"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vlerës së KONS-it, sipas nenit 10,</w:t>
      </w:r>
    </w:p>
    <w:p w14:paraId="041D2D3D" w14:textId="6AD92F13"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vlerës së llogaritur të SPEKUNC-it sipas nenit 11, për realizimin e së cilës më parë ka identifikuar:</w:t>
      </w:r>
    </w:p>
    <w:p w14:paraId="6E5D392D" w14:textId="3DA85D7A"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juridiksionet ku ka EPSHK,</w:t>
      </w:r>
    </w:p>
    <w:p w14:paraId="09676026" w14:textId="0CCDE331"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AKUNC-in për secilin juridiksion, sipas neneve 12 dhe 13,</w:t>
      </w:r>
    </w:p>
    <w:p w14:paraId="5DE03B63" w14:textId="12E64BB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iii</w:t>
      </w:r>
      <w:r w:rsidR="00881CD9">
        <w:rPr>
          <w:rFonts w:ascii="Garamond" w:hAnsi="Garamond"/>
          <w:sz w:val="24"/>
          <w:szCs w:val="24"/>
          <w:lang w:val="sq-AL"/>
        </w:rPr>
        <w:t>.</w:t>
      </w:r>
      <w:r w:rsidRPr="001C458B">
        <w:rPr>
          <w:rFonts w:ascii="Garamond" w:hAnsi="Garamond"/>
          <w:sz w:val="24"/>
          <w:szCs w:val="24"/>
          <w:lang w:val="sq-AL"/>
        </w:rPr>
        <w:tab/>
        <w:t>normës së SIST-it, sipas nenit 14,</w:t>
      </w:r>
    </w:p>
    <w:p w14:paraId="7E533DE5" w14:textId="602FCB58"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iv</w:t>
      </w:r>
      <w:r w:rsidR="00881CD9">
        <w:rPr>
          <w:rFonts w:ascii="Garamond" w:hAnsi="Garamond"/>
          <w:sz w:val="24"/>
          <w:szCs w:val="24"/>
          <w:lang w:val="sq-AL"/>
        </w:rPr>
        <w:t>.</w:t>
      </w:r>
      <w:r w:rsidRPr="001C458B">
        <w:rPr>
          <w:rFonts w:ascii="Garamond" w:hAnsi="Garamond"/>
          <w:sz w:val="24"/>
          <w:szCs w:val="24"/>
          <w:lang w:val="sq-AL"/>
        </w:rPr>
        <w:tab/>
        <w:t>normës së ASTRUK-ut, sipas nenit 15;</w:t>
      </w:r>
    </w:p>
    <w:p w14:paraId="5A7A80D6" w14:textId="6DBDB5F0"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KMK për KBN1r, për KN1r dhe për RMK;</w:t>
      </w:r>
    </w:p>
    <w:p w14:paraId="28AD7B51" w14:textId="21F9A37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nivelet aktuale të KBN1r, të KN1r, të RMK;</w:t>
      </w:r>
    </w:p>
    <w:p w14:paraId="2260A9A5" w14:textId="0101AA1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ç) kërkesat e tjera të detyrueshme të kapitalit, nëse zbatohen të tilla për bankën;</w:t>
      </w:r>
    </w:p>
    <w:p w14:paraId="7158E2E6" w14:textId="37E6BFE5"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 vlerën e llogaritur të KNDr, duke zbritur nga vlera aktuale e KBN1, pjesën që nevojitet për plotësimin e KMK dhe të kërkesave të tjera të detyrueshme të kapitalit;</w:t>
      </w:r>
    </w:p>
    <w:p w14:paraId="7A058817" w14:textId="2A5C8CF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dh) raportin e llogaritur të KNDr ndaj SHKOMAK-ut, në përqindje;</w:t>
      </w:r>
    </w:p>
    <w:p w14:paraId="4142C1FB" w14:textId="51775CD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e) përcaktimin e kuartilit të SHKOMAK-ut sipas nenit 8, tabela 1, dhe identifikimin e pozicionit të raport</w:t>
      </w:r>
      <w:r w:rsidR="00626251">
        <w:rPr>
          <w:rFonts w:ascii="Garamond" w:hAnsi="Garamond"/>
          <w:sz w:val="24"/>
          <w:szCs w:val="24"/>
          <w:lang w:val="sq-AL"/>
        </w:rPr>
        <w:t>it të KNDr sipas nënparagrafit dh</w:t>
      </w:r>
      <w:r w:rsidRPr="001C458B">
        <w:rPr>
          <w:rFonts w:ascii="Garamond" w:hAnsi="Garamond"/>
          <w:sz w:val="24"/>
          <w:szCs w:val="24"/>
          <w:lang w:val="sq-AL"/>
        </w:rPr>
        <w:t>, në kuartil;</w:t>
      </w:r>
    </w:p>
    <w:p w14:paraId="39189C1E" w14:textId="0731FAE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ë) vlerën maksimale të shpërndarjes.</w:t>
      </w:r>
    </w:p>
    <w:p w14:paraId="6397DFC6" w14:textId="1C1141DC"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Për herë të parë, raportimi sipas paragrafëve 3 dhe 4, do të jetë për ditën e fundit të punës të muajit mars 2020.</w:t>
      </w:r>
    </w:p>
    <w:p w14:paraId="008E7BD7" w14:textId="2C9EF6D4"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sz w:val="24"/>
          <w:szCs w:val="24"/>
          <w:lang w:val="sq-AL"/>
        </w:rPr>
        <w:t>Për të përmbushur kërkesat për raportim sipas paragrafëve 4 dhe 5, banka përdor formën e raportimit në Aneksin 2.</w:t>
      </w:r>
    </w:p>
    <w:p w14:paraId="3B7B5224" w14:textId="77777777" w:rsidR="00583ABC" w:rsidRPr="001C458B" w:rsidRDefault="00583ABC" w:rsidP="003D1B12">
      <w:pPr>
        <w:spacing w:after="0" w:line="240" w:lineRule="auto"/>
        <w:ind w:firstLine="284"/>
        <w:jc w:val="both"/>
        <w:rPr>
          <w:rFonts w:ascii="Garamond" w:hAnsi="Garamond"/>
          <w:sz w:val="24"/>
          <w:szCs w:val="24"/>
          <w:lang w:val="sq-AL"/>
        </w:rPr>
      </w:pPr>
    </w:p>
    <w:p w14:paraId="050AF12B"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8</w:t>
      </w:r>
    </w:p>
    <w:p w14:paraId="0FD2BA0B" w14:textId="77777777" w:rsidR="00583ABC" w:rsidRPr="001C458B" w:rsidRDefault="00583ABC" w:rsidP="00D21136">
      <w:pPr>
        <w:spacing w:after="0" w:line="240" w:lineRule="auto"/>
        <w:jc w:val="center"/>
        <w:rPr>
          <w:rFonts w:ascii="Garamond" w:hAnsi="Garamond"/>
          <w:b/>
          <w:sz w:val="24"/>
          <w:szCs w:val="24"/>
          <w:lang w:val="sq-AL"/>
        </w:rPr>
      </w:pPr>
      <w:r w:rsidRPr="001C458B">
        <w:rPr>
          <w:rFonts w:ascii="Garamond" w:hAnsi="Garamond"/>
          <w:b/>
          <w:sz w:val="24"/>
          <w:szCs w:val="24"/>
          <w:lang w:val="sq-AL"/>
        </w:rPr>
        <w:t>Shtesa e kombinuar makroprudenciale e kapitalit (SHKOMAK) dhe pagesa e shpërndarjes</w:t>
      </w:r>
    </w:p>
    <w:p w14:paraId="2237ED0C" w14:textId="77777777" w:rsidR="00583ABC" w:rsidRPr="001C458B" w:rsidRDefault="00583ABC" w:rsidP="003D1B12">
      <w:pPr>
        <w:spacing w:after="0" w:line="240" w:lineRule="auto"/>
        <w:ind w:firstLine="284"/>
        <w:jc w:val="both"/>
        <w:rPr>
          <w:rFonts w:ascii="Garamond" w:hAnsi="Garamond"/>
          <w:sz w:val="24"/>
          <w:szCs w:val="24"/>
          <w:lang w:val="sq-AL"/>
        </w:rPr>
      </w:pPr>
    </w:p>
    <w:p w14:paraId="568DAFE9" w14:textId="074CFA5B"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Banka, duke marrë në konsideratë paraprakisht paragrafin 3, mund të kryejë një pagesë shpërndarjeje, nëse:</w:t>
      </w:r>
    </w:p>
    <w:p w14:paraId="3738F139" w14:textId="136011C7"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e përmbush SHKOMAK-un;</w:t>
      </w:r>
    </w:p>
    <w:p w14:paraId="1E8AE63C" w14:textId="1BD09BAE"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nuk e përmbush SHKOMAK-un, por gjeneron të ardhura pozitive.</w:t>
      </w:r>
    </w:p>
    <w:p w14:paraId="4D2C1A4E" w14:textId="43554A4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Duke marrë në konsideratë paraprakisht paragrafin 4, banka nuk duhet të kryejë asnjë pagesë shpërndarjeje, në rastin kur:</w:t>
      </w:r>
    </w:p>
    <w:p w14:paraId="2593CD47" w14:textId="72BB8FE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nuk e përmbush SHKOMAK-un dhe nuk gjeneron të ardhura pozitive;</w:t>
      </w:r>
    </w:p>
    <w:p w14:paraId="3236ECBE" w14:textId="3AD424F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ndonëse nuk gjendet në situatën e nënparagrafit </w:t>
      </w:r>
      <w:r w:rsidR="00881CD9">
        <w:rPr>
          <w:rFonts w:ascii="Garamond" w:hAnsi="Garamond"/>
          <w:sz w:val="24"/>
          <w:szCs w:val="24"/>
          <w:lang w:val="sq-AL"/>
        </w:rPr>
        <w:t>“</w:t>
      </w:r>
      <w:r w:rsidRPr="001C458B">
        <w:rPr>
          <w:rFonts w:ascii="Garamond" w:hAnsi="Garamond"/>
          <w:sz w:val="24"/>
          <w:szCs w:val="24"/>
          <w:lang w:val="sq-AL"/>
        </w:rPr>
        <w:t>a</w:t>
      </w:r>
      <w:r w:rsidR="00881CD9">
        <w:rPr>
          <w:rFonts w:ascii="Garamond" w:hAnsi="Garamond"/>
          <w:sz w:val="24"/>
          <w:szCs w:val="24"/>
          <w:lang w:val="sq-AL"/>
        </w:rPr>
        <w:t>”</w:t>
      </w:r>
      <w:r w:rsidRPr="001C458B">
        <w:rPr>
          <w:rFonts w:ascii="Garamond" w:hAnsi="Garamond"/>
          <w:sz w:val="24"/>
          <w:szCs w:val="24"/>
          <w:lang w:val="sq-AL"/>
        </w:rPr>
        <w:t>:</w:t>
      </w:r>
    </w:p>
    <w:p w14:paraId="00250799" w14:textId="69948571"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ende nuk ka realizuar veprimet e tjera të përcaktuara në nenin 9, paragrafët 1 dhe 2,</w:t>
      </w:r>
    </w:p>
    <w:p w14:paraId="27A13281" w14:textId="292D3E1A"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Banka e Shqipërisë e ka kundërshtuar kryerjen e pagesës sipas nenit 9, paragrafi 3.</w:t>
      </w:r>
    </w:p>
    <w:p w14:paraId="26BFD8A3" w14:textId="37BDEA32"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Në rastin kur:</w:t>
      </w:r>
    </w:p>
    <w:p w14:paraId="33DDF48E" w14:textId="1F34A724"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banka gjendet në kushtet e paragrafit 1</w:t>
      </w:r>
      <w:r w:rsidR="00881CD9">
        <w:rPr>
          <w:rFonts w:ascii="Garamond" w:hAnsi="Garamond"/>
          <w:sz w:val="24"/>
          <w:szCs w:val="24"/>
          <w:lang w:val="sq-AL"/>
        </w:rPr>
        <w:t>/</w:t>
      </w:r>
      <w:r w:rsidR="00583ABC" w:rsidRPr="001C458B">
        <w:rPr>
          <w:rFonts w:ascii="Garamond" w:hAnsi="Garamond"/>
          <w:sz w:val="24"/>
          <w:szCs w:val="24"/>
          <w:lang w:val="sq-AL"/>
        </w:rPr>
        <w:t>a të këtij neni dhe synon të kryejë një pagesë shpërndarjeje, atëherë pagesa mund të kryhet deri në vlerën që nuk cenon përmbushjen e SHKOMAK-ut;</w:t>
      </w:r>
    </w:p>
    <w:p w14:paraId="64FBCDAA" w14:textId="1BACF051"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banka gjendet në kushtet e paragrafit 1</w:t>
      </w:r>
      <w:r w:rsidR="00881CD9">
        <w:rPr>
          <w:rFonts w:ascii="Garamond" w:hAnsi="Garamond"/>
          <w:sz w:val="24"/>
          <w:szCs w:val="24"/>
          <w:lang w:val="sq-AL"/>
        </w:rPr>
        <w:t>/</w:t>
      </w:r>
      <w:r w:rsidR="00583ABC" w:rsidRPr="001C458B">
        <w:rPr>
          <w:rFonts w:ascii="Garamond" w:hAnsi="Garamond"/>
          <w:sz w:val="24"/>
          <w:szCs w:val="24"/>
          <w:lang w:val="sq-AL"/>
        </w:rPr>
        <w:t>b të këtij neni dhe synon të kryejë një pagesë shpërndarjeje, atëherë, mbështetur në treguesit e tabelës 1, pagesa mund të kryhet vetëm:</w:t>
      </w:r>
    </w:p>
    <w:p w14:paraId="2B0DEA0C" w14:textId="3BE15DA3"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pasi banka ka përcaktuar kuartilin e SHKOMAK-ut, ku pozicionohet KNDr-ja; dhe</w:t>
      </w:r>
    </w:p>
    <w:p w14:paraId="4FD8886E" w14:textId="49FAEC88"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deri në masën e vlerës maksimale të shpërndarjes.</w:t>
      </w:r>
    </w:p>
    <w:p w14:paraId="40F6B509" w14:textId="77777777" w:rsidR="00583ABC" w:rsidRPr="001C458B" w:rsidRDefault="00583ABC" w:rsidP="003D1B12">
      <w:pPr>
        <w:spacing w:after="0" w:line="240" w:lineRule="auto"/>
        <w:ind w:firstLine="284"/>
        <w:jc w:val="both"/>
        <w:rPr>
          <w:rFonts w:ascii="Garamond" w:hAnsi="Garamond"/>
          <w:sz w:val="24"/>
          <w:szCs w:val="24"/>
          <w:lang w:val="sq-AL"/>
        </w:rPr>
      </w:pPr>
    </w:p>
    <w:p w14:paraId="538BE246" w14:textId="3A50FDD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1</w:t>
      </w:r>
    </w:p>
    <w:tbl>
      <w:tblPr>
        <w:tblStyle w:val="TableGrid1"/>
        <w:tblW w:w="0" w:type="auto"/>
        <w:tblInd w:w="720" w:type="dxa"/>
        <w:tblLook w:val="04A0" w:firstRow="1" w:lastRow="0" w:firstColumn="1" w:lastColumn="0" w:noHBand="0" w:noVBand="1"/>
      </w:tblPr>
      <w:tblGrid>
        <w:gridCol w:w="4675"/>
        <w:gridCol w:w="3955"/>
      </w:tblGrid>
      <w:tr w:rsidR="00583ABC" w:rsidRPr="001C458B" w14:paraId="40C04FE4" w14:textId="77777777" w:rsidTr="00557377">
        <w:tc>
          <w:tcPr>
            <w:tcW w:w="4675" w:type="dxa"/>
          </w:tcPr>
          <w:p w14:paraId="387486A0"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Kuartili i SHKOMAK-ut ku pozicionohet KNDr</w:t>
            </w:r>
          </w:p>
        </w:tc>
        <w:tc>
          <w:tcPr>
            <w:tcW w:w="3955" w:type="dxa"/>
          </w:tcPr>
          <w:p w14:paraId="695D70E1"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Përqindja maksimale e shpërndarjes</w:t>
            </w:r>
          </w:p>
        </w:tc>
      </w:tr>
      <w:tr w:rsidR="00583ABC" w:rsidRPr="001C458B" w14:paraId="4015FA38" w14:textId="77777777" w:rsidTr="00557377">
        <w:tc>
          <w:tcPr>
            <w:tcW w:w="4675" w:type="dxa"/>
          </w:tcPr>
          <w:p w14:paraId="2CC5A3BD"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Kuartili 1 (0%-25% e nivelit të SHKOMAK-ut)</w:t>
            </w:r>
          </w:p>
        </w:tc>
        <w:tc>
          <w:tcPr>
            <w:tcW w:w="3955" w:type="dxa"/>
          </w:tcPr>
          <w:p w14:paraId="35274F32"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0%</w:t>
            </w:r>
          </w:p>
        </w:tc>
      </w:tr>
      <w:tr w:rsidR="00583ABC" w:rsidRPr="001C458B" w14:paraId="0A410D34" w14:textId="77777777" w:rsidTr="00557377">
        <w:tc>
          <w:tcPr>
            <w:tcW w:w="4675" w:type="dxa"/>
          </w:tcPr>
          <w:p w14:paraId="262D1402"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Kuartili 2 (&gt;25% - 50%)</w:t>
            </w:r>
          </w:p>
        </w:tc>
        <w:tc>
          <w:tcPr>
            <w:tcW w:w="3955" w:type="dxa"/>
          </w:tcPr>
          <w:p w14:paraId="2A654627"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20%</w:t>
            </w:r>
          </w:p>
        </w:tc>
      </w:tr>
      <w:tr w:rsidR="00583ABC" w:rsidRPr="001C458B" w14:paraId="2847C8E5" w14:textId="77777777" w:rsidTr="00557377">
        <w:tc>
          <w:tcPr>
            <w:tcW w:w="4675" w:type="dxa"/>
          </w:tcPr>
          <w:p w14:paraId="7CA43EDB"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Kuartili 3 (&gt;50% - 75%)</w:t>
            </w:r>
          </w:p>
        </w:tc>
        <w:tc>
          <w:tcPr>
            <w:tcW w:w="3955" w:type="dxa"/>
          </w:tcPr>
          <w:p w14:paraId="440C55E3"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40%</w:t>
            </w:r>
          </w:p>
        </w:tc>
      </w:tr>
      <w:tr w:rsidR="00583ABC" w:rsidRPr="001C458B" w14:paraId="287B0214" w14:textId="77777777" w:rsidTr="00557377">
        <w:tc>
          <w:tcPr>
            <w:tcW w:w="4675" w:type="dxa"/>
          </w:tcPr>
          <w:p w14:paraId="64F2D474"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Kuartili 4 (&gt;75% - 100%)</w:t>
            </w:r>
          </w:p>
        </w:tc>
        <w:tc>
          <w:tcPr>
            <w:tcW w:w="3955" w:type="dxa"/>
          </w:tcPr>
          <w:p w14:paraId="52CD491F"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60%</w:t>
            </w:r>
          </w:p>
        </w:tc>
      </w:tr>
    </w:tbl>
    <w:p w14:paraId="120B8E9D" w14:textId="77777777" w:rsidR="00583ABC" w:rsidRPr="001C458B" w:rsidRDefault="00583ABC" w:rsidP="003D1B12">
      <w:pPr>
        <w:spacing w:after="0" w:line="240" w:lineRule="auto"/>
        <w:ind w:firstLine="284"/>
        <w:jc w:val="both"/>
        <w:rPr>
          <w:rFonts w:ascii="Garamond" w:hAnsi="Garamond"/>
          <w:sz w:val="24"/>
          <w:szCs w:val="24"/>
          <w:lang w:val="sq-AL"/>
        </w:rPr>
      </w:pPr>
    </w:p>
    <w:p w14:paraId="606ACC3D" w14:textId="691AF278"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4</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 xml:space="preserve">Kufizimet e parashikuara në paragrafët 2 dhe 3 zbatohen ndaj pagesave të shpërndarjes vetëm atëherë kur pezullimi ose ndalimi i asaj pagese nuk përfaqëson një ngjarje dështimi/falimentimi, shkakton nisjen e procedurave për caktimin e administratorit ose të likuidatorit të bankës, apo pengon veprimet e nevojshme në kuadër të ndërhyrjes së jashtëzakonshme në banka sipas ligjit nr. 133/2016. Banka njofton paraprakisht Bankën e Shqipërisë nëse vlerëson se ndodhet në secilën nga këto situata. </w:t>
      </w:r>
    </w:p>
    <w:p w14:paraId="78B266F5" w14:textId="77777777" w:rsidR="00583ABC" w:rsidRPr="001C458B" w:rsidRDefault="00583ABC" w:rsidP="003D1B12">
      <w:pPr>
        <w:spacing w:after="0" w:line="240" w:lineRule="auto"/>
        <w:ind w:firstLine="284"/>
        <w:jc w:val="both"/>
        <w:rPr>
          <w:rFonts w:ascii="Garamond" w:hAnsi="Garamond"/>
          <w:sz w:val="24"/>
          <w:szCs w:val="24"/>
          <w:lang w:val="sq-AL"/>
        </w:rPr>
      </w:pPr>
    </w:p>
    <w:p w14:paraId="6F24CA99"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9</w:t>
      </w:r>
    </w:p>
    <w:p w14:paraId="717D4AB0" w14:textId="77777777" w:rsidR="00583ABC" w:rsidRPr="001C458B" w:rsidRDefault="00583ABC" w:rsidP="00D21136">
      <w:pPr>
        <w:spacing w:after="0" w:line="240" w:lineRule="auto"/>
        <w:jc w:val="center"/>
        <w:rPr>
          <w:rFonts w:ascii="Garamond" w:hAnsi="Garamond"/>
          <w:b/>
          <w:sz w:val="24"/>
          <w:szCs w:val="24"/>
          <w:lang w:val="sq-AL"/>
        </w:rPr>
      </w:pPr>
      <w:r w:rsidRPr="001C458B">
        <w:rPr>
          <w:rFonts w:ascii="Garamond" w:hAnsi="Garamond"/>
          <w:b/>
          <w:sz w:val="24"/>
          <w:szCs w:val="24"/>
          <w:lang w:val="sq-AL"/>
        </w:rPr>
        <w:t>Veprimet e tjera të bankës në rastin e pagesës së shpërndarjes</w:t>
      </w:r>
    </w:p>
    <w:p w14:paraId="6EA72C8F" w14:textId="77777777" w:rsidR="00583ABC" w:rsidRPr="001C458B" w:rsidRDefault="00583ABC" w:rsidP="003D1B12">
      <w:pPr>
        <w:spacing w:after="0" w:line="240" w:lineRule="auto"/>
        <w:ind w:firstLine="284"/>
        <w:jc w:val="both"/>
        <w:rPr>
          <w:rFonts w:ascii="Garamond" w:hAnsi="Garamond"/>
          <w:sz w:val="24"/>
          <w:szCs w:val="24"/>
          <w:lang w:val="sq-AL"/>
        </w:rPr>
      </w:pPr>
    </w:p>
    <w:p w14:paraId="1E655613" w14:textId="0066F39A"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Në rastin kur banka, për shkak të pagesës së shpërndarjes, konstaton se mund të shkaktojë mospërmbushjen ose thellimin e mospërmbushjes së SHKOMAK-ut, atëherë banka:</w:t>
      </w:r>
    </w:p>
    <w:p w14:paraId="1738B5AC" w14:textId="508DC5C9"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duhet të konsultojë Bankën e Shqipërisë, duke e njoftuar atë jo më pak se 15 ditë përpara se të kryejë pagesën e shpërndarjes;</w:t>
      </w:r>
    </w:p>
    <w:p w14:paraId="759E39E8" w14:textId="3DD6800E"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duhet të ofrojë çdo informacion që kërkohet nga Banka e Shqipërisë, duke përfshirë:</w:t>
      </w:r>
    </w:p>
    <w:p w14:paraId="522082D9" w14:textId="32E872D2"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vlerën e KBN1, të KN1, KREG dhe (eventualisht) të kërkesave të tjera të detyrueshme për kapital,</w:t>
      </w:r>
    </w:p>
    <w:p w14:paraId="4448AB8E" w14:textId="2C90C2E0"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vlerën e fitimit për periudhat e ndërmjetme dhe për fundin e vitit,</w:t>
      </w:r>
    </w:p>
    <w:p w14:paraId="32EA2F91" w14:textId="76FE9FF2"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iii</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vlerën maksimale të shpërndarjes, të llogaritur,</w:t>
      </w:r>
    </w:p>
    <w:p w14:paraId="5D2FA45E" w14:textId="5645DCAE"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iv</w:t>
      </w:r>
      <w:r w:rsidR="00881CD9">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madhësinë dhe llojin e pagesës së shpërndarjes;</w:t>
      </w:r>
    </w:p>
    <w:p w14:paraId="26DA281C" w14:textId="4A406642"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 xml:space="preserve">duhet të paraqesë për miratim në Bankën e Shqipërisë, brenda një periudhe kohe të arsyeshme siç përcaktohet nga Banka e Shqipërisë, një plan që përmban masat që do të merren nga banka, sipas afateve kohore që mund të përcaktojë Banka e Shqipërisë, për përmirësimin e pozicionit të kapitalit të bankës dhe përmbushjen e SHKOMAK-ut. </w:t>
      </w:r>
    </w:p>
    <w:p w14:paraId="5CBED7F7" w14:textId="239FC274"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Banka konsulton paraprakisht Bankën e Shqipërisë, edhe në rastin kur:</w:t>
      </w:r>
    </w:p>
    <w:p w14:paraId="03C21DA7" w14:textId="42F392C3"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synon të gjenerojë kapitalin në treg, në mënyrë që të mundësojë kryerjen e pagesës së shpërndarjes, në një vlerë më të lartë se vlera maksimale e shpërndarjes që do të rezultonte nëse banka nuk do të rriste kapitalin;</w:t>
      </w:r>
    </w:p>
    <w:p w14:paraId="48F84877" w14:textId="593E9B13"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vlera e kapitalit që do të shtohet sipas nënparagrafit </w:t>
      </w:r>
      <w:r w:rsidR="00881CD9">
        <w:rPr>
          <w:rFonts w:ascii="Garamond" w:hAnsi="Garamond"/>
          <w:sz w:val="24"/>
          <w:szCs w:val="24"/>
          <w:lang w:val="sq-AL"/>
        </w:rPr>
        <w:t>“</w:t>
      </w:r>
      <w:r w:rsidR="00583ABC" w:rsidRPr="001C458B">
        <w:rPr>
          <w:rFonts w:ascii="Garamond" w:hAnsi="Garamond"/>
          <w:sz w:val="24"/>
          <w:szCs w:val="24"/>
          <w:lang w:val="sq-AL"/>
        </w:rPr>
        <w:t>a</w:t>
      </w:r>
      <w:r w:rsidR="00881CD9">
        <w:rPr>
          <w:rFonts w:ascii="Garamond" w:hAnsi="Garamond"/>
          <w:sz w:val="24"/>
          <w:szCs w:val="24"/>
          <w:lang w:val="sq-AL"/>
        </w:rPr>
        <w:t>”</w:t>
      </w:r>
      <w:r w:rsidR="00583ABC" w:rsidRPr="001C458B">
        <w:rPr>
          <w:rFonts w:ascii="Garamond" w:hAnsi="Garamond"/>
          <w:sz w:val="24"/>
          <w:szCs w:val="24"/>
          <w:lang w:val="sq-AL"/>
        </w:rPr>
        <w:t>, nuk do të rezultojë në një përmirësim të dukshëm të pozicionit të kapitalit të bankës, pas kryerjes së pagesës së shpërndarjes;</w:t>
      </w:r>
    </w:p>
    <w:p w14:paraId="7800CAEE" w14:textId="7118762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 xml:space="preserve">synon të kryejë pagesën e shpërndarjes, duke përfituar nga ulja e nivelit të SHKOMAK-ut në vijim të shpalljeve të Bankës së Shqipërisë. </w:t>
      </w:r>
    </w:p>
    <w:p w14:paraId="3524B1B8" w14:textId="3BF2565D"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Të gjitha veprimet që kryen banka dhe Banka e Shqipërisë, në situatat e parashikuara në paragrafët 1 dhe 2, nuk kufizojnë apo heqin të drejtën e Bankës së Shqipërisë:</w:t>
      </w:r>
    </w:p>
    <w:p w14:paraId="5903D89D" w14:textId="50C9F529"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për të refuzuar me shkrim kryerjen e pagesës së shpërndarjes nga banka, në tërësi ose për aq sa rrezikohet mospërmbushja e SHKOMAK-ut;</w:t>
      </w:r>
    </w:p>
    <w:p w14:paraId="0399F1D4" w14:textId="19911A4E"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për të refuzuar ose për të ndryshuar planin e paraqitur nga banka, dhe për të vendosur masa të tjera ndaj bankës, me qëllim përmirësimin e pozicionit të kapitalit të saj.</w:t>
      </w:r>
    </w:p>
    <w:p w14:paraId="43DF0FFB" w14:textId="77777777" w:rsidR="00583ABC" w:rsidRPr="001C458B" w:rsidRDefault="00583ABC" w:rsidP="003D1B12">
      <w:pPr>
        <w:spacing w:after="0" w:line="240" w:lineRule="auto"/>
        <w:ind w:firstLine="284"/>
        <w:jc w:val="both"/>
        <w:rPr>
          <w:rFonts w:ascii="Garamond" w:hAnsi="Garamond"/>
          <w:sz w:val="24"/>
          <w:szCs w:val="24"/>
          <w:lang w:val="sq-AL"/>
        </w:rPr>
      </w:pPr>
    </w:p>
    <w:p w14:paraId="2353443A" w14:textId="77777777"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10</w:t>
      </w:r>
    </w:p>
    <w:p w14:paraId="4C6D298E" w14:textId="77777777" w:rsidR="00583ABC" w:rsidRPr="001C458B" w:rsidRDefault="00583ABC" w:rsidP="00D21136">
      <w:pPr>
        <w:spacing w:after="0" w:line="240" w:lineRule="auto"/>
        <w:jc w:val="center"/>
        <w:rPr>
          <w:rFonts w:ascii="Garamond" w:hAnsi="Garamond"/>
          <w:b/>
          <w:sz w:val="24"/>
          <w:szCs w:val="24"/>
          <w:lang w:val="sq-AL"/>
        </w:rPr>
      </w:pPr>
      <w:r w:rsidRPr="001C458B">
        <w:rPr>
          <w:rFonts w:ascii="Garamond" w:hAnsi="Garamond"/>
          <w:b/>
          <w:sz w:val="24"/>
          <w:szCs w:val="24"/>
          <w:lang w:val="sq-AL"/>
        </w:rPr>
        <w:t>Shtesa konservuese e kapitalit (KONS)</w:t>
      </w:r>
    </w:p>
    <w:p w14:paraId="12E0072D" w14:textId="77777777" w:rsidR="00583ABC" w:rsidRPr="001C458B" w:rsidRDefault="00583ABC" w:rsidP="003D1B12">
      <w:pPr>
        <w:spacing w:after="0" w:line="240" w:lineRule="auto"/>
        <w:ind w:firstLine="284"/>
        <w:jc w:val="both"/>
        <w:rPr>
          <w:rFonts w:ascii="Garamond" w:hAnsi="Garamond"/>
          <w:sz w:val="24"/>
          <w:szCs w:val="24"/>
          <w:lang w:val="sq-AL"/>
        </w:rPr>
      </w:pPr>
    </w:p>
    <w:p w14:paraId="378013FA" w14:textId="05E96AE5"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Përveç rastit</w:t>
      </w:r>
      <w:r w:rsidR="00626251">
        <w:rPr>
          <w:rFonts w:ascii="Garamond" w:hAnsi="Garamond"/>
          <w:sz w:val="24"/>
          <w:szCs w:val="24"/>
          <w:lang w:val="sq-AL"/>
        </w:rPr>
        <w:t xml:space="preserve"> kur veprohet si në paragrafët 4 dhe 5</w:t>
      </w:r>
      <w:r w:rsidR="00583ABC" w:rsidRPr="001C458B">
        <w:rPr>
          <w:rFonts w:ascii="Garamond" w:hAnsi="Garamond"/>
          <w:sz w:val="24"/>
          <w:szCs w:val="24"/>
          <w:lang w:val="sq-AL"/>
        </w:rPr>
        <w:t>, KONS-i dhe periudhat e përmbushjes së tij jepen në tabelën 2 dhe konsiderohen të vendo</w:t>
      </w:r>
      <w:r w:rsidR="00626251">
        <w:rPr>
          <w:rFonts w:ascii="Garamond" w:hAnsi="Garamond"/>
          <w:sz w:val="24"/>
          <w:szCs w:val="24"/>
          <w:lang w:val="sq-AL"/>
        </w:rPr>
        <w:t>sura sipas nenit 16, paragrafi 1</w:t>
      </w:r>
      <w:r w:rsidR="00583ABC" w:rsidRPr="001C458B">
        <w:rPr>
          <w:rFonts w:ascii="Garamond" w:hAnsi="Garamond"/>
          <w:sz w:val="24"/>
          <w:szCs w:val="24"/>
          <w:lang w:val="sq-AL"/>
        </w:rPr>
        <w:t>, e të shpallu</w:t>
      </w:r>
      <w:r w:rsidR="00626251">
        <w:rPr>
          <w:rFonts w:ascii="Garamond" w:hAnsi="Garamond"/>
          <w:sz w:val="24"/>
          <w:szCs w:val="24"/>
          <w:lang w:val="sq-AL"/>
        </w:rPr>
        <w:t>ra sipas nenit 17, paragrafi 1</w:t>
      </w:r>
      <w:r w:rsidR="00583ABC" w:rsidRPr="001C458B">
        <w:rPr>
          <w:rFonts w:ascii="Garamond" w:hAnsi="Garamond"/>
          <w:sz w:val="24"/>
          <w:szCs w:val="24"/>
          <w:lang w:val="sq-AL"/>
        </w:rPr>
        <w:t>.</w:t>
      </w:r>
    </w:p>
    <w:p w14:paraId="478B345D" w14:textId="77777777" w:rsidR="00583ABC" w:rsidRPr="001C458B" w:rsidRDefault="00583ABC" w:rsidP="003D1B12">
      <w:pPr>
        <w:spacing w:after="0" w:line="240" w:lineRule="auto"/>
        <w:ind w:firstLine="284"/>
        <w:jc w:val="both"/>
        <w:rPr>
          <w:rFonts w:ascii="Garamond" w:hAnsi="Garamond"/>
          <w:sz w:val="24"/>
          <w:szCs w:val="24"/>
          <w:lang w:val="sq-AL"/>
        </w:rPr>
      </w:pPr>
    </w:p>
    <w:p w14:paraId="4264A5C2"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2:</w:t>
      </w:r>
    </w:p>
    <w:tbl>
      <w:tblPr>
        <w:tblStyle w:val="TableGrid1"/>
        <w:tblW w:w="0" w:type="auto"/>
        <w:tblInd w:w="720" w:type="dxa"/>
        <w:tblLook w:val="04A0" w:firstRow="1" w:lastRow="0" w:firstColumn="1" w:lastColumn="0" w:noHBand="0" w:noVBand="1"/>
      </w:tblPr>
      <w:tblGrid>
        <w:gridCol w:w="1329"/>
        <w:gridCol w:w="1609"/>
        <w:gridCol w:w="1432"/>
        <w:gridCol w:w="1483"/>
        <w:gridCol w:w="1519"/>
        <w:gridCol w:w="1258"/>
      </w:tblGrid>
      <w:tr w:rsidR="00583ABC" w:rsidRPr="001C458B" w14:paraId="6060B547" w14:textId="77777777" w:rsidTr="00557377">
        <w:tc>
          <w:tcPr>
            <w:tcW w:w="1329" w:type="dxa"/>
          </w:tcPr>
          <w:p w14:paraId="2A37D261" w14:textId="77777777" w:rsidR="00583ABC" w:rsidRPr="001C458B" w:rsidRDefault="00583ABC" w:rsidP="00D21136">
            <w:pPr>
              <w:jc w:val="both"/>
              <w:rPr>
                <w:rFonts w:ascii="Garamond" w:hAnsi="Garamond"/>
                <w:sz w:val="24"/>
                <w:szCs w:val="24"/>
                <w:lang w:val="sq-AL"/>
              </w:rPr>
            </w:pPr>
          </w:p>
        </w:tc>
        <w:tc>
          <w:tcPr>
            <w:tcW w:w="1609" w:type="dxa"/>
          </w:tcPr>
          <w:p w14:paraId="3A8E90FB"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 xml:space="preserve">Viti 2020 </w:t>
            </w:r>
          </w:p>
          <w:p w14:paraId="0A5CBA70"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 xml:space="preserve">(29 mars – 31 dhjetor) </w:t>
            </w:r>
          </w:p>
        </w:tc>
        <w:tc>
          <w:tcPr>
            <w:tcW w:w="1432" w:type="dxa"/>
          </w:tcPr>
          <w:p w14:paraId="22691895"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Viti 2021</w:t>
            </w:r>
          </w:p>
        </w:tc>
        <w:tc>
          <w:tcPr>
            <w:tcW w:w="1483" w:type="dxa"/>
          </w:tcPr>
          <w:p w14:paraId="34E0C0F4"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Viti 2022</w:t>
            </w:r>
          </w:p>
        </w:tc>
        <w:tc>
          <w:tcPr>
            <w:tcW w:w="1519" w:type="dxa"/>
          </w:tcPr>
          <w:p w14:paraId="2D572CA7"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 xml:space="preserve">Viti 2023 </w:t>
            </w:r>
          </w:p>
        </w:tc>
        <w:tc>
          <w:tcPr>
            <w:tcW w:w="1258" w:type="dxa"/>
          </w:tcPr>
          <w:p w14:paraId="0458DE9C"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Viti 2024 dhe në vazhdim</w:t>
            </w:r>
          </w:p>
        </w:tc>
      </w:tr>
      <w:tr w:rsidR="00583ABC" w:rsidRPr="001C458B" w14:paraId="35592465" w14:textId="77777777" w:rsidTr="00557377">
        <w:tc>
          <w:tcPr>
            <w:tcW w:w="1329" w:type="dxa"/>
          </w:tcPr>
          <w:p w14:paraId="79173DE1"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KONS =</w:t>
            </w:r>
          </w:p>
        </w:tc>
        <w:tc>
          <w:tcPr>
            <w:tcW w:w="1609" w:type="dxa"/>
          </w:tcPr>
          <w:p w14:paraId="0BADDFD2"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0.50%</w:t>
            </w:r>
          </w:p>
        </w:tc>
        <w:tc>
          <w:tcPr>
            <w:tcW w:w="1432" w:type="dxa"/>
          </w:tcPr>
          <w:p w14:paraId="2870312A"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1.00%</w:t>
            </w:r>
          </w:p>
        </w:tc>
        <w:tc>
          <w:tcPr>
            <w:tcW w:w="1483" w:type="dxa"/>
          </w:tcPr>
          <w:p w14:paraId="731AE2BC"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1.50%</w:t>
            </w:r>
          </w:p>
        </w:tc>
        <w:tc>
          <w:tcPr>
            <w:tcW w:w="1519" w:type="dxa"/>
          </w:tcPr>
          <w:p w14:paraId="69793543"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2.00%</w:t>
            </w:r>
          </w:p>
        </w:tc>
        <w:tc>
          <w:tcPr>
            <w:tcW w:w="1258" w:type="dxa"/>
          </w:tcPr>
          <w:p w14:paraId="69FD4BFD" w14:textId="77777777" w:rsidR="00583ABC" w:rsidRPr="001C458B" w:rsidRDefault="00583ABC" w:rsidP="00D21136">
            <w:pPr>
              <w:jc w:val="both"/>
              <w:rPr>
                <w:rFonts w:ascii="Garamond" w:hAnsi="Garamond"/>
                <w:sz w:val="24"/>
                <w:szCs w:val="24"/>
                <w:lang w:val="sq-AL"/>
              </w:rPr>
            </w:pPr>
            <w:r w:rsidRPr="001C458B">
              <w:rPr>
                <w:rFonts w:ascii="Garamond" w:hAnsi="Garamond"/>
                <w:sz w:val="24"/>
                <w:szCs w:val="24"/>
                <w:lang w:val="sq-AL"/>
              </w:rPr>
              <w:t>2.50%</w:t>
            </w:r>
          </w:p>
        </w:tc>
      </w:tr>
    </w:tbl>
    <w:p w14:paraId="37D5F75B" w14:textId="77777777" w:rsidR="00583ABC" w:rsidRPr="001C458B" w:rsidRDefault="00583ABC" w:rsidP="003D1B12">
      <w:pPr>
        <w:spacing w:after="0" w:line="240" w:lineRule="auto"/>
        <w:ind w:firstLine="284"/>
        <w:jc w:val="both"/>
        <w:rPr>
          <w:rFonts w:ascii="Garamond" w:hAnsi="Garamond"/>
          <w:sz w:val="24"/>
          <w:szCs w:val="24"/>
          <w:lang w:val="sq-AL"/>
        </w:rPr>
      </w:pPr>
    </w:p>
    <w:p w14:paraId="267F2E89" w14:textId="7781BA16"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Banka përfshin nivelet e KONS-it sipas paragrafit 1, në përcaktimin e SHKOMAK-ut për periudhat përkatëse, sipas nenit 6.</w:t>
      </w:r>
    </w:p>
    <w:p w14:paraId="56348A20" w14:textId="51938F19"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 xml:space="preserve">Çdo vlerë e KBN1-së mbi vlerën minimale që kërkohet për plotësimin e KBN1r, konsiderohet e vlefshme për t’u përfshirë në KONS vetëm për pjesën që ka mbetur pas plotësimit më parë të kërkesës/-ave minimale për kapital për KN1r-në, për RMK-në dhe (eventualisht) për kërkesat e tjera të detyrueshme të kapitalit që zbatohen ndaj bankës. </w:t>
      </w:r>
    </w:p>
    <w:p w14:paraId="00E5525A" w14:textId="49CA5C08"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Pavarësisht nga përcaktimet në paragrafin</w:t>
      </w:r>
      <w:r w:rsidR="002E3C13">
        <w:rPr>
          <w:rFonts w:ascii="Garamond" w:hAnsi="Garamond"/>
          <w:sz w:val="24"/>
          <w:szCs w:val="24"/>
          <w:lang w:val="sq-AL"/>
        </w:rPr>
        <w:t xml:space="preserve"> </w:t>
      </w:r>
      <w:r w:rsidR="00583ABC" w:rsidRPr="001C458B">
        <w:rPr>
          <w:rFonts w:ascii="Garamond" w:hAnsi="Garamond"/>
          <w:sz w:val="24"/>
          <w:szCs w:val="24"/>
          <w:lang w:val="sq-AL"/>
        </w:rPr>
        <w:t>1, Banka e Shqipërisë mund të shpallë një vlerë më të lartë të KONS-it në secilin nga vitet e periudhës 2020-2023, pa kapërcyer vlerën maksimale prej 2.5%, nëse kjo vlerësohet e nevojshme për shkak të rritjes së rreziqeve sistemike.</w:t>
      </w:r>
    </w:p>
    <w:p w14:paraId="05068A68" w14:textId="1AADA6D2"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Në rastin kur veprohet sipas paragrafit 4:</w:t>
      </w:r>
    </w:p>
    <w:p w14:paraId="66F8596C" w14:textId="0CCA1459"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vendimmarrja e Bankës së Shqipërisë për KONS-in realizohet sipas nenit 16, paragrafi 1 dhe shpallja e tij realizohet sipas nenit 17, paragrafi 1;</w:t>
      </w:r>
    </w:p>
    <w:p w14:paraId="608B736D" w14:textId="0B290A54"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data efektive e KONS-it nuk mund të jetë më e afërt se 6 muaj dhe më e largët se 12 muaj, nga data e shpalljes.</w:t>
      </w:r>
    </w:p>
    <w:p w14:paraId="5B4653A1" w14:textId="77777777" w:rsidR="00583ABC" w:rsidRPr="001C458B" w:rsidRDefault="00583ABC" w:rsidP="003D1B12">
      <w:pPr>
        <w:spacing w:after="0" w:line="240" w:lineRule="auto"/>
        <w:ind w:firstLine="284"/>
        <w:jc w:val="both"/>
        <w:rPr>
          <w:rFonts w:ascii="Garamond" w:hAnsi="Garamond"/>
          <w:sz w:val="24"/>
          <w:szCs w:val="24"/>
          <w:lang w:val="sq-AL"/>
        </w:rPr>
      </w:pPr>
    </w:p>
    <w:p w14:paraId="340333C3" w14:textId="407DF582" w:rsidR="00583ABC" w:rsidRPr="001C458B" w:rsidRDefault="00583ABC" w:rsidP="00D21136">
      <w:pPr>
        <w:spacing w:after="0" w:line="240" w:lineRule="auto"/>
        <w:jc w:val="center"/>
        <w:rPr>
          <w:rFonts w:ascii="Garamond" w:hAnsi="Garamond"/>
          <w:sz w:val="24"/>
          <w:szCs w:val="24"/>
          <w:lang w:val="sq-AL"/>
        </w:rPr>
      </w:pPr>
      <w:r w:rsidRPr="001C458B">
        <w:rPr>
          <w:rFonts w:ascii="Garamond" w:hAnsi="Garamond"/>
          <w:sz w:val="24"/>
          <w:szCs w:val="24"/>
          <w:lang w:val="sq-AL"/>
        </w:rPr>
        <w:t>Neni 11</w:t>
      </w:r>
    </w:p>
    <w:p w14:paraId="79E5855F" w14:textId="77777777" w:rsidR="00583ABC" w:rsidRPr="001C458B" w:rsidRDefault="00583ABC" w:rsidP="00D21136">
      <w:pPr>
        <w:spacing w:after="0" w:line="240" w:lineRule="auto"/>
        <w:jc w:val="center"/>
        <w:rPr>
          <w:rFonts w:ascii="Garamond" w:hAnsi="Garamond"/>
          <w:b/>
          <w:sz w:val="24"/>
          <w:szCs w:val="24"/>
          <w:lang w:val="sq-AL"/>
        </w:rPr>
      </w:pPr>
      <w:r w:rsidRPr="001C458B">
        <w:rPr>
          <w:rFonts w:ascii="Garamond" w:hAnsi="Garamond"/>
          <w:b/>
          <w:sz w:val="24"/>
          <w:szCs w:val="24"/>
          <w:lang w:val="sq-AL"/>
        </w:rPr>
        <w:t>Shtesa kundërciklike e kapitalit (KUNC), shtesa kundërciklike e kapitalit e aplikuar (AKUNC) dhe shtesa kundërciklike e kapitalit specifike për bankën (SPEKUNC)</w:t>
      </w:r>
    </w:p>
    <w:p w14:paraId="753A7CED" w14:textId="77777777" w:rsidR="00583ABC" w:rsidRPr="001C458B" w:rsidRDefault="00583ABC" w:rsidP="003D1B12">
      <w:pPr>
        <w:spacing w:after="0" w:line="240" w:lineRule="auto"/>
        <w:ind w:firstLine="284"/>
        <w:jc w:val="both"/>
        <w:rPr>
          <w:rFonts w:ascii="Garamond" w:hAnsi="Garamond"/>
          <w:sz w:val="24"/>
          <w:szCs w:val="24"/>
          <w:lang w:val="sq-AL"/>
        </w:rPr>
      </w:pPr>
    </w:p>
    <w:p w14:paraId="5FD79432" w14:textId="497FE159"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1</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KUNC-i:</w:t>
      </w:r>
    </w:p>
    <w:p w14:paraId="4C611484" w14:textId="7DA8CFE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për Shqipërinë, shpallet nga Banka e Shqipërisë, pasi është përcaktuar sipas nenit 12 dhe përdoret nga banka sipas këtij neni;</w:t>
      </w:r>
    </w:p>
    <w:p w14:paraId="435CE9B0" w14:textId="503D554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për një juridiksion të huaj, banka përdor normën e shpallur nga autoriteti përgjegjës në juridiksionin e huaj, nëse Banka e Shqipërisë nuk ka shpallur një normë tjetër sipas nenit 13.</w:t>
      </w:r>
    </w:p>
    <w:p w14:paraId="1F2E5A94" w14:textId="137509D1"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2</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 kushtet e përcaktuara në paragrafin 1</w:t>
      </w:r>
      <w:r w:rsidR="002E3C13">
        <w:rPr>
          <w:rFonts w:ascii="Garamond" w:hAnsi="Garamond"/>
          <w:sz w:val="24"/>
          <w:szCs w:val="24"/>
          <w:lang w:val="sq-AL"/>
        </w:rPr>
        <w:t>/</w:t>
      </w:r>
      <w:r w:rsidR="00583ABC" w:rsidRPr="001C458B">
        <w:rPr>
          <w:rFonts w:ascii="Garamond" w:hAnsi="Garamond"/>
          <w:sz w:val="24"/>
          <w:szCs w:val="24"/>
          <w:lang w:val="sq-AL"/>
        </w:rPr>
        <w:t>a, Banka e Shqipërisë kujdeset që KUNC-i:</w:t>
      </w:r>
    </w:p>
    <w:p w14:paraId="7F2C559D" w14:textId="6179B53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të vlerësohet dhe të përcaktohet me frekuencë tremujore;</w:t>
      </w:r>
    </w:p>
    <w:p w14:paraId="62DD5D12" w14:textId="525B784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të ketë si rregull një vlerë midis 0% dhe 2.5%, përveç rastit kur analiza sipas nenit 12, paragrafi 2 justifikon një nivel më të lartë të normës; dhe</w:t>
      </w:r>
    </w:p>
    <w:p w14:paraId="61487140" w14:textId="1E371680"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të ndryshojë me një shumëfish të plotë të 0.25%.</w:t>
      </w:r>
    </w:p>
    <w:p w14:paraId="7559125C" w14:textId="27BBC18F"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3</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 kushtet e përcaktuara në paragrafin 1</w:t>
      </w:r>
      <w:r w:rsidR="002E3C13">
        <w:rPr>
          <w:rFonts w:ascii="Garamond" w:hAnsi="Garamond"/>
          <w:sz w:val="24"/>
          <w:szCs w:val="24"/>
          <w:lang w:val="sq-AL"/>
        </w:rPr>
        <w:t>/</w:t>
      </w:r>
      <w:r w:rsidR="00583ABC" w:rsidRPr="001C458B">
        <w:rPr>
          <w:rFonts w:ascii="Garamond" w:hAnsi="Garamond"/>
          <w:sz w:val="24"/>
          <w:szCs w:val="24"/>
          <w:lang w:val="sq-AL"/>
        </w:rPr>
        <w:t>a, Banka e Shqipërisë kujdeset që KUNC-i të përcaktohet duke marrë në konsideratë:</w:t>
      </w:r>
    </w:p>
    <w:p w14:paraId="3D14FF28" w14:textId="68FD4AA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treguesit e referencës sipas paragrafit 4;</w:t>
      </w:r>
    </w:p>
    <w:p w14:paraId="698D7513" w14:textId="0E62E99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rekomandimet e nxjerra nga BERRS-i për përcaktimin e normës së shtesës kundërciklike të kapitalit; dhe</w:t>
      </w:r>
    </w:p>
    <w:p w14:paraId="72D1480B" w14:textId="03A7139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faktorë të tjerë që Banka e Shqipërisë i konsideron të rëndësishëm për të trajtuar karakteristikat ciklike të rrezikut sistemik.</w:t>
      </w:r>
    </w:p>
    <w:p w14:paraId="7C958B7F" w14:textId="6552ACC7"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4</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Banka e Shqipërisë kujdeset që treguesit e referencës sipas paragrafit 3</w:t>
      </w:r>
      <w:r w:rsidR="002E3C13">
        <w:rPr>
          <w:rFonts w:ascii="Garamond" w:hAnsi="Garamond"/>
          <w:sz w:val="24"/>
          <w:szCs w:val="24"/>
          <w:lang w:val="sq-AL"/>
        </w:rPr>
        <w:t>/</w:t>
      </w:r>
      <w:r w:rsidR="00583ABC" w:rsidRPr="001C458B">
        <w:rPr>
          <w:rFonts w:ascii="Garamond" w:hAnsi="Garamond"/>
          <w:sz w:val="24"/>
          <w:szCs w:val="24"/>
          <w:lang w:val="sq-AL"/>
        </w:rPr>
        <w:t>a:</w:t>
      </w:r>
    </w:p>
    <w:p w14:paraId="223B65B5" w14:textId="6025A192"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të reflektojnë, në një mënyrë sa më të drejtë, ciklin e kreditimit dhe rreziqet që shoqërojnë rritjen e tepërt të kreditimit në vend;</w:t>
      </w:r>
    </w:p>
    <w:p w14:paraId="5BB987C0" w14:textId="1EB440DF"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të marrë në konsideratë në mënyrë të përshtatshme specifikat e ekonomisë së vendit; </w:t>
      </w:r>
    </w:p>
    <w:p w14:paraId="7799B706" w14:textId="042974E5"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të mbështeten, pa u kufizuar, mbi shmangien e raportit të kredisë ndaj prodhimit të brendshëm bruto (PBB) prej prirjes së tij afatgjatë, duke marrë në konsideratë:</w:t>
      </w:r>
    </w:p>
    <w:p w14:paraId="5F0F5F0F" w14:textId="77C35A94" w:rsidR="00583ABC" w:rsidRPr="001C458B" w:rsidRDefault="00D21136" w:rsidP="00D21136">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një tregues të rritjes së nivelit të kreditimit brenda vendit, dhe veçanërisht, një tregues të ndryshimit të raportit të kredisë dhënë në vend ndaj PBB-së,</w:t>
      </w:r>
    </w:p>
    <w:p w14:paraId="6BBEA248" w14:textId="2AFE67D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1C458B">
        <w:rPr>
          <w:rFonts w:ascii="Garamond" w:hAnsi="Garamond"/>
          <w:sz w:val="24"/>
          <w:szCs w:val="24"/>
          <w:lang w:val="sq-AL"/>
        </w:rPr>
        <w:t>.</w:t>
      </w:r>
      <w:r w:rsidRPr="001C458B">
        <w:rPr>
          <w:rFonts w:ascii="Garamond" w:hAnsi="Garamond"/>
          <w:sz w:val="24"/>
          <w:szCs w:val="24"/>
          <w:lang w:val="sq-AL"/>
        </w:rPr>
        <w:t xml:space="preserve"> çdo orientim të dhënë për këtë qëllim nga BERRS-i.</w:t>
      </w:r>
    </w:p>
    <w:p w14:paraId="2B16FC61" w14:textId="3109DFC5"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5</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Banka e Shqipërisë zhvillon një metodologji për përcaktimin e KUNC-it dhe e publikon atë. Në metodologji identifikohen treguesit e referencës që i shërbejnë gjykimit të saj për vlerësimin e ciklit financiar, mbështetur në ecurinë e kreditimit, mënyrën se si ata ndërlidhen me nivelin e KUNC-it, si edhe në procesin që ndjek Banka e Shqipërisë për vlerësimin e rreziqeve që lidhen me kreditimin e shpejtë.</w:t>
      </w:r>
    </w:p>
    <w:p w14:paraId="54E3CE69" w14:textId="341F0BAB" w:rsidR="00583ABC" w:rsidRPr="001C458B" w:rsidRDefault="00D2113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6</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Mbi bazën e KUNC-it të përcaktuar sipas paragrafit 1, banka llogarit:</w:t>
      </w:r>
    </w:p>
    <w:p w14:paraId="3E9C2691" w14:textId="7C877B4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SPEKUNC-in, sipas formulës:</w:t>
      </w:r>
    </w:p>
    <w:p w14:paraId="0780652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SPEKUNC = (∑ (KPK_EPSHKj * AKUNCj)) / ∑ KPK_EPSHKj</w:t>
      </w:r>
    </w:p>
    <w:p w14:paraId="63B4CF1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ku:</w:t>
      </w:r>
    </w:p>
    <w:p w14:paraId="2A79D4B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j – është Shqipëria dhe çdo juridiksion i huaj ku banka ka EPSHK dhe që zbaton shtesën kundërciklike të kapitalit (duke përfshirë edhe normën 0%),</w:t>
      </w:r>
    </w:p>
    <w:p w14:paraId="1EE13F4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KPK_EPSHKj – është shuma e:</w:t>
      </w:r>
    </w:p>
    <w:p w14:paraId="42454A61" w14:textId="545324A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kërkesës për kapital rrjedhur nga EPSHK-të e bankës sipas nenit 4, nënparagrafit 30</w:t>
      </w:r>
      <w:r w:rsidR="002E3C13">
        <w:rPr>
          <w:rFonts w:ascii="Garamond" w:hAnsi="Garamond"/>
          <w:sz w:val="24"/>
          <w:szCs w:val="24"/>
          <w:lang w:val="sq-AL"/>
        </w:rPr>
        <w:t>/</w:t>
      </w:r>
      <w:r w:rsidR="00583ABC" w:rsidRPr="001C458B">
        <w:rPr>
          <w:rFonts w:ascii="Garamond" w:hAnsi="Garamond"/>
          <w:sz w:val="24"/>
          <w:szCs w:val="24"/>
          <w:lang w:val="sq-AL"/>
        </w:rPr>
        <w:t>a, në juridiksionin j, dhe</w:t>
      </w:r>
    </w:p>
    <w:p w14:paraId="77433EEE" w14:textId="0739ED59"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kërkesës për kapital rrjedhur nga EPSHK-të e bankës, sipas nenit 4, nënparagrafit 30</w:t>
      </w:r>
      <w:r w:rsidR="002E3C13">
        <w:rPr>
          <w:rFonts w:ascii="Garamond" w:hAnsi="Garamond"/>
          <w:sz w:val="24"/>
          <w:szCs w:val="24"/>
          <w:lang w:val="sq-AL"/>
        </w:rPr>
        <w:t>/</w:t>
      </w:r>
      <w:r w:rsidR="00583ABC" w:rsidRPr="001C458B">
        <w:rPr>
          <w:rFonts w:ascii="Garamond" w:hAnsi="Garamond"/>
          <w:sz w:val="24"/>
          <w:szCs w:val="24"/>
          <w:lang w:val="sq-AL"/>
        </w:rPr>
        <w:t>b, në juridiksionin j, dhe</w:t>
      </w:r>
    </w:p>
    <w:p w14:paraId="69D22C8A" w14:textId="504F248C"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kërkesës për kapital rrjedhur nga EPSHK-të e bankës, sipas nenit 4, nënparagrafit 30</w:t>
      </w:r>
      <w:r w:rsidR="002E3C13">
        <w:rPr>
          <w:rFonts w:ascii="Garamond" w:hAnsi="Garamond"/>
          <w:sz w:val="24"/>
          <w:szCs w:val="24"/>
          <w:lang w:val="sq-AL"/>
        </w:rPr>
        <w:t>/</w:t>
      </w:r>
      <w:r w:rsidR="00583ABC" w:rsidRPr="001C458B">
        <w:rPr>
          <w:rFonts w:ascii="Garamond" w:hAnsi="Garamond"/>
          <w:sz w:val="24"/>
          <w:szCs w:val="24"/>
          <w:lang w:val="sq-AL"/>
        </w:rPr>
        <w:t>c, në juridiksionin j,</w:t>
      </w:r>
    </w:p>
    <w:p w14:paraId="3F03A28B"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AKUNCj – është KUNC-i i aplikuar në juridiksionin j (Shqipëri ose një vend i huaj) ose çdo shtesë kapitali që ka qëllimin e KUNC për juridiksion j, i përcaktuar sipas nenit 12 dhe nenit 13; </w:t>
      </w:r>
    </w:p>
    <w:p w14:paraId="7C05C3C4" w14:textId="03EECA18"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vlerën absolute të shtesës kundërciklike të kapitalit, e cila është e barabartë me prodhimin e SPEKUNC-it me EPR-në (SPEKUNC * EPR).</w:t>
      </w:r>
    </w:p>
    <w:p w14:paraId="60437A88" w14:textId="55A4064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7</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Nëse vlera e llogaritur e SPEKUNC-it sipas paragrafit 6</w:t>
      </w:r>
      <w:r w:rsidR="002E3C13">
        <w:rPr>
          <w:rFonts w:ascii="Garamond" w:hAnsi="Garamond"/>
          <w:sz w:val="24"/>
          <w:szCs w:val="24"/>
          <w:lang w:val="sq-AL"/>
        </w:rPr>
        <w:t>/</w:t>
      </w:r>
      <w:r w:rsidR="00583ABC" w:rsidRPr="001C458B">
        <w:rPr>
          <w:rFonts w:ascii="Garamond" w:hAnsi="Garamond"/>
          <w:sz w:val="24"/>
          <w:szCs w:val="24"/>
          <w:lang w:val="sq-AL"/>
        </w:rPr>
        <w:t>a kapërcen vlerën në tabelën 3 sipas periudhës së përmbushjes, atëherë banka mund të zgjedhë të përdorë si normë të SPEKUNC-it vlerën përkatëse në tabelën 3:</w:t>
      </w:r>
    </w:p>
    <w:p w14:paraId="17C0A05B" w14:textId="77777777" w:rsidR="00583ABC" w:rsidRPr="001C458B" w:rsidRDefault="00583ABC" w:rsidP="003D1B12">
      <w:pPr>
        <w:spacing w:after="0" w:line="240" w:lineRule="auto"/>
        <w:ind w:firstLine="284"/>
        <w:jc w:val="both"/>
        <w:rPr>
          <w:rFonts w:ascii="Garamond" w:hAnsi="Garamond"/>
          <w:sz w:val="24"/>
          <w:szCs w:val="24"/>
          <w:lang w:val="sq-AL"/>
        </w:rPr>
      </w:pPr>
    </w:p>
    <w:p w14:paraId="53D47A94" w14:textId="03F99CD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3</w:t>
      </w:r>
    </w:p>
    <w:tbl>
      <w:tblPr>
        <w:tblStyle w:val="TableGrid1"/>
        <w:tblW w:w="0" w:type="auto"/>
        <w:tblInd w:w="720" w:type="dxa"/>
        <w:tblLook w:val="04A0" w:firstRow="1" w:lastRow="0" w:firstColumn="1" w:lastColumn="0" w:noHBand="0" w:noVBand="1"/>
      </w:tblPr>
      <w:tblGrid>
        <w:gridCol w:w="1378"/>
        <w:gridCol w:w="1675"/>
        <w:gridCol w:w="1406"/>
        <w:gridCol w:w="1459"/>
        <w:gridCol w:w="1499"/>
        <w:gridCol w:w="1213"/>
      </w:tblGrid>
      <w:tr w:rsidR="00583ABC" w:rsidRPr="001C458B" w14:paraId="0078BA5D" w14:textId="77777777" w:rsidTr="00557377">
        <w:tc>
          <w:tcPr>
            <w:tcW w:w="1378" w:type="dxa"/>
          </w:tcPr>
          <w:p w14:paraId="196F7076" w14:textId="77777777" w:rsidR="00583ABC" w:rsidRPr="001C458B" w:rsidRDefault="00583ABC" w:rsidP="004B4466">
            <w:pPr>
              <w:jc w:val="both"/>
              <w:rPr>
                <w:rFonts w:ascii="Garamond" w:hAnsi="Garamond"/>
                <w:sz w:val="24"/>
                <w:szCs w:val="24"/>
                <w:lang w:val="sq-AL"/>
              </w:rPr>
            </w:pPr>
          </w:p>
        </w:tc>
        <w:tc>
          <w:tcPr>
            <w:tcW w:w="1675" w:type="dxa"/>
          </w:tcPr>
          <w:p w14:paraId="633A198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2020 </w:t>
            </w:r>
          </w:p>
          <w:p w14:paraId="46F27F3A"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(29 mars – 31 dhjetor) </w:t>
            </w:r>
          </w:p>
        </w:tc>
        <w:tc>
          <w:tcPr>
            <w:tcW w:w="1406" w:type="dxa"/>
          </w:tcPr>
          <w:p w14:paraId="6007A17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2021 </w:t>
            </w:r>
          </w:p>
          <w:p w14:paraId="1FCA6AC9" w14:textId="77777777" w:rsidR="00583ABC" w:rsidRPr="001C458B" w:rsidRDefault="00583ABC" w:rsidP="004B4466">
            <w:pPr>
              <w:jc w:val="both"/>
              <w:rPr>
                <w:rFonts w:ascii="Garamond" w:hAnsi="Garamond"/>
                <w:sz w:val="24"/>
                <w:szCs w:val="24"/>
                <w:lang w:val="sq-AL"/>
              </w:rPr>
            </w:pPr>
          </w:p>
        </w:tc>
        <w:tc>
          <w:tcPr>
            <w:tcW w:w="1459" w:type="dxa"/>
          </w:tcPr>
          <w:p w14:paraId="336F73F7"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2022</w:t>
            </w:r>
          </w:p>
          <w:p w14:paraId="55C0A77E" w14:textId="77777777" w:rsidR="00583ABC" w:rsidRPr="001C458B" w:rsidRDefault="00583ABC" w:rsidP="004B4466">
            <w:pPr>
              <w:jc w:val="both"/>
              <w:rPr>
                <w:rFonts w:ascii="Garamond" w:hAnsi="Garamond"/>
                <w:sz w:val="24"/>
                <w:szCs w:val="24"/>
                <w:lang w:val="sq-AL"/>
              </w:rPr>
            </w:pPr>
          </w:p>
        </w:tc>
        <w:tc>
          <w:tcPr>
            <w:tcW w:w="1499" w:type="dxa"/>
          </w:tcPr>
          <w:p w14:paraId="5AE661AA"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2023 </w:t>
            </w:r>
          </w:p>
        </w:tc>
        <w:tc>
          <w:tcPr>
            <w:tcW w:w="1213" w:type="dxa"/>
          </w:tcPr>
          <w:p w14:paraId="533DAF3E"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2024 dhe në vazhdim</w:t>
            </w:r>
          </w:p>
        </w:tc>
      </w:tr>
      <w:tr w:rsidR="00583ABC" w:rsidRPr="001C458B" w14:paraId="6BD28308" w14:textId="77777777" w:rsidTr="00557377">
        <w:tc>
          <w:tcPr>
            <w:tcW w:w="1378" w:type="dxa"/>
          </w:tcPr>
          <w:p w14:paraId="3292374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SPEKUNC ≤</w:t>
            </w:r>
          </w:p>
        </w:tc>
        <w:tc>
          <w:tcPr>
            <w:tcW w:w="1675" w:type="dxa"/>
          </w:tcPr>
          <w:p w14:paraId="2E5FB986"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0.625%</w:t>
            </w:r>
          </w:p>
        </w:tc>
        <w:tc>
          <w:tcPr>
            <w:tcW w:w="1406" w:type="dxa"/>
          </w:tcPr>
          <w:p w14:paraId="295D0C0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 1.25%</w:t>
            </w:r>
          </w:p>
        </w:tc>
        <w:tc>
          <w:tcPr>
            <w:tcW w:w="1459" w:type="dxa"/>
          </w:tcPr>
          <w:p w14:paraId="71A34F87"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 1.875%</w:t>
            </w:r>
          </w:p>
        </w:tc>
        <w:tc>
          <w:tcPr>
            <w:tcW w:w="1499" w:type="dxa"/>
          </w:tcPr>
          <w:p w14:paraId="212EF494"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2.50% </w:t>
            </w:r>
          </w:p>
        </w:tc>
        <w:tc>
          <w:tcPr>
            <w:tcW w:w="1213" w:type="dxa"/>
          </w:tcPr>
          <w:p w14:paraId="21699DAC"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3.00%</w:t>
            </w:r>
          </w:p>
        </w:tc>
      </w:tr>
    </w:tbl>
    <w:p w14:paraId="05F9C8EA" w14:textId="77777777" w:rsidR="00583ABC" w:rsidRPr="001C458B" w:rsidRDefault="00583ABC" w:rsidP="003D1B12">
      <w:pPr>
        <w:spacing w:after="0" w:line="240" w:lineRule="auto"/>
        <w:ind w:firstLine="284"/>
        <w:jc w:val="both"/>
        <w:rPr>
          <w:rFonts w:ascii="Garamond" w:hAnsi="Garamond"/>
          <w:sz w:val="24"/>
          <w:szCs w:val="24"/>
          <w:lang w:val="sq-AL"/>
        </w:rPr>
      </w:pPr>
    </w:p>
    <w:p w14:paraId="5A9D67FD" w14:textId="118C8412"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8</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Niveli i SPEKUNC-it, përfshihet në llogaritjen e SHKOMAK-ut për periudhat përkatëse, sipas nenit 6.</w:t>
      </w:r>
    </w:p>
    <w:p w14:paraId="388974CB" w14:textId="380FEE7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9</w:t>
      </w:r>
      <w:r w:rsidR="001C458B">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Banka ka përgjegjësinë:</w:t>
      </w:r>
    </w:p>
    <w:p w14:paraId="514D49CB" w14:textId="76D6F46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të përcaktojë dhe të raportojë të gjitha juridiksionet ku ka EPSHK sipas paragrafit 10, si edhe llojet e EPSHK-ve;</w:t>
      </w:r>
    </w:p>
    <w:p w14:paraId="1D14C56B" w14:textId="2E15343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të identifikojë normën e AKUNC-it dhe ndryshimet e saj, në juridiksionet ku ka ose synon të krijojë EPSHK;</w:t>
      </w:r>
    </w:p>
    <w:p w14:paraId="40E65716" w14:textId="4D5A74A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 xml:space="preserve">pa shmangur përgjegjësinë e saj për plotësimin e kërkesës së nënparagrafit </w:t>
      </w:r>
      <w:r w:rsidR="002E3C13">
        <w:rPr>
          <w:rFonts w:ascii="Garamond" w:hAnsi="Garamond"/>
          <w:sz w:val="24"/>
          <w:szCs w:val="24"/>
          <w:lang w:val="sq-AL"/>
        </w:rPr>
        <w:t>“</w:t>
      </w:r>
      <w:r w:rsidR="00583ABC" w:rsidRPr="001C458B">
        <w:rPr>
          <w:rFonts w:ascii="Garamond" w:hAnsi="Garamond"/>
          <w:sz w:val="24"/>
          <w:szCs w:val="24"/>
          <w:lang w:val="sq-AL"/>
        </w:rPr>
        <w:t>b</w:t>
      </w:r>
      <w:r w:rsidR="002E3C13">
        <w:rPr>
          <w:rFonts w:ascii="Garamond" w:hAnsi="Garamond"/>
          <w:sz w:val="24"/>
          <w:szCs w:val="24"/>
          <w:lang w:val="sq-AL"/>
        </w:rPr>
        <w:t>”</w:t>
      </w:r>
      <w:r w:rsidR="00583ABC" w:rsidRPr="001C458B">
        <w:rPr>
          <w:rFonts w:ascii="Garamond" w:hAnsi="Garamond"/>
          <w:sz w:val="24"/>
          <w:szCs w:val="24"/>
          <w:lang w:val="sq-AL"/>
        </w:rPr>
        <w:t>, mund të konsultojë paraprakisht Bankën e Shqipërisë, nëse ka vështirësi në identifikimin e AKUNC-it.</w:t>
      </w:r>
    </w:p>
    <w:p w14:paraId="43EAC28A" w14:textId="7E1B3F01"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10. </w:t>
      </w:r>
      <w:r w:rsidR="00583ABC" w:rsidRPr="001C458B">
        <w:rPr>
          <w:rFonts w:ascii="Garamond" w:hAnsi="Garamond"/>
          <w:sz w:val="24"/>
          <w:szCs w:val="24"/>
          <w:lang w:val="sq-AL"/>
        </w:rPr>
        <w:t>Për të përmbushur kërkesën e paragrafit 9</w:t>
      </w:r>
      <w:r w:rsidR="002E3C13">
        <w:rPr>
          <w:rFonts w:ascii="Garamond" w:hAnsi="Garamond"/>
          <w:sz w:val="24"/>
          <w:szCs w:val="24"/>
          <w:lang w:val="sq-AL"/>
        </w:rPr>
        <w:t>/</w:t>
      </w:r>
      <w:r w:rsidR="00583ABC" w:rsidRPr="001C458B">
        <w:rPr>
          <w:rFonts w:ascii="Garamond" w:hAnsi="Garamond"/>
          <w:sz w:val="24"/>
          <w:szCs w:val="24"/>
          <w:lang w:val="sq-AL"/>
        </w:rPr>
        <w:t>a, banka e identifikon juridiksionin përkatës sipas konceptit të lokalizimit të rrezikut përfundimtar, në përputhje me nenin 4, paragrafi 1, nënparagrafët 31, 3</w:t>
      </w:r>
      <w:r w:rsidR="002E3C13">
        <w:rPr>
          <w:rFonts w:ascii="Garamond" w:hAnsi="Garamond"/>
          <w:sz w:val="24"/>
          <w:szCs w:val="24"/>
          <w:lang w:val="sq-AL"/>
        </w:rPr>
        <w:t>2</w:t>
      </w:r>
      <w:r w:rsidR="00583ABC" w:rsidRPr="001C458B">
        <w:rPr>
          <w:rFonts w:ascii="Garamond" w:hAnsi="Garamond"/>
          <w:sz w:val="24"/>
          <w:szCs w:val="24"/>
          <w:lang w:val="sq-AL"/>
        </w:rPr>
        <w:t xml:space="preserve"> dhe 33. </w:t>
      </w:r>
    </w:p>
    <w:p w14:paraId="52C5A154" w14:textId="340CF1D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11. </w:t>
      </w:r>
      <w:r w:rsidR="00583ABC" w:rsidRPr="001C458B">
        <w:rPr>
          <w:rFonts w:ascii="Garamond" w:hAnsi="Garamond"/>
          <w:sz w:val="24"/>
          <w:szCs w:val="24"/>
          <w:lang w:val="sq-AL"/>
        </w:rPr>
        <w:t>Për identifikimin e EPSHK-ve dhe llogaritjen e SPEKUNC-it, banka raporton sipas formularit në Aneksin 3, me përjashtim të rastit kur vepron sipas nenit 13, paragrafi 6</w:t>
      </w:r>
      <w:r w:rsidR="002E3C13">
        <w:rPr>
          <w:rFonts w:ascii="Garamond" w:hAnsi="Garamond"/>
          <w:sz w:val="24"/>
          <w:szCs w:val="24"/>
          <w:lang w:val="sq-AL"/>
        </w:rPr>
        <w:t>/</w:t>
      </w:r>
      <w:r w:rsidR="00583ABC" w:rsidRPr="001C458B">
        <w:rPr>
          <w:rFonts w:ascii="Garamond" w:hAnsi="Garamond"/>
          <w:sz w:val="24"/>
          <w:szCs w:val="24"/>
          <w:lang w:val="sq-AL"/>
        </w:rPr>
        <w:t>c.</w:t>
      </w:r>
    </w:p>
    <w:p w14:paraId="3CEF7A04" w14:textId="77777777" w:rsidR="00583ABC" w:rsidRPr="001C458B" w:rsidRDefault="00583ABC" w:rsidP="003D1B12">
      <w:pPr>
        <w:spacing w:after="0" w:line="240" w:lineRule="auto"/>
        <w:ind w:firstLine="284"/>
        <w:jc w:val="both"/>
        <w:rPr>
          <w:rFonts w:ascii="Garamond" w:hAnsi="Garamond"/>
          <w:sz w:val="24"/>
          <w:szCs w:val="24"/>
          <w:lang w:val="sq-AL"/>
        </w:rPr>
      </w:pPr>
    </w:p>
    <w:p w14:paraId="4A28CCB6" w14:textId="77777777"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12</w:t>
      </w:r>
    </w:p>
    <w:p w14:paraId="1A424A1F"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Shtesa kundërcikike e kapitalit e aplikuar (AKUNC) në rastin e Shqipërisë dhe data efektive e zbatimit</w:t>
      </w:r>
    </w:p>
    <w:p w14:paraId="7C223F3B" w14:textId="77777777" w:rsidR="00583ABC" w:rsidRPr="001C458B" w:rsidRDefault="00583ABC" w:rsidP="003D1B12">
      <w:pPr>
        <w:spacing w:after="0" w:line="240" w:lineRule="auto"/>
        <w:ind w:firstLine="284"/>
        <w:jc w:val="both"/>
        <w:rPr>
          <w:rFonts w:ascii="Garamond" w:hAnsi="Garamond"/>
          <w:sz w:val="24"/>
          <w:szCs w:val="24"/>
          <w:lang w:val="sq-AL"/>
        </w:rPr>
      </w:pPr>
    </w:p>
    <w:p w14:paraId="48E0AE92" w14:textId="57A14B9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Për rastin kur bankat kanë EPSHK në Shqipëri dhe kur plotësohet para</w:t>
      </w:r>
      <w:r w:rsidR="00626251">
        <w:rPr>
          <w:rFonts w:ascii="Garamond" w:hAnsi="Garamond"/>
          <w:sz w:val="24"/>
          <w:szCs w:val="24"/>
          <w:lang w:val="sq-AL"/>
        </w:rPr>
        <w:t>shikimi në nenin 13, paragrafi 6</w:t>
      </w:r>
      <w:r w:rsidR="00583ABC" w:rsidRPr="001C458B">
        <w:rPr>
          <w:rFonts w:ascii="Garamond" w:hAnsi="Garamond"/>
          <w:sz w:val="24"/>
          <w:szCs w:val="24"/>
          <w:lang w:val="sq-AL"/>
        </w:rPr>
        <w:t>, AKUNC-i është i njëjtë me KUNC-in e shpallur nga Banka e Shqipërisë, sipas këtij neni.</w:t>
      </w:r>
    </w:p>
    <w:p w14:paraId="0C6B9534" w14:textId="63A4CA0A"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Pavarësisht përcaktimeve në nenin 11, paragrafi 2, Banka e Shqipërisë mund të shpallë një KUNC më të lartë se 2.5%, nëse njëherazi:</w:t>
      </w:r>
    </w:p>
    <w:p w14:paraId="543B3082" w14:textId="474F189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niveli më i fundit i KUNC-it është 2.5% dhe ka qenë në zbatim për një periudhë kohe jo më të shkurtër se 6 muaj;</w:t>
      </w:r>
    </w:p>
    <w:p w14:paraId="7DC0E07C" w14:textId="58C51DD6"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vlerëson se ritmi i rritjes së kredisë nuk është ngadalësuar mjaftueshëm gjatë periudhës;</w:t>
      </w:r>
    </w:p>
    <w:p w14:paraId="6B70FF83" w14:textId="1D1670D6"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vlerëson se kjo është e nevojshme për të mbrojtur bankat nga pasojat e mundshme të padëshiruara të rritjes së shpejtë të kreditit dhe rritjes së rreziqeve për gjithë sistemin financiar në vend.</w:t>
      </w:r>
    </w:p>
    <w:p w14:paraId="55040738" w14:textId="4228537C"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Banka e Shqipërisë e shpall normën e KUNC-it për herë të parë deri në muajin qershor të vitit 2019 dhe më tej vijon ta kryejë këtë veprim çdo tre muaj.</w:t>
      </w:r>
    </w:p>
    <w:p w14:paraId="0C92F365" w14:textId="201781C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Banka e Shqipërisë përcakton datën efektive të KUNC-it, duke u kujdesur që:</w:t>
      </w:r>
    </w:p>
    <w:p w14:paraId="401AA807" w14:textId="43A7F86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në rastin kur shpall normën e KUNC-it për herë të parë, data efektive e KUNC-it të jetë jo më e afërt se data 29 mars 2020;</w:t>
      </w:r>
    </w:p>
    <w:p w14:paraId="59ACD91A" w14:textId="69AF8A86"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duke konsideruar më parë pikën </w:t>
      </w:r>
      <w:r w:rsidR="002E3C13">
        <w:rPr>
          <w:rFonts w:ascii="Garamond" w:hAnsi="Garamond"/>
          <w:sz w:val="24"/>
          <w:szCs w:val="24"/>
          <w:lang w:val="sq-AL"/>
        </w:rPr>
        <w:t>“</w:t>
      </w:r>
      <w:r w:rsidR="00583ABC" w:rsidRPr="001C458B">
        <w:rPr>
          <w:rFonts w:ascii="Garamond" w:hAnsi="Garamond"/>
          <w:sz w:val="24"/>
          <w:szCs w:val="24"/>
          <w:lang w:val="sq-AL"/>
        </w:rPr>
        <w:t>a</w:t>
      </w:r>
      <w:r w:rsidR="002E3C13">
        <w:rPr>
          <w:rFonts w:ascii="Garamond" w:hAnsi="Garamond"/>
          <w:sz w:val="24"/>
          <w:szCs w:val="24"/>
          <w:lang w:val="sq-AL"/>
        </w:rPr>
        <w:t>”</w:t>
      </w:r>
      <w:r w:rsidR="00583ABC" w:rsidRPr="001C458B">
        <w:rPr>
          <w:rFonts w:ascii="Garamond" w:hAnsi="Garamond"/>
          <w:sz w:val="24"/>
          <w:szCs w:val="24"/>
          <w:lang w:val="sq-AL"/>
        </w:rPr>
        <w:t>, kur vendos për rritjen e KUNC-it, data efektive të jetë jo më afër se 6 muaj dhe jo më larg se 12 muaj nga data e shpalljes;</w:t>
      </w:r>
    </w:p>
    <w:p w14:paraId="57119C00" w14:textId="0F6F930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në rastin kur vendos për uljen e KUNC-it sipas paragrafit 5, të veprojë sipas paragrafit 6.</w:t>
      </w:r>
    </w:p>
    <w:p w14:paraId="1AE779EE" w14:textId="766AD33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Nëse Banka e Shqipërisë vlerëson se rreziqet për të gjithë sistemin financiar, të lidhura me kreditimin e shpejtë, po zvogëlohen ose që sistemi financiar po hyn në një gjendje ngërçi në zhvillimin e veprimtarisë së ndërmjetësimit financiar, ajo mund të shpallë uljen e normës së KUNC-it.</w:t>
      </w:r>
    </w:p>
    <w:p w14:paraId="78AE644D" w14:textId="34836DC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sz w:val="24"/>
          <w:szCs w:val="24"/>
          <w:lang w:val="sq-AL"/>
        </w:rPr>
        <w:t>Në rastin e uljes së KUNC-it sipas paragrafit 5, Banka e Shqipërisë shpall edhe:</w:t>
      </w:r>
    </w:p>
    <w:p w14:paraId="554AC3F3" w14:textId="34B8A7E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datën efektive e cila, nëse nuk është e njëjtë me datën e shpalljes, nuk duhet të jetë më e largët prej saj se 6 muaj;</w:t>
      </w:r>
    </w:p>
    <w:p w14:paraId="304C235C" w14:textId="2B0E9DDE"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periudhën e kohës gjatë së cilës ajo nuk pret një rritje të KUNC-it.</w:t>
      </w:r>
    </w:p>
    <w:p w14:paraId="253E7D67" w14:textId="77777777" w:rsidR="00583ABC" w:rsidRPr="001C458B" w:rsidRDefault="00583ABC" w:rsidP="003D1B12">
      <w:pPr>
        <w:spacing w:after="0" w:line="240" w:lineRule="auto"/>
        <w:ind w:firstLine="284"/>
        <w:jc w:val="both"/>
        <w:rPr>
          <w:rFonts w:ascii="Garamond" w:hAnsi="Garamond"/>
          <w:sz w:val="24"/>
          <w:szCs w:val="24"/>
          <w:lang w:val="sq-AL"/>
        </w:rPr>
      </w:pPr>
    </w:p>
    <w:p w14:paraId="695DA990" w14:textId="77777777"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13</w:t>
      </w:r>
    </w:p>
    <w:p w14:paraId="493EEEA6" w14:textId="6ACB09AA"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Shtesa kundërciklike e kapitalit e aplikuar (AKUNC) në rastin e juridiksionit të huaj dhe data efektive e zbatimit</w:t>
      </w:r>
    </w:p>
    <w:p w14:paraId="0E564161" w14:textId="77777777" w:rsidR="00583ABC" w:rsidRPr="001C458B" w:rsidRDefault="00583ABC" w:rsidP="003D1B12">
      <w:pPr>
        <w:spacing w:after="0" w:line="240" w:lineRule="auto"/>
        <w:ind w:firstLine="284"/>
        <w:jc w:val="both"/>
        <w:rPr>
          <w:rFonts w:ascii="Garamond" w:hAnsi="Garamond"/>
          <w:sz w:val="24"/>
          <w:szCs w:val="24"/>
          <w:lang w:val="sq-AL"/>
        </w:rPr>
      </w:pPr>
    </w:p>
    <w:p w14:paraId="1E16EF5F" w14:textId="10EC757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Për rastin kur bankat kanë EPSHK në një juridiksion të huaj, dhe duke marrë në konsideratë paraprakisht paragrafin 6, AKUNC-i për juridiksionin e huaj përcaktohet sipas këtij neni.</w:t>
      </w:r>
    </w:p>
    <w:p w14:paraId="548822F5" w14:textId="5A645257"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 xml:space="preserve">Duke marrë në konsideratë paraprakisht paragrafin 6: </w:t>
      </w:r>
    </w:p>
    <w:p w14:paraId="188D8F7C" w14:textId="026987D1"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në rastin kur për një juridiksion të huaj nuk ka pasur një shpallje të KUNC-it nga autoriteti përkatës i atij juridiksioni, atëherë:</w:t>
      </w:r>
    </w:p>
    <w:p w14:paraId="09C6432B" w14:textId="052F017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0C241D">
        <w:rPr>
          <w:rFonts w:ascii="Garamond" w:hAnsi="Garamond"/>
          <w:sz w:val="24"/>
          <w:szCs w:val="24"/>
          <w:lang w:val="sq-AL"/>
        </w:rPr>
        <w:t>.</w:t>
      </w:r>
      <w:r w:rsidRPr="001C458B">
        <w:rPr>
          <w:rFonts w:ascii="Garamond" w:hAnsi="Garamond"/>
          <w:sz w:val="24"/>
          <w:szCs w:val="24"/>
          <w:lang w:val="sq-AL"/>
        </w:rPr>
        <w:t xml:space="preserve"> nëse ka një shpallje nga ana e Bankës së Shqipërisë sipas paragrafit 3, AKUNC-i është ai që është shpallur nga Banka e Shqipërisë, </w:t>
      </w:r>
    </w:p>
    <w:p w14:paraId="160B882A" w14:textId="3C39294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0C241D">
        <w:rPr>
          <w:rFonts w:ascii="Garamond" w:hAnsi="Garamond"/>
          <w:sz w:val="24"/>
          <w:szCs w:val="24"/>
          <w:lang w:val="sq-AL"/>
        </w:rPr>
        <w:t>.</w:t>
      </w:r>
      <w:r w:rsidRPr="001C458B">
        <w:rPr>
          <w:rFonts w:ascii="Garamond" w:hAnsi="Garamond"/>
          <w:sz w:val="24"/>
          <w:szCs w:val="24"/>
          <w:lang w:val="sq-AL"/>
        </w:rPr>
        <w:t xml:space="preserve"> nëse nuk plotësohet kushti në nënparagrafin a</w:t>
      </w:r>
      <w:r w:rsidR="000C241D">
        <w:rPr>
          <w:rFonts w:ascii="Garamond" w:hAnsi="Garamond"/>
          <w:sz w:val="24"/>
          <w:szCs w:val="24"/>
          <w:lang w:val="sq-AL"/>
        </w:rPr>
        <w:t>/</w:t>
      </w:r>
      <w:r w:rsidRPr="001C458B">
        <w:rPr>
          <w:rFonts w:ascii="Garamond" w:hAnsi="Garamond"/>
          <w:sz w:val="24"/>
          <w:szCs w:val="24"/>
          <w:lang w:val="sq-AL"/>
        </w:rPr>
        <w:t>i, AKUNC-i për juridiksionin e huaj është 0%;</w:t>
      </w:r>
    </w:p>
    <w:p w14:paraId="0D6709E7" w14:textId="31B6D3E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në rastin kur KUNC-i i shpallur nga autoriteti përgjegjës në një juridiksion të huaj është deri në 2.5%, atëherë:</w:t>
      </w:r>
    </w:p>
    <w:p w14:paraId="44F3A0BC" w14:textId="1C65E6E1"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0C241D">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 xml:space="preserve">nëse ka një shpallje nga ana e Bankës së Shqipërisë sipas paragrafit 3, AKUNC-i është ai i shpallur nga Banka e Shqipërisë, </w:t>
      </w:r>
    </w:p>
    <w:p w14:paraId="516A2084" w14:textId="56B6BA0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0C241D">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nëse nuk plotësohet kushti në nënparagrafin b</w:t>
      </w:r>
      <w:r w:rsidR="000C241D">
        <w:rPr>
          <w:rFonts w:ascii="Garamond" w:hAnsi="Garamond"/>
          <w:sz w:val="24"/>
          <w:szCs w:val="24"/>
          <w:lang w:val="sq-AL"/>
        </w:rPr>
        <w:t>/</w:t>
      </w:r>
      <w:r w:rsidR="00583ABC" w:rsidRPr="001C458B">
        <w:rPr>
          <w:rFonts w:ascii="Garamond" w:hAnsi="Garamond"/>
          <w:sz w:val="24"/>
          <w:szCs w:val="24"/>
          <w:lang w:val="sq-AL"/>
        </w:rPr>
        <w:t>i, AKUNC-i për juridiksionin është i njëjtë me KUNC-in e shpallur në atë juridiksion;</w:t>
      </w:r>
    </w:p>
    <w:p w14:paraId="74D04F8D" w14:textId="20944F5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në rastin kur KUNC-i i shpallur në një juridiksion të huaj është më i madh se 2.5%, atëherë:</w:t>
      </w:r>
    </w:p>
    <w:p w14:paraId="7688D339" w14:textId="189B839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0C241D">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nëse ka një shpallje nga ana e Bankës së Shqipërisë sipas paragrafit 3, AKUNC-i është ai i shpallur nga Banka e Shqipërisë,</w:t>
      </w:r>
    </w:p>
    <w:p w14:paraId="7A1C2D69" w14:textId="21371B69"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0C241D">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nëse nuk plotësohet kushti në nënparagrafin c</w:t>
      </w:r>
      <w:r w:rsidR="000C241D">
        <w:rPr>
          <w:rFonts w:ascii="Garamond" w:hAnsi="Garamond"/>
          <w:sz w:val="24"/>
          <w:szCs w:val="24"/>
          <w:lang w:val="sq-AL"/>
        </w:rPr>
        <w:t>/</w:t>
      </w:r>
      <w:r w:rsidR="00583ABC" w:rsidRPr="001C458B">
        <w:rPr>
          <w:rFonts w:ascii="Garamond" w:hAnsi="Garamond"/>
          <w:sz w:val="24"/>
          <w:szCs w:val="24"/>
          <w:lang w:val="sq-AL"/>
        </w:rPr>
        <w:t>i, AKUNC-i për juridiksionin e huaj është i barabartë me 2.5%.</w:t>
      </w:r>
    </w:p>
    <w:p w14:paraId="7829D051" w14:textId="2C462F3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Nëse Banka e Shqipërisë vlerëson se KUNC-i për një juridiksion të huaj sipas paragrafit 2, nënparagrafëve a</w:t>
      </w:r>
      <w:r w:rsidR="000C241D">
        <w:rPr>
          <w:rFonts w:ascii="Garamond" w:hAnsi="Garamond"/>
          <w:sz w:val="24"/>
          <w:szCs w:val="24"/>
          <w:lang w:val="sq-AL"/>
        </w:rPr>
        <w:t>/</w:t>
      </w:r>
      <w:r w:rsidR="00583ABC" w:rsidRPr="001C458B">
        <w:rPr>
          <w:rFonts w:ascii="Garamond" w:hAnsi="Garamond"/>
          <w:sz w:val="24"/>
          <w:szCs w:val="24"/>
          <w:lang w:val="sq-AL"/>
        </w:rPr>
        <w:t>ii, b</w:t>
      </w:r>
      <w:r w:rsidR="000C241D">
        <w:rPr>
          <w:rFonts w:ascii="Garamond" w:hAnsi="Garamond"/>
          <w:sz w:val="24"/>
          <w:szCs w:val="24"/>
          <w:lang w:val="sq-AL"/>
        </w:rPr>
        <w:t>/</w:t>
      </w:r>
      <w:r w:rsidR="00583ABC" w:rsidRPr="001C458B">
        <w:rPr>
          <w:rFonts w:ascii="Garamond" w:hAnsi="Garamond"/>
          <w:sz w:val="24"/>
          <w:szCs w:val="24"/>
          <w:lang w:val="sq-AL"/>
        </w:rPr>
        <w:t>ii ose c</w:t>
      </w:r>
      <w:r w:rsidR="000C241D">
        <w:rPr>
          <w:rFonts w:ascii="Garamond" w:hAnsi="Garamond"/>
          <w:sz w:val="24"/>
          <w:szCs w:val="24"/>
          <w:lang w:val="sq-AL"/>
        </w:rPr>
        <w:t>/</w:t>
      </w:r>
      <w:r w:rsidR="00583ABC" w:rsidRPr="001C458B">
        <w:rPr>
          <w:rFonts w:ascii="Garamond" w:hAnsi="Garamond"/>
          <w:sz w:val="24"/>
          <w:szCs w:val="24"/>
          <w:lang w:val="sq-AL"/>
        </w:rPr>
        <w:t>ii, nuk është i mjaftueshëm për të përmirësuar rezistencën e bankës ndaj rreziqeve me të cilat përballet për shkak të rritjes së tepërt të kredisë në atë juridiksion, Banka e Shqipërisë mund të shpallë si AKUNC vlerat më poshtë:</w:t>
      </w:r>
    </w:p>
    <w:p w14:paraId="16EE0D07" w14:textId="6860B2D6"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për rastin e parashikuar në paragrafin 2</w:t>
      </w:r>
      <w:r w:rsidR="000C241D">
        <w:rPr>
          <w:rFonts w:ascii="Garamond" w:hAnsi="Garamond"/>
          <w:sz w:val="24"/>
          <w:szCs w:val="24"/>
          <w:lang w:val="sq-AL"/>
        </w:rPr>
        <w:t>/</w:t>
      </w:r>
      <w:r w:rsidR="00583ABC" w:rsidRPr="001C458B">
        <w:rPr>
          <w:rFonts w:ascii="Garamond" w:hAnsi="Garamond"/>
          <w:sz w:val="24"/>
          <w:szCs w:val="24"/>
          <w:lang w:val="sq-AL"/>
        </w:rPr>
        <w:t>a ose b, një vlerë më të lartë se KUNC-i i juridiksionit të huaj, por jo më të lartë se 2.5%;</w:t>
      </w:r>
    </w:p>
    <w:p w14:paraId="45767EB7" w14:textId="2D9AD13A"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për rastin e parashikuar në paragrafin 2</w:t>
      </w:r>
      <w:r w:rsidR="000C241D">
        <w:rPr>
          <w:rFonts w:ascii="Garamond" w:hAnsi="Garamond"/>
          <w:sz w:val="24"/>
          <w:szCs w:val="24"/>
          <w:lang w:val="sq-AL"/>
        </w:rPr>
        <w:t>/</w:t>
      </w:r>
      <w:r w:rsidR="00583ABC" w:rsidRPr="001C458B">
        <w:rPr>
          <w:rFonts w:ascii="Garamond" w:hAnsi="Garamond"/>
          <w:sz w:val="24"/>
          <w:szCs w:val="24"/>
          <w:lang w:val="sq-AL"/>
        </w:rPr>
        <w:t xml:space="preserve">c, një vlerë të njëjtë me KUNC-in e juridiksionit të huaj. </w:t>
      </w:r>
    </w:p>
    <w:p w14:paraId="77D4B27D" w14:textId="39B2BCD0"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Duke marrë në konsideratë paraprakisht paragrafin 6</w:t>
      </w:r>
      <w:r w:rsidR="000C241D">
        <w:rPr>
          <w:rFonts w:ascii="Garamond" w:hAnsi="Garamond"/>
          <w:sz w:val="24"/>
          <w:szCs w:val="24"/>
          <w:lang w:val="sq-AL"/>
        </w:rPr>
        <w:t>/</w:t>
      </w:r>
      <w:r w:rsidR="00583ABC" w:rsidRPr="001C458B">
        <w:rPr>
          <w:rFonts w:ascii="Garamond" w:hAnsi="Garamond"/>
          <w:sz w:val="24"/>
          <w:szCs w:val="24"/>
          <w:lang w:val="sq-AL"/>
        </w:rPr>
        <w:t>c, data efektive e AKUNC-it për juridiksionin e huaj do të jetë data efektive e KUNC-it siç është shpallur nga autoriteti përgjegjës i atij juridiksioni.</w:t>
      </w:r>
    </w:p>
    <w:p w14:paraId="13A0EEC6" w14:textId="34BBD1E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Pavarësisht nga përcaktimet në paragrafin 4, data efektive e AKUNC-it për juridiksionin e huaj:</w:t>
      </w:r>
    </w:p>
    <w:p w14:paraId="0E0DAF92" w14:textId="0A569DA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do të konsiderohet data 29 mars 2020, nëse është më e afërt se kjo datë;</w:t>
      </w:r>
    </w:p>
    <w:p w14:paraId="3E15238B" w14:textId="0A8974AE"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në rastin e rritjes së KUNC-it dhe duke marrë në konsideratë paraprakisht pikën </w:t>
      </w:r>
      <w:r w:rsidR="000C241D">
        <w:rPr>
          <w:rFonts w:ascii="Garamond" w:hAnsi="Garamond"/>
          <w:sz w:val="24"/>
          <w:szCs w:val="24"/>
          <w:lang w:val="sq-AL"/>
        </w:rPr>
        <w:t>“</w:t>
      </w:r>
      <w:r w:rsidRPr="001C458B">
        <w:rPr>
          <w:rFonts w:ascii="Garamond" w:hAnsi="Garamond"/>
          <w:sz w:val="24"/>
          <w:szCs w:val="24"/>
          <w:lang w:val="sq-AL"/>
        </w:rPr>
        <w:t>a</w:t>
      </w:r>
      <w:r w:rsidR="000C241D">
        <w:rPr>
          <w:rFonts w:ascii="Garamond" w:hAnsi="Garamond"/>
          <w:sz w:val="24"/>
          <w:szCs w:val="24"/>
          <w:lang w:val="sq-AL"/>
        </w:rPr>
        <w:t>”</w:t>
      </w:r>
      <w:r w:rsidRPr="001C458B">
        <w:rPr>
          <w:rFonts w:ascii="Garamond" w:hAnsi="Garamond"/>
          <w:sz w:val="24"/>
          <w:szCs w:val="24"/>
          <w:lang w:val="sq-AL"/>
        </w:rPr>
        <w:t>: nuk mund të jetë më afër se 6 muaj ose më larg se 12 muaj nga data e shpalljes;</w:t>
      </w:r>
      <w:r w:rsidRPr="001C458B">
        <w:rPr>
          <w:rFonts w:ascii="Garamond" w:hAnsi="Garamond"/>
          <w:sz w:val="24"/>
          <w:szCs w:val="24"/>
          <w:lang w:val="sq-AL"/>
        </w:rPr>
        <w:tab/>
      </w:r>
    </w:p>
    <w:p w14:paraId="4C016B7B" w14:textId="5F0ED2C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në rastin e uljes së KUNC-it dhe duke marrë në konsideratë paraprakisht pikën </w:t>
      </w:r>
      <w:r w:rsidR="000C241D">
        <w:rPr>
          <w:rFonts w:ascii="Garamond" w:hAnsi="Garamond"/>
          <w:sz w:val="24"/>
          <w:szCs w:val="24"/>
          <w:lang w:val="sq-AL"/>
        </w:rPr>
        <w:t>“</w:t>
      </w:r>
      <w:r w:rsidRPr="001C458B">
        <w:rPr>
          <w:rFonts w:ascii="Garamond" w:hAnsi="Garamond"/>
          <w:sz w:val="24"/>
          <w:szCs w:val="24"/>
          <w:lang w:val="sq-AL"/>
        </w:rPr>
        <w:t>a</w:t>
      </w:r>
      <w:r w:rsidR="000C241D">
        <w:rPr>
          <w:rFonts w:ascii="Garamond" w:hAnsi="Garamond"/>
          <w:sz w:val="24"/>
          <w:szCs w:val="24"/>
          <w:lang w:val="sq-AL"/>
        </w:rPr>
        <w:t>”</w:t>
      </w:r>
      <w:r w:rsidRPr="001C458B">
        <w:rPr>
          <w:rFonts w:ascii="Garamond" w:hAnsi="Garamond"/>
          <w:sz w:val="24"/>
          <w:szCs w:val="24"/>
          <w:lang w:val="sq-AL"/>
        </w:rPr>
        <w:t xml:space="preserve">: nëse nuk është e njëjtë me datën e shpalljes, nuk mund të jetë më larg se 6 muaj prej saj. </w:t>
      </w:r>
    </w:p>
    <w:p w14:paraId="2675866F" w14:textId="4E4A497A"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sz w:val="24"/>
          <w:szCs w:val="24"/>
          <w:lang w:val="sq-AL"/>
        </w:rPr>
        <w:t>Nëse:</w:t>
      </w:r>
    </w:p>
    <w:p w14:paraId="05B316FC" w14:textId="0A682020"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në raport me totalin e EPSHK-ve të bankës:</w:t>
      </w:r>
    </w:p>
    <w:p w14:paraId="4285800A" w14:textId="188CABE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0C241D">
        <w:rPr>
          <w:rFonts w:ascii="Garamond" w:hAnsi="Garamond"/>
          <w:sz w:val="24"/>
          <w:szCs w:val="24"/>
          <w:lang w:val="sq-AL"/>
        </w:rPr>
        <w:t>.</w:t>
      </w:r>
      <w:r w:rsidRPr="001C458B">
        <w:rPr>
          <w:rFonts w:ascii="Garamond" w:hAnsi="Garamond"/>
          <w:sz w:val="24"/>
          <w:szCs w:val="24"/>
          <w:lang w:val="sq-AL"/>
        </w:rPr>
        <w:t xml:space="preserve"> shuma e EPSHK-ve e lokalizuar në juridiksione të huaja, nuk e kalon nivelin 2%</w:t>
      </w:r>
      <w:r w:rsidR="000C241D">
        <w:rPr>
          <w:rFonts w:ascii="Garamond" w:hAnsi="Garamond"/>
          <w:sz w:val="24"/>
          <w:szCs w:val="24"/>
          <w:lang w:val="sq-AL"/>
        </w:rPr>
        <w:t>;</w:t>
      </w:r>
      <w:r w:rsidRPr="001C458B">
        <w:rPr>
          <w:rFonts w:ascii="Garamond" w:hAnsi="Garamond"/>
          <w:sz w:val="24"/>
          <w:szCs w:val="24"/>
          <w:lang w:val="sq-AL"/>
        </w:rPr>
        <w:t xml:space="preserve"> dhe/ose</w:t>
      </w:r>
    </w:p>
    <w:p w14:paraId="168DC5D8" w14:textId="48375E3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0C241D">
        <w:rPr>
          <w:rFonts w:ascii="Garamond" w:hAnsi="Garamond"/>
          <w:sz w:val="24"/>
          <w:szCs w:val="24"/>
          <w:lang w:val="sq-AL"/>
        </w:rPr>
        <w:t>.</w:t>
      </w:r>
      <w:r w:rsidRPr="001C458B">
        <w:rPr>
          <w:rFonts w:ascii="Garamond" w:hAnsi="Garamond"/>
          <w:sz w:val="24"/>
          <w:szCs w:val="24"/>
          <w:lang w:val="sq-AL"/>
        </w:rPr>
        <w:t xml:space="preserve"> shuma e EPSHK-ve të formës së përcaktuar në nenin 4, paragrafi 1</w:t>
      </w:r>
      <w:r w:rsidR="000C241D">
        <w:rPr>
          <w:rFonts w:ascii="Garamond" w:hAnsi="Garamond"/>
          <w:sz w:val="24"/>
          <w:szCs w:val="24"/>
          <w:lang w:val="sq-AL"/>
        </w:rPr>
        <w:t>/</w:t>
      </w:r>
      <w:r w:rsidRPr="001C458B">
        <w:rPr>
          <w:rFonts w:ascii="Garamond" w:hAnsi="Garamond"/>
          <w:sz w:val="24"/>
          <w:szCs w:val="24"/>
          <w:lang w:val="sq-AL"/>
        </w:rPr>
        <w:t>29</w:t>
      </w:r>
      <w:r w:rsidR="000C241D">
        <w:rPr>
          <w:rFonts w:ascii="Garamond" w:hAnsi="Garamond"/>
          <w:sz w:val="24"/>
          <w:szCs w:val="24"/>
          <w:lang w:val="sq-AL"/>
        </w:rPr>
        <w:t>/</w:t>
      </w:r>
      <w:r w:rsidRPr="001C458B">
        <w:rPr>
          <w:rFonts w:ascii="Garamond" w:hAnsi="Garamond"/>
          <w:sz w:val="24"/>
          <w:szCs w:val="24"/>
          <w:lang w:val="sq-AL"/>
        </w:rPr>
        <w:t>a</w:t>
      </w:r>
      <w:r w:rsidR="000C241D">
        <w:rPr>
          <w:rFonts w:ascii="Garamond" w:hAnsi="Garamond"/>
          <w:sz w:val="24"/>
          <w:szCs w:val="24"/>
          <w:lang w:val="sq-AL"/>
        </w:rPr>
        <w:t>/</w:t>
      </w:r>
      <w:r w:rsidRPr="001C458B">
        <w:rPr>
          <w:rFonts w:ascii="Garamond" w:hAnsi="Garamond"/>
          <w:sz w:val="24"/>
          <w:szCs w:val="24"/>
          <w:lang w:val="sq-AL"/>
        </w:rPr>
        <w:t>iii, nuk e kalon nivelin 2%;</w:t>
      </w:r>
    </w:p>
    <w:p w14:paraId="57EBAA83"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dhe/ose: </w:t>
      </w:r>
    </w:p>
    <w:p w14:paraId="2379EDD7" w14:textId="5E73220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 xml:space="preserve">pavarësisht përpjekjeve të posaçme të bankës, mbështetur në informacionin e disponueshëm, është e pamundur të përcaktohet subjekti që mban rrezikun përfundimtar te një EPSHK që është në një juridiksion të huaj; </w:t>
      </w:r>
    </w:p>
    <w:p w14:paraId="5AF8AC8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atëherë banka:</w:t>
      </w:r>
    </w:p>
    <w:p w14:paraId="4524617B" w14:textId="1698DD7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mund ta konsiderojë vlerën e EPSHK-ve sipas nënparagrafëve </w:t>
      </w:r>
      <w:r w:rsidR="000C241D">
        <w:rPr>
          <w:rFonts w:ascii="Garamond" w:hAnsi="Garamond"/>
          <w:sz w:val="24"/>
          <w:szCs w:val="24"/>
          <w:lang w:val="sq-AL"/>
        </w:rPr>
        <w:t>“</w:t>
      </w:r>
      <w:r w:rsidRPr="001C458B">
        <w:rPr>
          <w:rFonts w:ascii="Garamond" w:hAnsi="Garamond"/>
          <w:sz w:val="24"/>
          <w:szCs w:val="24"/>
          <w:lang w:val="sq-AL"/>
        </w:rPr>
        <w:t>a</w:t>
      </w:r>
      <w:r w:rsidR="000C241D">
        <w:rPr>
          <w:rFonts w:ascii="Garamond" w:hAnsi="Garamond"/>
          <w:sz w:val="24"/>
          <w:szCs w:val="24"/>
          <w:lang w:val="sq-AL"/>
        </w:rPr>
        <w:t>”</w:t>
      </w:r>
      <w:r w:rsidRPr="001C458B">
        <w:rPr>
          <w:rFonts w:ascii="Garamond" w:hAnsi="Garamond"/>
          <w:sz w:val="24"/>
          <w:szCs w:val="24"/>
          <w:lang w:val="sq-AL"/>
        </w:rPr>
        <w:t xml:space="preserve"> dhe </w:t>
      </w:r>
      <w:r w:rsidR="000C241D">
        <w:rPr>
          <w:rFonts w:ascii="Garamond" w:hAnsi="Garamond"/>
          <w:sz w:val="24"/>
          <w:szCs w:val="24"/>
          <w:lang w:val="sq-AL"/>
        </w:rPr>
        <w:t>“</w:t>
      </w:r>
      <w:r w:rsidRPr="001C458B">
        <w:rPr>
          <w:rFonts w:ascii="Garamond" w:hAnsi="Garamond"/>
          <w:sz w:val="24"/>
          <w:szCs w:val="24"/>
          <w:lang w:val="sq-AL"/>
        </w:rPr>
        <w:t>b</w:t>
      </w:r>
      <w:r w:rsidR="000C241D">
        <w:rPr>
          <w:rFonts w:ascii="Garamond" w:hAnsi="Garamond"/>
          <w:sz w:val="24"/>
          <w:szCs w:val="24"/>
          <w:lang w:val="sq-AL"/>
        </w:rPr>
        <w:t>”</w:t>
      </w:r>
      <w:r w:rsidRPr="001C458B">
        <w:rPr>
          <w:rFonts w:ascii="Garamond" w:hAnsi="Garamond"/>
          <w:sz w:val="24"/>
          <w:szCs w:val="24"/>
          <w:lang w:val="sq-AL"/>
        </w:rPr>
        <w:t xml:space="preserve"> si të lokalizuar në juridiksionin e bankës (në Shqipëri) dhe vepron sipas nenit 12 për të identifikuar AKUNC-in dhe sipas nenit 11 për të llogaritur SPEKUNC-in; dhe</w:t>
      </w:r>
    </w:p>
    <w:p w14:paraId="1B811834" w14:textId="25408B3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ç) raporton sipas formularit në Aneksin 4;</w:t>
      </w:r>
    </w:p>
    <w:p w14:paraId="4CE6F3B7" w14:textId="5F105A4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 </w:t>
      </w:r>
      <w:r w:rsidR="00583ABC" w:rsidRPr="001C458B">
        <w:rPr>
          <w:rFonts w:ascii="Garamond" w:hAnsi="Garamond"/>
          <w:sz w:val="24"/>
          <w:szCs w:val="24"/>
          <w:lang w:val="sq-AL"/>
        </w:rPr>
        <w:t xml:space="preserve">nëse ekspozimet për juridiksionin e bankës përfshijnë edhe ekspozime sipas nënparagrafëve </w:t>
      </w:r>
      <w:r w:rsidR="000C241D">
        <w:rPr>
          <w:rFonts w:ascii="Garamond" w:hAnsi="Garamond"/>
          <w:sz w:val="24"/>
          <w:szCs w:val="24"/>
          <w:lang w:val="sq-AL"/>
        </w:rPr>
        <w:t>“</w:t>
      </w:r>
      <w:r w:rsidR="00583ABC" w:rsidRPr="001C458B">
        <w:rPr>
          <w:rFonts w:ascii="Garamond" w:hAnsi="Garamond"/>
          <w:sz w:val="24"/>
          <w:szCs w:val="24"/>
          <w:lang w:val="sq-AL"/>
        </w:rPr>
        <w:t>a</w:t>
      </w:r>
      <w:r w:rsidR="000C241D">
        <w:rPr>
          <w:rFonts w:ascii="Garamond" w:hAnsi="Garamond"/>
          <w:sz w:val="24"/>
          <w:szCs w:val="24"/>
          <w:lang w:val="sq-AL"/>
        </w:rPr>
        <w:t>”</w:t>
      </w:r>
      <w:r w:rsidR="00583ABC" w:rsidRPr="001C458B">
        <w:rPr>
          <w:rFonts w:ascii="Garamond" w:hAnsi="Garamond"/>
          <w:sz w:val="24"/>
          <w:szCs w:val="24"/>
          <w:lang w:val="sq-AL"/>
        </w:rPr>
        <w:t xml:space="preserve"> dhe </w:t>
      </w:r>
      <w:r w:rsidR="000C241D">
        <w:rPr>
          <w:rFonts w:ascii="Garamond" w:hAnsi="Garamond"/>
          <w:sz w:val="24"/>
          <w:szCs w:val="24"/>
          <w:lang w:val="sq-AL"/>
        </w:rPr>
        <w:t>“</w:t>
      </w:r>
      <w:r w:rsidR="00583ABC" w:rsidRPr="001C458B">
        <w:rPr>
          <w:rFonts w:ascii="Garamond" w:hAnsi="Garamond"/>
          <w:sz w:val="24"/>
          <w:szCs w:val="24"/>
          <w:lang w:val="sq-AL"/>
        </w:rPr>
        <w:t>b</w:t>
      </w:r>
      <w:r w:rsidR="000C241D">
        <w:rPr>
          <w:rFonts w:ascii="Garamond" w:hAnsi="Garamond"/>
          <w:sz w:val="24"/>
          <w:szCs w:val="24"/>
          <w:lang w:val="sq-AL"/>
        </w:rPr>
        <w:t>”</w:t>
      </w:r>
      <w:r w:rsidR="00583ABC" w:rsidRPr="001C458B">
        <w:rPr>
          <w:rFonts w:ascii="Garamond" w:hAnsi="Garamond"/>
          <w:sz w:val="24"/>
          <w:szCs w:val="24"/>
          <w:lang w:val="sq-AL"/>
        </w:rPr>
        <w:t xml:space="preserve">, banka i evidenton këto me një shënim të posaçëm në formën e raportimit sipas nënparagrafit </w:t>
      </w:r>
      <w:r w:rsidR="000C241D">
        <w:rPr>
          <w:rFonts w:ascii="Garamond" w:hAnsi="Garamond"/>
          <w:sz w:val="24"/>
          <w:szCs w:val="24"/>
          <w:lang w:val="sq-AL"/>
        </w:rPr>
        <w:t>“</w:t>
      </w:r>
      <w:r w:rsidR="00583ABC" w:rsidRPr="001C458B">
        <w:rPr>
          <w:rFonts w:ascii="Garamond" w:hAnsi="Garamond"/>
          <w:sz w:val="24"/>
          <w:szCs w:val="24"/>
          <w:lang w:val="sq-AL"/>
        </w:rPr>
        <w:t>ç</w:t>
      </w:r>
      <w:r w:rsidR="000C241D">
        <w:rPr>
          <w:rFonts w:ascii="Garamond" w:hAnsi="Garamond"/>
          <w:sz w:val="24"/>
          <w:szCs w:val="24"/>
          <w:lang w:val="sq-AL"/>
        </w:rPr>
        <w:t>”</w:t>
      </w:r>
      <w:r w:rsidR="00583ABC" w:rsidRPr="001C458B">
        <w:rPr>
          <w:rFonts w:ascii="Garamond" w:hAnsi="Garamond"/>
          <w:sz w:val="24"/>
          <w:szCs w:val="24"/>
          <w:lang w:val="sq-AL"/>
        </w:rPr>
        <w:t>.</w:t>
      </w:r>
    </w:p>
    <w:p w14:paraId="53208B5F" w14:textId="77777777" w:rsidR="00583ABC" w:rsidRPr="001C458B" w:rsidRDefault="00583ABC" w:rsidP="003D1B12">
      <w:pPr>
        <w:spacing w:after="0" w:line="240" w:lineRule="auto"/>
        <w:ind w:firstLine="284"/>
        <w:jc w:val="both"/>
        <w:rPr>
          <w:rFonts w:ascii="Garamond" w:hAnsi="Garamond"/>
          <w:sz w:val="24"/>
          <w:szCs w:val="24"/>
          <w:lang w:val="sq-AL"/>
        </w:rPr>
      </w:pPr>
    </w:p>
    <w:p w14:paraId="61DDFB2E" w14:textId="77777777" w:rsidR="00626251" w:rsidRDefault="00626251" w:rsidP="004B4466">
      <w:pPr>
        <w:spacing w:after="0" w:line="240" w:lineRule="auto"/>
        <w:jc w:val="center"/>
        <w:rPr>
          <w:rFonts w:ascii="Garamond" w:hAnsi="Garamond"/>
          <w:sz w:val="24"/>
          <w:szCs w:val="24"/>
          <w:lang w:val="sq-AL"/>
        </w:rPr>
      </w:pPr>
    </w:p>
    <w:p w14:paraId="79C04B19" w14:textId="2ACC4E0C"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14</w:t>
      </w:r>
    </w:p>
    <w:p w14:paraId="610DE8EE"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Shtesa e kapitalit për bankat me rëndësi sistemike (SIST) dhe data efektive e zbatimit</w:t>
      </w:r>
    </w:p>
    <w:p w14:paraId="6DADCD32" w14:textId="77777777" w:rsidR="00583ABC" w:rsidRPr="001C458B" w:rsidRDefault="00583ABC" w:rsidP="003D1B12">
      <w:pPr>
        <w:spacing w:after="0" w:line="240" w:lineRule="auto"/>
        <w:ind w:firstLine="284"/>
        <w:jc w:val="both"/>
        <w:rPr>
          <w:rFonts w:ascii="Garamond" w:hAnsi="Garamond"/>
          <w:sz w:val="24"/>
          <w:szCs w:val="24"/>
          <w:lang w:val="sq-AL"/>
        </w:rPr>
      </w:pPr>
    </w:p>
    <w:p w14:paraId="3FA5F618" w14:textId="2C2A2EA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Një bankë do të vlerësohet si BARS nëse, në vlerësimin e Bankës së Shqipërisë, treguesit e madhësisë, ndërlidhjes, shkallës së zëvendësueshmërisë, kompleksitetit të veprimtarisë së bankës dhe tregues të tjerë të veprimtarisë së saj, janë të tillë që e bëjnë bankën të ketë një ndikim të rëndësishëm në funksionimin efektiv dhe qëndrueshmërinë e sektorit bankar dhe të sistemit financiar në Shqipëri, në rastin kur banka do të përballej me një situatë paqëndrueshmërie financiare.</w:t>
      </w:r>
    </w:p>
    <w:p w14:paraId="693EE347" w14:textId="1A2A2A7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Banka e Shqipërisë zhvillon një metodologji të posaçme për përcaktimin e një banke si BARS dhe mënyrën e aplikimit të SIST-it, dhe e publikon atë. Si rregull, metodologjia rishikohet të paktën një herë në 5 vjet.</w:t>
      </w:r>
    </w:p>
    <w:p w14:paraId="5E046792" w14:textId="167FCB16"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Në metodologji, Banka e Shqipërisë, mes të tjerash, përcakton:</w:t>
      </w:r>
    </w:p>
    <w:p w14:paraId="0C46539E" w14:textId="6BF2B5C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peshat </w:t>
      </w:r>
      <w:r w:rsidR="00626251">
        <w:rPr>
          <w:rFonts w:ascii="Garamond" w:hAnsi="Garamond"/>
          <w:sz w:val="24"/>
          <w:szCs w:val="24"/>
          <w:lang w:val="sq-AL"/>
        </w:rPr>
        <w:t>e treguesve të paragrafit 1</w:t>
      </w:r>
      <w:r w:rsidRPr="001C458B">
        <w:rPr>
          <w:rFonts w:ascii="Garamond" w:hAnsi="Garamond"/>
          <w:sz w:val="24"/>
          <w:szCs w:val="24"/>
          <w:lang w:val="sq-AL"/>
        </w:rPr>
        <w:t>, nëntreguesit përbërës të tyre dhe peshat e këtyre nëntreguesve;</w:t>
      </w:r>
    </w:p>
    <w:p w14:paraId="01027EBD" w14:textId="54C8A2E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të paktën pesë shporta të rëndësisë sistemike, ku shporta e fundit nuk ka kufi të sipërm (shportë e hapur);</w:t>
      </w:r>
    </w:p>
    <w:p w14:paraId="57C4BDD3" w14:textId="101DFC4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që kalimi nga shporta e parë drejt shportave të tjera tregon rritjen e kontributit të bankës në rrezikun sistemik dhe sugjeron rritjen lineare të SIST-it, me përjashtim të shportës së hapur;</w:t>
      </w:r>
    </w:p>
    <w:p w14:paraId="31B32517" w14:textId="526C472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w:t>
      </w:r>
      <w:r w:rsidR="00583ABC" w:rsidRPr="001C458B">
        <w:rPr>
          <w:rFonts w:ascii="Garamond" w:hAnsi="Garamond"/>
          <w:sz w:val="24"/>
          <w:szCs w:val="24"/>
          <w:lang w:val="sq-AL"/>
        </w:rPr>
        <w:t xml:space="preserve">gjerësinë në pikë të çdo shporte, me përjashtim të shportës së hapur, dhe kufijtë në pikë që ndajnë shportat e njëpasnjëshme; </w:t>
      </w:r>
    </w:p>
    <w:p w14:paraId="40A2B5B4" w14:textId="39AE768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 </w:t>
      </w:r>
      <w:r w:rsidR="00583ABC" w:rsidRPr="001C458B">
        <w:rPr>
          <w:rFonts w:ascii="Garamond" w:hAnsi="Garamond"/>
          <w:sz w:val="24"/>
          <w:szCs w:val="24"/>
          <w:lang w:val="sq-AL"/>
        </w:rPr>
        <w:t>notën e rëndësisë sistemike për bankën e vlerësuar si BARS, e cila më tej mundëson pozicionimin e saj në shportën përkatëse të rëndësisë sistemike;</w:t>
      </w:r>
    </w:p>
    <w:p w14:paraId="3D2185C5" w14:textId="75058961"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dh) nivelin e SIST-it për shportën e parë, madhësinë e rritjes së SIST-it nga shporta e parë deri në shportën e hapur (pa e përfshirë), dhe vlerën e SIST-it për shportën e hapur. </w:t>
      </w:r>
    </w:p>
    <w:p w14:paraId="3B90A94D" w14:textId="70744FD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Nëse Banka e Shqipërisë nuk e përcakton ndryshe:</w:t>
      </w:r>
    </w:p>
    <w:p w14:paraId="38FFB1A6" w14:textId="699E2C5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shporta e parë e rëndësisë sistemike do të ketë si SIST vlerën 0.5%;</w:t>
      </w:r>
    </w:p>
    <w:p w14:paraId="444F12AF" w14:textId="7417B34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madhësia e rritjes lineare të SIST-it nga shporta e parë deri në shportën e hapur (pa e përfshirë) do të jetë 0.5%;</w:t>
      </w:r>
    </w:p>
    <w:p w14:paraId="288C9433" w14:textId="549685D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 xml:space="preserve">vlera e SIST për shportën e hapur do të jetë 3%. </w:t>
      </w:r>
    </w:p>
    <w:p w14:paraId="04B4868E" w14:textId="2D9A014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Për zbatimin e SIST-it, Banka e Shqipërisë:</w:t>
      </w:r>
    </w:p>
    <w:p w14:paraId="716EFDD9" w14:textId="35F3DCC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duke marrë në konsideratë paraprakisht paragrafin 6, përcakton një herë në vit, brenda tremujorit të parë, listën e BARS dhe SIST-et përkatëse, duke u mbështetur në të dhënat e muajit dhjetor të vitit paraardhës;</w:t>
      </w:r>
    </w:p>
    <w:p w14:paraId="4A0D62A5" w14:textId="4E2F16F5"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përcakton datën efektive të zbatimit të SIST-it, e cila duhet të jetë:</w:t>
      </w:r>
    </w:p>
    <w:p w14:paraId="7E8E34AC" w14:textId="51EAA92C"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i) </w:t>
      </w:r>
      <w:r w:rsidR="00583ABC" w:rsidRPr="001C458B">
        <w:rPr>
          <w:rFonts w:ascii="Garamond" w:hAnsi="Garamond"/>
          <w:sz w:val="24"/>
          <w:szCs w:val="24"/>
          <w:lang w:val="sq-AL"/>
        </w:rPr>
        <w:t xml:space="preserve">në rastin e rritjes së SIST-it (për shkak të rritjes së notës së rëndësisë sistemike të bankës së përcaktuar si BARS dhe të kalimit të saj në një shportë më të lartë të rëndësisë sistemike), si rregull, 1 janari i vitit pasardhës, por në çdo rast jo më e largët se 12 muaj nga data e shpalljes, </w:t>
      </w:r>
    </w:p>
    <w:p w14:paraId="3087976E" w14:textId="7C92DC79"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ii) </w:t>
      </w:r>
      <w:r w:rsidR="00583ABC" w:rsidRPr="001C458B">
        <w:rPr>
          <w:rFonts w:ascii="Garamond" w:hAnsi="Garamond"/>
          <w:sz w:val="24"/>
          <w:szCs w:val="24"/>
          <w:lang w:val="sq-AL"/>
        </w:rPr>
        <w:t>në rastin e uljes së SIST-it, në ditën e parë të punës që pason datën e shpalljes.</w:t>
      </w:r>
    </w:p>
    <w:p w14:paraId="2E02F2E7" w14:textId="2921147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sz w:val="24"/>
          <w:szCs w:val="24"/>
          <w:lang w:val="sq-AL"/>
        </w:rPr>
        <w:t xml:space="preserve">Për herë të parë, sipas kësaj rregulloreje, BARS do të përcaktohen deri në muajin qershor të vitit 2019. </w:t>
      </w:r>
    </w:p>
    <w:p w14:paraId="61E3E2F5" w14:textId="65E3189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7. </w:t>
      </w:r>
      <w:r w:rsidR="00583ABC" w:rsidRPr="001C458B">
        <w:rPr>
          <w:rFonts w:ascii="Garamond" w:hAnsi="Garamond"/>
          <w:sz w:val="24"/>
          <w:szCs w:val="24"/>
          <w:lang w:val="sq-AL"/>
        </w:rPr>
        <w:t>Për bankën e përcaktuar si BARS sipas paragrafit 6, norma e SIST-it që duhet të përmbushet nga banka, në varësi të shportës së rëndësisë sistemike ku ajo pozicionohet, do të jetë sipas vlerave në tabelën 4:</w:t>
      </w:r>
    </w:p>
    <w:p w14:paraId="7E86BDB9" w14:textId="77777777" w:rsidR="00583ABC" w:rsidRPr="001C458B" w:rsidRDefault="00583ABC" w:rsidP="003D1B12">
      <w:pPr>
        <w:spacing w:after="0" w:line="240" w:lineRule="auto"/>
        <w:ind w:firstLine="284"/>
        <w:jc w:val="both"/>
        <w:rPr>
          <w:rFonts w:ascii="Garamond" w:hAnsi="Garamond"/>
          <w:sz w:val="24"/>
          <w:szCs w:val="24"/>
          <w:lang w:val="sq-AL"/>
        </w:rPr>
      </w:pPr>
    </w:p>
    <w:p w14:paraId="562A651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4:</w:t>
      </w:r>
    </w:p>
    <w:tbl>
      <w:tblPr>
        <w:tblStyle w:val="TableGrid1"/>
        <w:tblW w:w="8631" w:type="dxa"/>
        <w:tblInd w:w="720" w:type="dxa"/>
        <w:tblLayout w:type="fixed"/>
        <w:tblLook w:val="04A0" w:firstRow="1" w:lastRow="0" w:firstColumn="1" w:lastColumn="0" w:noHBand="0" w:noVBand="1"/>
      </w:tblPr>
      <w:tblGrid>
        <w:gridCol w:w="976"/>
        <w:gridCol w:w="1418"/>
        <w:gridCol w:w="1559"/>
        <w:gridCol w:w="1559"/>
        <w:gridCol w:w="1503"/>
        <w:gridCol w:w="1616"/>
      </w:tblGrid>
      <w:tr w:rsidR="00583ABC" w:rsidRPr="001C458B" w14:paraId="5F14A1CB" w14:textId="77777777" w:rsidTr="00557377">
        <w:tc>
          <w:tcPr>
            <w:tcW w:w="976" w:type="dxa"/>
          </w:tcPr>
          <w:p w14:paraId="337404A9" w14:textId="77777777" w:rsidR="00583ABC" w:rsidRPr="001C458B" w:rsidRDefault="00583ABC" w:rsidP="004B4466">
            <w:pPr>
              <w:jc w:val="both"/>
              <w:rPr>
                <w:rFonts w:ascii="Garamond" w:hAnsi="Garamond"/>
                <w:sz w:val="24"/>
                <w:szCs w:val="24"/>
                <w:lang w:val="sq-AL"/>
              </w:rPr>
            </w:pPr>
          </w:p>
        </w:tc>
        <w:tc>
          <w:tcPr>
            <w:tcW w:w="1418" w:type="dxa"/>
          </w:tcPr>
          <w:p w14:paraId="04E385D0"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2020 (29 mars – 31 dhjetor) </w:t>
            </w:r>
          </w:p>
        </w:tc>
        <w:tc>
          <w:tcPr>
            <w:tcW w:w="1559" w:type="dxa"/>
          </w:tcPr>
          <w:p w14:paraId="27913BCE"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2021</w:t>
            </w:r>
          </w:p>
        </w:tc>
        <w:tc>
          <w:tcPr>
            <w:tcW w:w="1559" w:type="dxa"/>
          </w:tcPr>
          <w:p w14:paraId="09B00D01"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2022</w:t>
            </w:r>
          </w:p>
        </w:tc>
        <w:tc>
          <w:tcPr>
            <w:tcW w:w="1503" w:type="dxa"/>
          </w:tcPr>
          <w:p w14:paraId="41EF978F"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2023</w:t>
            </w:r>
          </w:p>
        </w:tc>
        <w:tc>
          <w:tcPr>
            <w:tcW w:w="1616" w:type="dxa"/>
          </w:tcPr>
          <w:p w14:paraId="1F962BA2"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2024 dhe në vazhdim</w:t>
            </w:r>
          </w:p>
        </w:tc>
      </w:tr>
      <w:tr w:rsidR="00583ABC" w:rsidRPr="001C458B" w14:paraId="0D761D7F" w14:textId="77777777" w:rsidTr="00557377">
        <w:tc>
          <w:tcPr>
            <w:tcW w:w="976" w:type="dxa"/>
          </w:tcPr>
          <w:p w14:paraId="358FCE93"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SIST =</w:t>
            </w:r>
          </w:p>
        </w:tc>
        <w:tc>
          <w:tcPr>
            <w:tcW w:w="1418" w:type="dxa"/>
          </w:tcPr>
          <w:p w14:paraId="68F4B17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0.5%</w:t>
            </w:r>
          </w:p>
        </w:tc>
        <w:tc>
          <w:tcPr>
            <w:tcW w:w="1559" w:type="dxa"/>
          </w:tcPr>
          <w:p w14:paraId="0E49412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2B5558F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{0.5%; 1%}</w:t>
            </w:r>
          </w:p>
        </w:tc>
        <w:tc>
          <w:tcPr>
            <w:tcW w:w="1559" w:type="dxa"/>
          </w:tcPr>
          <w:p w14:paraId="04432034"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1E3712E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{0.5%; 1.0%; 1.5%}</w:t>
            </w:r>
          </w:p>
        </w:tc>
        <w:tc>
          <w:tcPr>
            <w:tcW w:w="1503" w:type="dxa"/>
          </w:tcPr>
          <w:p w14:paraId="41DD019B"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5693816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{0.5%; 1.0%; 1.5%; 2.0%}</w:t>
            </w:r>
          </w:p>
        </w:tc>
        <w:tc>
          <w:tcPr>
            <w:tcW w:w="1616" w:type="dxa"/>
          </w:tcPr>
          <w:p w14:paraId="73D8546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4D2B33FC"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{0.5%; 1.0%; 1.5%; 2.0%; 3.0%}</w:t>
            </w:r>
          </w:p>
        </w:tc>
      </w:tr>
    </w:tbl>
    <w:p w14:paraId="0756478A" w14:textId="77777777" w:rsidR="00583ABC" w:rsidRPr="001C458B" w:rsidRDefault="00583ABC" w:rsidP="003D1B12">
      <w:pPr>
        <w:spacing w:after="0" w:line="240" w:lineRule="auto"/>
        <w:ind w:firstLine="284"/>
        <w:jc w:val="both"/>
        <w:rPr>
          <w:rFonts w:ascii="Garamond" w:hAnsi="Garamond"/>
          <w:sz w:val="24"/>
          <w:szCs w:val="24"/>
          <w:lang w:val="sq-AL"/>
        </w:rPr>
      </w:pPr>
    </w:p>
    <w:p w14:paraId="140327AB" w14:textId="268F012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8. </w:t>
      </w:r>
      <w:r w:rsidR="00583ABC" w:rsidRPr="001C458B">
        <w:rPr>
          <w:rFonts w:ascii="Garamond" w:hAnsi="Garamond"/>
          <w:sz w:val="24"/>
          <w:szCs w:val="24"/>
          <w:lang w:val="sq-AL"/>
        </w:rPr>
        <w:t>SIST-i i përcaktuar sipas paragrafit</w:t>
      </w:r>
      <w:r w:rsidR="000C241D">
        <w:rPr>
          <w:rFonts w:ascii="Garamond" w:hAnsi="Garamond"/>
          <w:sz w:val="24"/>
          <w:szCs w:val="24"/>
          <w:lang w:val="sq-AL"/>
        </w:rPr>
        <w:t xml:space="preserve"> </w:t>
      </w:r>
      <w:r w:rsidR="00583ABC" w:rsidRPr="001C458B">
        <w:rPr>
          <w:rFonts w:ascii="Garamond" w:hAnsi="Garamond"/>
          <w:sz w:val="24"/>
          <w:szCs w:val="24"/>
          <w:lang w:val="sq-AL"/>
        </w:rPr>
        <w:t>7, përfshihet në përcaktimin e SHKOMAK-ut për periudhën përkatëse, sipas nenit 6.</w:t>
      </w:r>
    </w:p>
    <w:p w14:paraId="4A7E7293" w14:textId="2DBB062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9.</w:t>
      </w:r>
      <w:r w:rsidR="00583ABC" w:rsidRPr="001C458B">
        <w:rPr>
          <w:rFonts w:ascii="Garamond" w:hAnsi="Garamond"/>
          <w:sz w:val="24"/>
          <w:szCs w:val="24"/>
          <w:lang w:val="sq-AL"/>
        </w:rPr>
        <w:t xml:space="preserve">Në vijim të procesit të përcaktuar në paragrafët 1 deri në 7, Banka e Shqipërisë shpall listën e bankave të përcaktuara si BARS, së bashku me normën e SIST-it që ato duhet të përmbushin sipas shportës së rëndësisë sistemike ku pozicionohen për shkak të notës përkatëse të rëndësisë sistemike. </w:t>
      </w:r>
    </w:p>
    <w:p w14:paraId="09E6F7B5" w14:textId="77777777" w:rsidR="00583ABC" w:rsidRPr="001C458B" w:rsidRDefault="00583ABC" w:rsidP="003D1B12">
      <w:pPr>
        <w:spacing w:after="0" w:line="240" w:lineRule="auto"/>
        <w:ind w:firstLine="284"/>
        <w:jc w:val="both"/>
        <w:rPr>
          <w:rFonts w:ascii="Garamond" w:hAnsi="Garamond"/>
          <w:sz w:val="24"/>
          <w:szCs w:val="24"/>
          <w:lang w:val="sq-AL"/>
        </w:rPr>
      </w:pPr>
    </w:p>
    <w:p w14:paraId="7CB991AC" w14:textId="77777777"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15</w:t>
      </w:r>
    </w:p>
    <w:p w14:paraId="76167927"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Shtesa e kapitalit për rrezikun sistemik (STRUK), shtesa e kapitalit për rrezikun sistemik e aplikuar (ASTRUK) dhe data efektive e zbatimit</w:t>
      </w:r>
    </w:p>
    <w:p w14:paraId="5732CF2B" w14:textId="77777777" w:rsidR="00583ABC" w:rsidRPr="001C458B" w:rsidRDefault="00583ABC" w:rsidP="003D1B12">
      <w:pPr>
        <w:spacing w:after="0" w:line="240" w:lineRule="auto"/>
        <w:ind w:firstLine="284"/>
        <w:jc w:val="both"/>
        <w:rPr>
          <w:rFonts w:ascii="Garamond" w:hAnsi="Garamond"/>
          <w:sz w:val="24"/>
          <w:szCs w:val="24"/>
          <w:lang w:val="sq-AL"/>
        </w:rPr>
      </w:pPr>
    </w:p>
    <w:p w14:paraId="53428427" w14:textId="2229D8D9"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Kur vlerëson se sektori bankar dhe sistemi financiar ndeshen me zhvillime apo dukuri të natyrës strukturore, jociklike, të cilat mund të rrezikojnë qëndrueshmërinë e të gjithë sistemit financiar ose të një segmenti të caktuar të tij, Banka e Shqipërisë, duke marrë në konsideratë paragrafët 2 dhe 3, mund të zbatojë STRUK-un.</w:t>
      </w:r>
    </w:p>
    <w:p w14:paraId="31586537" w14:textId="3A70D3E7"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STRUK-u mund të zbatohet për të gjitha ose për një pjesë të bankave, duke shqyrtuar të gjitha ekspozimet e bankës ose një pjesë të tyre, pa kufizime për</w:t>
      </w:r>
      <w:r w:rsidR="0097672A">
        <w:rPr>
          <w:rFonts w:ascii="Garamond" w:hAnsi="Garamond"/>
          <w:sz w:val="24"/>
          <w:szCs w:val="24"/>
          <w:lang w:val="sq-AL"/>
        </w:rPr>
        <w:t xml:space="preserve"> </w:t>
      </w:r>
      <w:r w:rsidR="00583ABC" w:rsidRPr="001C458B">
        <w:rPr>
          <w:rFonts w:ascii="Garamond" w:hAnsi="Garamond"/>
          <w:sz w:val="24"/>
          <w:szCs w:val="24"/>
          <w:lang w:val="sq-AL"/>
        </w:rPr>
        <w:t>sa i takon juridiksionit të ekspozimeve dhe në nivele të njëjta ose të ndryshme për bankat. Për bankat e përcaktuara si BARS, STRUK-u zbatohet pasi Banka e Shqipërisë vlerëson që rreziku strukturor nuk adresohet mjaftueshëm nëpërmjet SIST-it.</w:t>
      </w:r>
    </w:p>
    <w:p w14:paraId="6BFEF713" w14:textId="7312AE3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Midis bankave:</w:t>
      </w:r>
    </w:p>
    <w:p w14:paraId="19884DA9" w14:textId="61E206B1"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për ato që janë të përcaktuara si BARS, ASTRUK-u mund të jetë i barabartë ose më i vogël se STRUK-u, në kushtet kur zbatimi i përbashkët i SIST-it dhe ASTRUK-ut, të mbledhur me njëri-tjetrin, nuk duhet të kapërcejë vlerën 4%;</w:t>
      </w:r>
    </w:p>
    <w:p w14:paraId="1D180CFC" w14:textId="372796C2"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për ato që NUK janë të përcaktuara si BARS, ASTRUK-u është i barabartë me STRUK-un.</w:t>
      </w:r>
      <w:r w:rsidRPr="001C458B">
        <w:rPr>
          <w:rFonts w:ascii="Garamond" w:hAnsi="Garamond"/>
          <w:sz w:val="24"/>
          <w:szCs w:val="24"/>
          <w:lang w:val="sq-AL"/>
        </w:rPr>
        <w:tab/>
      </w:r>
    </w:p>
    <w:p w14:paraId="0A1778D5" w14:textId="22514C91"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Kur Banka e Shqipërisë e shpall ose e ndryshon më pas nivelin e STRUK-ut, atëherë ajo kujdeset që të plotësohen kriteret e mëposhtme:</w:t>
      </w:r>
    </w:p>
    <w:p w14:paraId="64322654" w14:textId="3104FA9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të publikojë arsyet e vendosjes së STRUK-ut dhe pritshmëritë e saj për mënyrën se si kjo shtesë makroprudenciale e kapitalit do të adresojë rreziqet sipas paragrafëve 1 dhe 2;</w:t>
      </w:r>
    </w:p>
    <w:p w14:paraId="72F55714" w14:textId="6056F53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niveli minimal i STRUK-ut të jetë 1%;</w:t>
      </w:r>
    </w:p>
    <w:p w14:paraId="491A900D" w14:textId="0309984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mbi nivelin minimal, STRUK-u të ndryshojë me shumëfisha të plotë të vlerës 0.5%;</w:t>
      </w:r>
    </w:p>
    <w:p w14:paraId="1B15313F" w14:textId="2224C70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niveli maksimal i STRUK-ut të jetë 3%. </w:t>
      </w:r>
    </w:p>
    <w:p w14:paraId="32D873C3" w14:textId="69526CB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5. </w:t>
      </w:r>
      <w:r w:rsidR="00583ABC" w:rsidRPr="001C458B">
        <w:rPr>
          <w:rFonts w:ascii="Garamond" w:hAnsi="Garamond"/>
          <w:sz w:val="24"/>
          <w:szCs w:val="24"/>
          <w:lang w:val="sq-AL"/>
        </w:rPr>
        <w:t>Duke marrë në konsideratë paraprakisht kufizimet sipas paragrafit 3</w:t>
      </w:r>
      <w:r w:rsidR="000C241D">
        <w:rPr>
          <w:rFonts w:ascii="Garamond" w:hAnsi="Garamond"/>
          <w:sz w:val="24"/>
          <w:szCs w:val="24"/>
          <w:lang w:val="sq-AL"/>
        </w:rPr>
        <w:t>/</w:t>
      </w:r>
      <w:r w:rsidR="00583ABC" w:rsidRPr="001C458B">
        <w:rPr>
          <w:rFonts w:ascii="Garamond" w:hAnsi="Garamond"/>
          <w:sz w:val="24"/>
          <w:szCs w:val="24"/>
          <w:lang w:val="sq-AL"/>
        </w:rPr>
        <w:t>a dhe në varësi të kohës së shpalljes së STRUK-ut nga Banka e Shqipërisë sipas paragrafit 6, norma e ASTRUK-ut që duhet të përmbushet nga banka do të jetë sipas vlerave në tabelën 5</w:t>
      </w:r>
      <w:r w:rsidR="0097672A">
        <w:rPr>
          <w:rFonts w:ascii="Garamond" w:hAnsi="Garamond"/>
          <w:sz w:val="24"/>
          <w:szCs w:val="24"/>
          <w:lang w:val="sq-AL"/>
        </w:rPr>
        <w:t>.</w:t>
      </w:r>
    </w:p>
    <w:p w14:paraId="34DDC261" w14:textId="77777777" w:rsidR="00583ABC" w:rsidRPr="001C458B" w:rsidRDefault="00583ABC" w:rsidP="003D1B12">
      <w:pPr>
        <w:spacing w:after="0" w:line="240" w:lineRule="auto"/>
        <w:ind w:firstLine="284"/>
        <w:jc w:val="both"/>
        <w:rPr>
          <w:rFonts w:ascii="Garamond" w:hAnsi="Garamond"/>
          <w:sz w:val="24"/>
          <w:szCs w:val="24"/>
          <w:lang w:val="sq-AL"/>
        </w:rPr>
      </w:pPr>
    </w:p>
    <w:p w14:paraId="3A76C21B" w14:textId="71F94DF8"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5</w:t>
      </w:r>
    </w:p>
    <w:tbl>
      <w:tblPr>
        <w:tblStyle w:val="TableGrid1"/>
        <w:tblW w:w="0" w:type="auto"/>
        <w:tblInd w:w="720" w:type="dxa"/>
        <w:tblLayout w:type="fixed"/>
        <w:tblLook w:val="04A0" w:firstRow="1" w:lastRow="0" w:firstColumn="1" w:lastColumn="0" w:noHBand="0" w:noVBand="1"/>
      </w:tblPr>
      <w:tblGrid>
        <w:gridCol w:w="1204"/>
        <w:gridCol w:w="1045"/>
        <w:gridCol w:w="1616"/>
        <w:gridCol w:w="1620"/>
        <w:gridCol w:w="1620"/>
        <w:gridCol w:w="1525"/>
      </w:tblGrid>
      <w:tr w:rsidR="00583ABC" w:rsidRPr="001C458B" w14:paraId="4B0BC9B1" w14:textId="77777777" w:rsidTr="00557377">
        <w:tc>
          <w:tcPr>
            <w:tcW w:w="1204" w:type="dxa"/>
          </w:tcPr>
          <w:p w14:paraId="7901487E" w14:textId="77777777" w:rsidR="00583ABC" w:rsidRPr="001C458B" w:rsidRDefault="00583ABC" w:rsidP="004B4466">
            <w:pPr>
              <w:jc w:val="both"/>
              <w:rPr>
                <w:rFonts w:ascii="Garamond" w:hAnsi="Garamond"/>
                <w:sz w:val="24"/>
                <w:szCs w:val="24"/>
                <w:lang w:val="sq-AL"/>
              </w:rPr>
            </w:pPr>
          </w:p>
        </w:tc>
        <w:tc>
          <w:tcPr>
            <w:tcW w:w="1045" w:type="dxa"/>
          </w:tcPr>
          <w:p w14:paraId="4146FCF0"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2020 </w:t>
            </w:r>
          </w:p>
          <w:p w14:paraId="5B626412"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(29 mars – 31 dhjetor) </w:t>
            </w:r>
          </w:p>
        </w:tc>
        <w:tc>
          <w:tcPr>
            <w:tcW w:w="1616" w:type="dxa"/>
          </w:tcPr>
          <w:p w14:paraId="68A5DB0E"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2021</w:t>
            </w:r>
          </w:p>
        </w:tc>
        <w:tc>
          <w:tcPr>
            <w:tcW w:w="1620" w:type="dxa"/>
          </w:tcPr>
          <w:p w14:paraId="3DD1A418"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2022</w:t>
            </w:r>
          </w:p>
        </w:tc>
        <w:tc>
          <w:tcPr>
            <w:tcW w:w="1620" w:type="dxa"/>
          </w:tcPr>
          <w:p w14:paraId="2E90F7CC"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 xml:space="preserve">Viti 2023 </w:t>
            </w:r>
          </w:p>
        </w:tc>
        <w:tc>
          <w:tcPr>
            <w:tcW w:w="1525" w:type="dxa"/>
          </w:tcPr>
          <w:p w14:paraId="0A7F271A"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Viti 2024 dhe në vazhdim</w:t>
            </w:r>
          </w:p>
        </w:tc>
      </w:tr>
      <w:tr w:rsidR="00583ABC" w:rsidRPr="001C458B" w14:paraId="1DC957FD" w14:textId="77777777" w:rsidTr="00557377">
        <w:tc>
          <w:tcPr>
            <w:tcW w:w="1204" w:type="dxa"/>
          </w:tcPr>
          <w:p w14:paraId="1E455C73"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ASTRUK =</w:t>
            </w:r>
          </w:p>
        </w:tc>
        <w:tc>
          <w:tcPr>
            <w:tcW w:w="1045" w:type="dxa"/>
          </w:tcPr>
          <w:p w14:paraId="65F876C0"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1.0%</w:t>
            </w:r>
          </w:p>
        </w:tc>
        <w:tc>
          <w:tcPr>
            <w:tcW w:w="1616" w:type="dxa"/>
          </w:tcPr>
          <w:p w14:paraId="07F08ED4"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32A3FDC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{1.0%; 1.5%}</w:t>
            </w:r>
          </w:p>
        </w:tc>
        <w:tc>
          <w:tcPr>
            <w:tcW w:w="1620" w:type="dxa"/>
          </w:tcPr>
          <w:p w14:paraId="584BC649"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6E02B62F"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{1.0%; 1.5%; 2.0%}</w:t>
            </w:r>
          </w:p>
        </w:tc>
        <w:tc>
          <w:tcPr>
            <w:tcW w:w="1620" w:type="dxa"/>
          </w:tcPr>
          <w:p w14:paraId="791416D7"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12BD3A5B"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{1.0%; 1.5%; 2.0%; 2.5%}</w:t>
            </w:r>
          </w:p>
        </w:tc>
        <w:tc>
          <w:tcPr>
            <w:tcW w:w="1525" w:type="dxa"/>
          </w:tcPr>
          <w:p w14:paraId="00747F77"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Një nga:</w:t>
            </w:r>
          </w:p>
          <w:p w14:paraId="104AB9DF" w14:textId="77777777" w:rsidR="00583ABC" w:rsidRPr="001C458B" w:rsidRDefault="00583ABC" w:rsidP="004B4466">
            <w:pPr>
              <w:jc w:val="both"/>
              <w:rPr>
                <w:rFonts w:ascii="Garamond" w:hAnsi="Garamond"/>
                <w:sz w:val="24"/>
                <w:szCs w:val="24"/>
                <w:lang w:val="sq-AL"/>
              </w:rPr>
            </w:pPr>
            <w:r w:rsidRPr="001C458B">
              <w:rPr>
                <w:rFonts w:ascii="Garamond" w:hAnsi="Garamond"/>
                <w:sz w:val="24"/>
                <w:szCs w:val="24"/>
                <w:lang w:val="sq-AL"/>
              </w:rPr>
              <w:t>{1.0%; 1.5%; 2.0%; 2.5%; 3%}</w:t>
            </w:r>
          </w:p>
        </w:tc>
      </w:tr>
    </w:tbl>
    <w:p w14:paraId="504137D3" w14:textId="77777777" w:rsidR="00583ABC" w:rsidRPr="001C458B" w:rsidRDefault="00583ABC" w:rsidP="003D1B12">
      <w:pPr>
        <w:spacing w:after="0" w:line="240" w:lineRule="auto"/>
        <w:ind w:firstLine="284"/>
        <w:jc w:val="both"/>
        <w:rPr>
          <w:rFonts w:ascii="Garamond" w:hAnsi="Garamond"/>
          <w:sz w:val="24"/>
          <w:szCs w:val="24"/>
          <w:lang w:val="sq-AL"/>
        </w:rPr>
      </w:pPr>
    </w:p>
    <w:p w14:paraId="4577CF76" w14:textId="5B3C76C2"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6. </w:t>
      </w:r>
      <w:r w:rsidR="00583ABC" w:rsidRPr="001C458B">
        <w:rPr>
          <w:rFonts w:ascii="Garamond" w:hAnsi="Garamond"/>
          <w:sz w:val="24"/>
          <w:szCs w:val="24"/>
          <w:lang w:val="sq-AL"/>
        </w:rPr>
        <w:t>Duke marrë në konsideratë paraprakisht paragrafin 7:</w:t>
      </w:r>
    </w:p>
    <w:p w14:paraId="6E95D1F0" w14:textId="7BB28D95"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Banka e Shqipërisë mund të shpallë për herë të parë nivelin e STRUK-ut pas muajit qershor të vitit 2019; </w:t>
      </w:r>
    </w:p>
    <w:p w14:paraId="04A3E2BF" w14:textId="2781F2F6"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pas shpalljes për herë të parë të STRUK-ut sipas pikës </w:t>
      </w:r>
      <w:r w:rsidR="009A5157">
        <w:rPr>
          <w:rFonts w:ascii="Garamond" w:hAnsi="Garamond"/>
          <w:sz w:val="24"/>
          <w:szCs w:val="24"/>
          <w:lang w:val="sq-AL"/>
        </w:rPr>
        <w:t>“</w:t>
      </w:r>
      <w:r w:rsidRPr="001C458B">
        <w:rPr>
          <w:rFonts w:ascii="Garamond" w:hAnsi="Garamond"/>
          <w:sz w:val="24"/>
          <w:szCs w:val="24"/>
          <w:lang w:val="sq-AL"/>
        </w:rPr>
        <w:t>a</w:t>
      </w:r>
      <w:r w:rsidR="009A5157">
        <w:rPr>
          <w:rFonts w:ascii="Garamond" w:hAnsi="Garamond"/>
          <w:sz w:val="24"/>
          <w:szCs w:val="24"/>
          <w:lang w:val="sq-AL"/>
        </w:rPr>
        <w:t>”</w:t>
      </w:r>
      <w:r w:rsidRPr="001C458B">
        <w:rPr>
          <w:rFonts w:ascii="Garamond" w:hAnsi="Garamond"/>
          <w:sz w:val="24"/>
          <w:szCs w:val="24"/>
          <w:lang w:val="sq-AL"/>
        </w:rPr>
        <w:t>, Banka e Shqipërisë kujdeset që:</w:t>
      </w:r>
    </w:p>
    <w:p w14:paraId="1E3E64EC" w14:textId="0505F3AB"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w:t>
      </w:r>
      <w:r w:rsidR="009A5157">
        <w:rPr>
          <w:rFonts w:ascii="Garamond" w:hAnsi="Garamond"/>
          <w:sz w:val="24"/>
          <w:szCs w:val="24"/>
          <w:lang w:val="sq-AL"/>
        </w:rPr>
        <w:t>.</w:t>
      </w:r>
      <w:r w:rsidRPr="001C458B">
        <w:rPr>
          <w:rFonts w:ascii="Garamond" w:hAnsi="Garamond"/>
          <w:sz w:val="24"/>
          <w:szCs w:val="24"/>
          <w:lang w:val="sq-AL"/>
        </w:rPr>
        <w:t xml:space="preserve"> </w:t>
      </w:r>
      <w:r w:rsidR="00583ABC" w:rsidRPr="001C458B">
        <w:rPr>
          <w:rFonts w:ascii="Garamond" w:hAnsi="Garamond"/>
          <w:sz w:val="24"/>
          <w:szCs w:val="24"/>
          <w:lang w:val="sq-AL"/>
        </w:rPr>
        <w:t>rivlerësimi dhe shpalljet vijuese të STRUK-ut të kryhen të paktën një herë në 2 vjet,</w:t>
      </w:r>
    </w:p>
    <w:p w14:paraId="5AB279AA" w14:textId="48E54EB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ii</w:t>
      </w:r>
      <w:r w:rsidR="009A5157">
        <w:rPr>
          <w:rFonts w:ascii="Garamond" w:hAnsi="Garamond"/>
          <w:sz w:val="24"/>
          <w:szCs w:val="24"/>
          <w:lang w:val="sq-AL"/>
        </w:rPr>
        <w:t>.</w:t>
      </w:r>
      <w:r w:rsidRPr="001C458B">
        <w:rPr>
          <w:rFonts w:ascii="Garamond" w:hAnsi="Garamond"/>
          <w:sz w:val="24"/>
          <w:szCs w:val="24"/>
          <w:lang w:val="sq-AL"/>
        </w:rPr>
        <w:t xml:space="preserve"> procesi i rivlerësimit dhe i shpalljes së STRUK-ut të përqendrohet gradualisht në tremujorin e parë të vitit.</w:t>
      </w:r>
    </w:p>
    <w:p w14:paraId="6AFFCE6C" w14:textId="4BE586D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7. </w:t>
      </w:r>
      <w:r w:rsidR="00583ABC" w:rsidRPr="001C458B">
        <w:rPr>
          <w:rFonts w:ascii="Garamond" w:hAnsi="Garamond"/>
          <w:sz w:val="24"/>
          <w:szCs w:val="24"/>
          <w:lang w:val="sq-AL"/>
        </w:rPr>
        <w:t>Në rastin kur e gjykon të nevojshme t’iu përgjigjet ndryshimeve të shpejta në drejtim të zhvillimit të rreziqeve strukturore në sektorin bankar dhe sistemin financiar, Banka e Shqipërisë vepron pa u kufizuar nga përcaktimet në paragrafët 5 dhe 6.</w:t>
      </w:r>
    </w:p>
    <w:p w14:paraId="55F75598" w14:textId="5D26185A"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8. </w:t>
      </w:r>
      <w:r w:rsidR="00583ABC" w:rsidRPr="001C458B">
        <w:rPr>
          <w:rFonts w:ascii="Garamond" w:hAnsi="Garamond"/>
          <w:sz w:val="24"/>
          <w:szCs w:val="24"/>
          <w:lang w:val="sq-AL"/>
        </w:rPr>
        <w:t>Banka e Shqipërisë përcakton datën efektive të STRUK-ut, e cila:</w:t>
      </w:r>
    </w:p>
    <w:p w14:paraId="45F2FE72" w14:textId="7238170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në rastin e vendosjes për herë të parë ose të rritjes së STRUK-ut duhet të jetë, si rregull, duke filluar nga data 1 janar e vitit pasardhës, por në çdo rast jo më vonë se 12 muaj nga data e shpalljes;</w:t>
      </w:r>
    </w:p>
    <w:p w14:paraId="161846F0" w14:textId="5C6D2052"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në rastin e uljes së STRUK-ut duhet të jetë, si rregull, menjëherë, por në çdo rast jo më vonë se 6 muaj nga data e shpalljes.</w:t>
      </w:r>
    </w:p>
    <w:p w14:paraId="378FF81B" w14:textId="0DCD077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9. </w:t>
      </w:r>
      <w:r w:rsidR="00583ABC" w:rsidRPr="001C458B">
        <w:rPr>
          <w:rFonts w:ascii="Garamond" w:hAnsi="Garamond"/>
          <w:sz w:val="24"/>
          <w:szCs w:val="24"/>
          <w:lang w:val="sq-AL"/>
        </w:rPr>
        <w:t>Niveli i ASTRUK-ut, sipas STRUK-ut të shpallur nga Banka e Shqipërisë, përfshihet në përcaktimin e SHKOMAK-ut për periudhat përkatëse, sipas nenit 6.</w:t>
      </w:r>
    </w:p>
    <w:p w14:paraId="646B7AD8" w14:textId="77777777" w:rsidR="00583ABC" w:rsidRPr="001C458B" w:rsidRDefault="00583ABC" w:rsidP="003D1B12">
      <w:pPr>
        <w:spacing w:after="0" w:line="240" w:lineRule="auto"/>
        <w:ind w:firstLine="284"/>
        <w:jc w:val="both"/>
        <w:rPr>
          <w:rFonts w:ascii="Garamond" w:hAnsi="Garamond"/>
          <w:sz w:val="24"/>
          <w:szCs w:val="24"/>
          <w:lang w:val="sq-AL"/>
        </w:rPr>
      </w:pPr>
    </w:p>
    <w:p w14:paraId="0A54AC1B" w14:textId="77777777"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16</w:t>
      </w:r>
    </w:p>
    <w:p w14:paraId="6D5B300B"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Vendimmarrja</w:t>
      </w:r>
    </w:p>
    <w:p w14:paraId="5E4F0497" w14:textId="77777777" w:rsidR="00583ABC" w:rsidRPr="001C458B" w:rsidRDefault="00583ABC" w:rsidP="003D1B12">
      <w:pPr>
        <w:spacing w:after="0" w:line="240" w:lineRule="auto"/>
        <w:ind w:firstLine="284"/>
        <w:jc w:val="both"/>
        <w:rPr>
          <w:rFonts w:ascii="Garamond" w:hAnsi="Garamond"/>
          <w:sz w:val="24"/>
          <w:szCs w:val="24"/>
          <w:lang w:val="sq-AL"/>
        </w:rPr>
      </w:pPr>
    </w:p>
    <w:p w14:paraId="186FF298" w14:textId="1B594A2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Vendimmarrja e Bankës së Shqipërisë për përcaktimin e SHMAK-ut:</w:t>
      </w:r>
    </w:p>
    <w:p w14:paraId="200BE2F3" w14:textId="3926E03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sipas nenit 2;</w:t>
      </w:r>
    </w:p>
    <w:p w14:paraId="030E3FA0" w14:textId="0E0488E9"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sipas nenit 5, paragrafi 1;</w:t>
      </w:r>
    </w:p>
    <w:p w14:paraId="54AB8B34" w14:textId="5ED70449"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c) sipas nenit 10, paragrafi 4;</w:t>
      </w:r>
    </w:p>
    <w:p w14:paraId="54083EEE" w14:textId="4582AB9A"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ç) sipas neneve 11, 12 dhe 13;</w:t>
      </w:r>
    </w:p>
    <w:p w14:paraId="5B6316A9" w14:textId="7795921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 sipas nenit 14, paragrafëve 5 dhe 6; dhe</w:t>
      </w:r>
    </w:p>
    <w:p w14:paraId="0369484F" w14:textId="6EFDB884"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dh) sipas nenit 15;</w:t>
      </w:r>
    </w:p>
    <w:p w14:paraId="38CF489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nënkupton,  vendimin e Guvernatorit të Bankës së Shqipërisë mbi llojin, vlerën, listën e bankave që i nënshtrohen, datën efektive dhe elemente të tjera të rëndësishëm për zbatimin e SHMAK-ut. </w:t>
      </w:r>
    </w:p>
    <w:p w14:paraId="6ADF09B9" w14:textId="3357EFD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Duke marrë në konsideratë paraprakisht paragrafin 1, të gjitha veprimet e tjera që kryen Banka e Shqipërisë në drejtim të:</w:t>
      </w:r>
    </w:p>
    <w:p w14:paraId="4924A43D" w14:textId="0601157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 xml:space="preserve">komunikimit me autoritetet përgjegjëse të juridiksioneve të huaja sipas nenit 2, paragrafi </w:t>
      </w:r>
      <w:r w:rsidR="009A5157">
        <w:rPr>
          <w:rFonts w:ascii="Garamond" w:hAnsi="Garamond"/>
          <w:sz w:val="24"/>
          <w:szCs w:val="24"/>
          <w:lang w:val="sq-AL"/>
        </w:rPr>
        <w:t>“</w:t>
      </w:r>
      <w:r w:rsidR="00583ABC" w:rsidRPr="001C458B">
        <w:rPr>
          <w:rFonts w:ascii="Garamond" w:hAnsi="Garamond"/>
          <w:sz w:val="24"/>
          <w:szCs w:val="24"/>
          <w:lang w:val="sq-AL"/>
        </w:rPr>
        <w:t>b</w:t>
      </w:r>
      <w:r w:rsidR="009A5157">
        <w:rPr>
          <w:rFonts w:ascii="Garamond" w:hAnsi="Garamond"/>
          <w:sz w:val="24"/>
          <w:szCs w:val="24"/>
          <w:lang w:val="sq-AL"/>
        </w:rPr>
        <w:t>”</w:t>
      </w:r>
      <w:r w:rsidR="00583ABC" w:rsidRPr="001C458B">
        <w:rPr>
          <w:rFonts w:ascii="Garamond" w:hAnsi="Garamond"/>
          <w:sz w:val="24"/>
          <w:szCs w:val="24"/>
          <w:lang w:val="sq-AL"/>
        </w:rPr>
        <w:t xml:space="preserve"> dhe sipas nenit 5, paragrafi 3;</w:t>
      </w:r>
    </w:p>
    <w:p w14:paraId="1DBDA329" w14:textId="585D9500"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miratimeve, refuzimeve apo rishikimeve sipas nenit 8, paragrafi 2</w:t>
      </w:r>
      <w:r w:rsidR="009A5157">
        <w:rPr>
          <w:rFonts w:ascii="Garamond" w:hAnsi="Garamond"/>
          <w:sz w:val="24"/>
          <w:szCs w:val="24"/>
          <w:lang w:val="sq-AL"/>
        </w:rPr>
        <w:t>/</w:t>
      </w:r>
      <w:r w:rsidR="00583ABC" w:rsidRPr="001C458B">
        <w:rPr>
          <w:rFonts w:ascii="Garamond" w:hAnsi="Garamond"/>
          <w:sz w:val="24"/>
          <w:szCs w:val="24"/>
          <w:lang w:val="sq-AL"/>
        </w:rPr>
        <w:t>b</w:t>
      </w:r>
      <w:r w:rsidR="009A5157">
        <w:rPr>
          <w:rFonts w:ascii="Garamond" w:hAnsi="Garamond"/>
          <w:sz w:val="24"/>
          <w:szCs w:val="24"/>
          <w:lang w:val="sq-AL"/>
        </w:rPr>
        <w:t>/</w:t>
      </w:r>
      <w:r w:rsidR="00583ABC" w:rsidRPr="001C458B">
        <w:rPr>
          <w:rFonts w:ascii="Garamond" w:hAnsi="Garamond"/>
          <w:sz w:val="24"/>
          <w:szCs w:val="24"/>
          <w:lang w:val="sq-AL"/>
        </w:rPr>
        <w:t>ii dhe sipas nenit 9, paragrafi 1</w:t>
      </w:r>
      <w:r w:rsidR="009A5157">
        <w:rPr>
          <w:rFonts w:ascii="Garamond" w:hAnsi="Garamond"/>
          <w:sz w:val="24"/>
          <w:szCs w:val="24"/>
          <w:lang w:val="sq-AL"/>
        </w:rPr>
        <w:t>/</w:t>
      </w:r>
      <w:r w:rsidR="00583ABC" w:rsidRPr="001C458B">
        <w:rPr>
          <w:rFonts w:ascii="Garamond" w:hAnsi="Garamond"/>
          <w:sz w:val="24"/>
          <w:szCs w:val="24"/>
          <w:lang w:val="sq-AL"/>
        </w:rPr>
        <w:t>c dhe paragrafi 3;</w:t>
      </w:r>
    </w:p>
    <w:p w14:paraId="0F291E0F" w14:textId="6D919790"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publikimit të metodologjive sipas nenit 11, paragrafi 5 dhe nenit 14, paragrafi 2;</w:t>
      </w:r>
    </w:p>
    <w:p w14:paraId="3772E7D6" w14:textId="7D8B391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w:t>
      </w:r>
      <w:r w:rsidR="00583ABC" w:rsidRPr="001C458B">
        <w:rPr>
          <w:rFonts w:ascii="Garamond" w:hAnsi="Garamond"/>
          <w:sz w:val="24"/>
          <w:szCs w:val="24"/>
          <w:lang w:val="sq-AL"/>
        </w:rPr>
        <w:t>komunikimit sipas nenit 17, paragrafi 2;</w:t>
      </w:r>
    </w:p>
    <w:p w14:paraId="4E34D408" w14:textId="33276720"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 </w:t>
      </w:r>
      <w:r w:rsidR="00583ABC" w:rsidRPr="001C458B">
        <w:rPr>
          <w:rFonts w:ascii="Garamond" w:hAnsi="Garamond"/>
          <w:sz w:val="24"/>
          <w:szCs w:val="24"/>
          <w:lang w:val="sq-AL"/>
        </w:rPr>
        <w:t xml:space="preserve">proceseve që ndihmojnë veprimet e përcaktuara në nën paragrafët </w:t>
      </w:r>
      <w:r w:rsidR="009A5157">
        <w:rPr>
          <w:rFonts w:ascii="Garamond" w:hAnsi="Garamond"/>
          <w:sz w:val="24"/>
          <w:szCs w:val="24"/>
          <w:lang w:val="sq-AL"/>
        </w:rPr>
        <w:t>“</w:t>
      </w:r>
      <w:r w:rsidR="00583ABC" w:rsidRPr="001C458B">
        <w:rPr>
          <w:rFonts w:ascii="Garamond" w:hAnsi="Garamond"/>
          <w:sz w:val="24"/>
          <w:szCs w:val="24"/>
          <w:lang w:val="sq-AL"/>
        </w:rPr>
        <w:t>a</w:t>
      </w:r>
      <w:r w:rsidR="009A5157">
        <w:rPr>
          <w:rFonts w:ascii="Garamond" w:hAnsi="Garamond"/>
          <w:sz w:val="24"/>
          <w:szCs w:val="24"/>
          <w:lang w:val="sq-AL"/>
        </w:rPr>
        <w:t>”</w:t>
      </w:r>
      <w:r w:rsidR="00583ABC" w:rsidRPr="001C458B">
        <w:rPr>
          <w:rFonts w:ascii="Garamond" w:hAnsi="Garamond"/>
          <w:sz w:val="24"/>
          <w:szCs w:val="24"/>
          <w:lang w:val="sq-AL"/>
        </w:rPr>
        <w:t xml:space="preserve"> deri në </w:t>
      </w:r>
      <w:r w:rsidR="009A5157">
        <w:rPr>
          <w:rFonts w:ascii="Garamond" w:hAnsi="Garamond"/>
          <w:sz w:val="24"/>
          <w:szCs w:val="24"/>
          <w:lang w:val="sq-AL"/>
        </w:rPr>
        <w:t>“</w:t>
      </w:r>
      <w:r w:rsidR="00583ABC" w:rsidRPr="001C458B">
        <w:rPr>
          <w:rFonts w:ascii="Garamond" w:hAnsi="Garamond"/>
          <w:sz w:val="24"/>
          <w:szCs w:val="24"/>
          <w:lang w:val="sq-AL"/>
        </w:rPr>
        <w:t>ç</w:t>
      </w:r>
      <w:r w:rsidR="009A5157">
        <w:rPr>
          <w:rFonts w:ascii="Garamond" w:hAnsi="Garamond"/>
          <w:sz w:val="24"/>
          <w:szCs w:val="24"/>
          <w:lang w:val="sq-AL"/>
        </w:rPr>
        <w:t>”</w:t>
      </w:r>
      <w:r w:rsidR="00583ABC" w:rsidRPr="001C458B">
        <w:rPr>
          <w:rFonts w:ascii="Garamond" w:hAnsi="Garamond"/>
          <w:sz w:val="24"/>
          <w:szCs w:val="24"/>
          <w:lang w:val="sq-AL"/>
        </w:rPr>
        <w:t>;</w:t>
      </w:r>
    </w:p>
    <w:p w14:paraId="1C8DF895" w14:textId="28795CFB"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autorizohen nga </w:t>
      </w:r>
      <w:r w:rsidR="009A5157">
        <w:rPr>
          <w:rFonts w:ascii="Garamond" w:hAnsi="Garamond"/>
          <w:sz w:val="24"/>
          <w:szCs w:val="24"/>
          <w:lang w:val="sq-AL"/>
        </w:rPr>
        <w:t>z</w:t>
      </w:r>
      <w:r w:rsidRPr="001C458B">
        <w:rPr>
          <w:rFonts w:ascii="Garamond" w:hAnsi="Garamond"/>
          <w:sz w:val="24"/>
          <w:szCs w:val="24"/>
          <w:lang w:val="sq-AL"/>
        </w:rPr>
        <w:t>ëvendësguvernatori i Dytë i Bankës së Shqipërisë.</w:t>
      </w:r>
    </w:p>
    <w:p w14:paraId="0D862D9F" w14:textId="77777777" w:rsidR="00583ABC" w:rsidRPr="001C458B" w:rsidRDefault="00583ABC" w:rsidP="003D1B12">
      <w:pPr>
        <w:spacing w:after="0" w:line="240" w:lineRule="auto"/>
        <w:ind w:firstLine="284"/>
        <w:jc w:val="both"/>
        <w:rPr>
          <w:rFonts w:ascii="Garamond" w:hAnsi="Garamond"/>
          <w:sz w:val="24"/>
          <w:szCs w:val="24"/>
          <w:lang w:val="sq-AL"/>
        </w:rPr>
      </w:pPr>
    </w:p>
    <w:p w14:paraId="593548AC" w14:textId="77777777" w:rsidR="00626251" w:rsidRDefault="00626251" w:rsidP="004B4466">
      <w:pPr>
        <w:spacing w:after="0" w:line="240" w:lineRule="auto"/>
        <w:jc w:val="center"/>
        <w:rPr>
          <w:rFonts w:ascii="Garamond" w:hAnsi="Garamond"/>
          <w:b/>
          <w:sz w:val="24"/>
          <w:szCs w:val="24"/>
          <w:lang w:val="sq-AL"/>
        </w:rPr>
      </w:pPr>
    </w:p>
    <w:p w14:paraId="228D2621"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Neni 17</w:t>
      </w:r>
    </w:p>
    <w:p w14:paraId="1BFC878C"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Shpallja dhe komunikimi për shtesën makroprudenciale të kapitalit (SHMAK) nga Banka e Shqipërisë</w:t>
      </w:r>
    </w:p>
    <w:p w14:paraId="41E8CB3E" w14:textId="77777777" w:rsidR="00583ABC" w:rsidRPr="001C458B" w:rsidRDefault="00583ABC" w:rsidP="003D1B12">
      <w:pPr>
        <w:spacing w:after="0" w:line="240" w:lineRule="auto"/>
        <w:ind w:firstLine="284"/>
        <w:jc w:val="both"/>
        <w:rPr>
          <w:rFonts w:ascii="Garamond" w:hAnsi="Garamond"/>
          <w:b/>
          <w:sz w:val="24"/>
          <w:szCs w:val="24"/>
          <w:lang w:val="sq-AL"/>
        </w:rPr>
      </w:pPr>
    </w:p>
    <w:p w14:paraId="1AC9EB02" w14:textId="5A0DE9AD"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Shpallja e SHMAK-ut nga ana e Bankës së Shqipërisë, ka kuptimin e publikimit të vendimit të nenit 16, paragrafi 1, dhe të informacionit shoqërues përkatës, si më poshtë:</w:t>
      </w:r>
    </w:p>
    <w:p w14:paraId="4EA4EABE" w14:textId="3229E9A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 me shkrim, dërguar bankave mbi të cilat zbatohet SHMAK-u; dhe</w:t>
      </w:r>
    </w:p>
    <w:p w14:paraId="27CE491A" w14:textId="0CF637FD"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 përmes vendosjes në faqen e internetit të Bankës së Shqipërisë.</w:t>
      </w:r>
    </w:p>
    <w:p w14:paraId="6C30668F" w14:textId="33BADE4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Përveç sa përcaktohet në këtë rregullore, kur e gjykon të nevojshme për të rritur efektivitetin e shtesave makroprudenciale të kapitalit, Banka e Shqipërisë ndërmerr edhe veprime të tjera për të komunikuar rreth tyre me palët e interesuara, brenda dhe jashtë vendit. Komunikimi me palët e interesuara do të synojë shpjegimin e nevojës për shtesat makroprudenciale të kapitalit, konsultimin rreth tyre në momentin e vendosjes apo të ndryshimit dhe koordinimin e përgatitjeve për zbatimin e tyre.</w:t>
      </w:r>
    </w:p>
    <w:p w14:paraId="55686D44" w14:textId="77777777" w:rsidR="00583ABC" w:rsidRPr="001C458B" w:rsidRDefault="00583ABC" w:rsidP="003D1B12">
      <w:pPr>
        <w:spacing w:after="0" w:line="240" w:lineRule="auto"/>
        <w:ind w:firstLine="284"/>
        <w:jc w:val="both"/>
        <w:rPr>
          <w:rFonts w:ascii="Garamond" w:hAnsi="Garamond"/>
          <w:sz w:val="24"/>
          <w:szCs w:val="24"/>
          <w:lang w:val="sq-AL"/>
        </w:rPr>
      </w:pPr>
    </w:p>
    <w:p w14:paraId="2234A92A" w14:textId="77777777" w:rsidR="00583ABC" w:rsidRPr="001C458B" w:rsidRDefault="00583ABC" w:rsidP="004B4466">
      <w:pPr>
        <w:spacing w:after="0" w:line="240" w:lineRule="auto"/>
        <w:jc w:val="center"/>
        <w:rPr>
          <w:rFonts w:ascii="Garamond" w:hAnsi="Garamond"/>
          <w:sz w:val="24"/>
          <w:szCs w:val="24"/>
          <w:lang w:val="sq-AL"/>
        </w:rPr>
      </w:pPr>
      <w:r w:rsidRPr="001C458B">
        <w:rPr>
          <w:rFonts w:ascii="Garamond" w:hAnsi="Garamond"/>
          <w:sz w:val="24"/>
          <w:szCs w:val="24"/>
          <w:lang w:val="sq-AL"/>
        </w:rPr>
        <w:t>Neni 18</w:t>
      </w:r>
    </w:p>
    <w:p w14:paraId="594A7378" w14:textId="77777777" w:rsidR="00583ABC" w:rsidRPr="001C458B" w:rsidRDefault="00583ABC" w:rsidP="004B4466">
      <w:pPr>
        <w:spacing w:after="0" w:line="240" w:lineRule="auto"/>
        <w:jc w:val="center"/>
        <w:rPr>
          <w:rFonts w:ascii="Garamond" w:hAnsi="Garamond"/>
          <w:b/>
          <w:sz w:val="24"/>
          <w:szCs w:val="24"/>
          <w:lang w:val="sq-AL"/>
        </w:rPr>
      </w:pPr>
      <w:r w:rsidRPr="001C458B">
        <w:rPr>
          <w:rFonts w:ascii="Garamond" w:hAnsi="Garamond"/>
          <w:b/>
          <w:sz w:val="24"/>
          <w:szCs w:val="24"/>
          <w:lang w:val="sq-AL"/>
        </w:rPr>
        <w:t>Konsultimi nga banka</w:t>
      </w:r>
    </w:p>
    <w:p w14:paraId="183C99D0" w14:textId="77777777" w:rsidR="00583ABC" w:rsidRPr="001C458B" w:rsidRDefault="00583ABC" w:rsidP="003D1B12">
      <w:pPr>
        <w:spacing w:after="0" w:line="240" w:lineRule="auto"/>
        <w:ind w:firstLine="284"/>
        <w:jc w:val="both"/>
        <w:rPr>
          <w:rFonts w:ascii="Garamond" w:hAnsi="Garamond"/>
          <w:sz w:val="24"/>
          <w:szCs w:val="24"/>
          <w:lang w:val="sq-AL"/>
        </w:rPr>
      </w:pPr>
    </w:p>
    <w:p w14:paraId="67E58485" w14:textId="21DD2D58"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Kërkesat, njoftimet apo konsultimet që banka kryen me Bankën e Shqipërisë:</w:t>
      </w:r>
    </w:p>
    <w:p w14:paraId="59A10AAC" w14:textId="6F0C20C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a) </w:t>
      </w:r>
      <w:r w:rsidR="00583ABC" w:rsidRPr="001C458B">
        <w:rPr>
          <w:rFonts w:ascii="Garamond" w:hAnsi="Garamond"/>
          <w:sz w:val="24"/>
          <w:szCs w:val="24"/>
          <w:lang w:val="sq-AL"/>
        </w:rPr>
        <w:t>sipas nenit 5, paragrafi 1;</w:t>
      </w:r>
    </w:p>
    <w:p w14:paraId="12233C7B" w14:textId="46FF731E"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b) </w:t>
      </w:r>
      <w:r w:rsidR="00583ABC" w:rsidRPr="001C458B">
        <w:rPr>
          <w:rFonts w:ascii="Garamond" w:hAnsi="Garamond"/>
          <w:sz w:val="24"/>
          <w:szCs w:val="24"/>
          <w:lang w:val="sq-AL"/>
        </w:rPr>
        <w:t>sipas nenit 8, paragrafi 4;</w:t>
      </w:r>
    </w:p>
    <w:p w14:paraId="6CD405E9" w14:textId="6CA55073"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c) </w:t>
      </w:r>
      <w:r w:rsidR="00583ABC" w:rsidRPr="001C458B">
        <w:rPr>
          <w:rFonts w:ascii="Garamond" w:hAnsi="Garamond"/>
          <w:sz w:val="24"/>
          <w:szCs w:val="24"/>
          <w:lang w:val="sq-AL"/>
        </w:rPr>
        <w:t>sipas nenit 9, paragrafët 1 dhe 2;</w:t>
      </w:r>
    </w:p>
    <w:p w14:paraId="1CF3A393" w14:textId="613A6A44"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ç) </w:t>
      </w:r>
      <w:r w:rsidR="00583ABC" w:rsidRPr="001C458B">
        <w:rPr>
          <w:rFonts w:ascii="Garamond" w:hAnsi="Garamond"/>
          <w:sz w:val="24"/>
          <w:szCs w:val="24"/>
          <w:lang w:val="sq-AL"/>
        </w:rPr>
        <w:t>sipas nenit 11, paragrafi 9</w:t>
      </w:r>
      <w:r w:rsidR="009A5157">
        <w:rPr>
          <w:rFonts w:ascii="Garamond" w:hAnsi="Garamond"/>
          <w:sz w:val="24"/>
          <w:szCs w:val="24"/>
          <w:lang w:val="sq-AL"/>
        </w:rPr>
        <w:t>/</w:t>
      </w:r>
      <w:r w:rsidR="00583ABC" w:rsidRPr="001C458B">
        <w:rPr>
          <w:rFonts w:ascii="Garamond" w:hAnsi="Garamond"/>
          <w:sz w:val="24"/>
          <w:szCs w:val="24"/>
          <w:lang w:val="sq-AL"/>
        </w:rPr>
        <w:t>c; dhe</w:t>
      </w:r>
    </w:p>
    <w:p w14:paraId="49D6EF7B" w14:textId="57C29C7F" w:rsidR="00583ABC" w:rsidRPr="001C458B" w:rsidRDefault="004B4466"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 </w:t>
      </w:r>
      <w:r w:rsidR="00583ABC" w:rsidRPr="001C458B">
        <w:rPr>
          <w:rFonts w:ascii="Garamond" w:hAnsi="Garamond"/>
          <w:sz w:val="24"/>
          <w:szCs w:val="24"/>
          <w:lang w:val="sq-AL"/>
        </w:rPr>
        <w:t xml:space="preserve">të tjera, për qëllimin e zbatimit të kësaj rregulloreje; </w:t>
      </w:r>
    </w:p>
    <w:p w14:paraId="133D5709" w14:textId="63C52B4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paraqiten zyrtarisht, me shkrim. </w:t>
      </w:r>
    </w:p>
    <w:p w14:paraId="54A66295" w14:textId="2C252446"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Në rast nevoje, banka mund të përdorë postën elektronike për komunikimin sipas paragrafit 1, por kjo nuk zëvendëson konfirmimin zyrtar, me shkrim, të përmbajtjes së komunikimit, i cili duhet të dërgohet në Bankën e Shqipërisë sa më shpejt të jetë e mundur.</w:t>
      </w:r>
    </w:p>
    <w:p w14:paraId="19A47247" w14:textId="1876F3E0"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4. </w:t>
      </w:r>
      <w:r w:rsidR="00583ABC" w:rsidRPr="001C458B">
        <w:rPr>
          <w:rFonts w:ascii="Garamond" w:hAnsi="Garamond"/>
          <w:sz w:val="24"/>
          <w:szCs w:val="24"/>
          <w:lang w:val="sq-AL"/>
        </w:rPr>
        <w:t xml:space="preserve">Komunikimi zyrtar me shkrim sipas paragrafit 1, i adresohet Zyrës së Zëvendësguvernatorit të Dytë të Bankës së Shqipërisë. Komunikimi nëpërmjet postës elektronike sipas paragrafit 2, dërgohet në adresën </w:t>
      </w:r>
      <w:hyperlink r:id="rId13" w:history="1">
        <w:r w:rsidR="00583ABC" w:rsidRPr="001C458B">
          <w:rPr>
            <w:rStyle w:val="Hyperlink"/>
            <w:rFonts w:ascii="Garamond" w:hAnsi="Garamond"/>
            <w:sz w:val="24"/>
            <w:szCs w:val="24"/>
            <w:lang w:val="sq-AL"/>
          </w:rPr>
          <w:t>SHMAK@bankofalbania.org</w:t>
        </w:r>
      </w:hyperlink>
      <w:r w:rsidR="00583ABC" w:rsidRPr="001C458B">
        <w:rPr>
          <w:rFonts w:ascii="Garamond" w:hAnsi="Garamond"/>
          <w:sz w:val="24"/>
          <w:szCs w:val="24"/>
          <w:lang w:val="sq-AL"/>
        </w:rPr>
        <w:t xml:space="preserve">. </w:t>
      </w:r>
    </w:p>
    <w:p w14:paraId="04EB0167" w14:textId="77777777" w:rsidR="00583ABC" w:rsidRPr="001C458B" w:rsidRDefault="00583ABC" w:rsidP="003D1B12">
      <w:pPr>
        <w:spacing w:after="0" w:line="240" w:lineRule="auto"/>
        <w:ind w:firstLine="284"/>
        <w:jc w:val="both"/>
        <w:rPr>
          <w:rFonts w:ascii="Garamond" w:hAnsi="Garamond"/>
          <w:sz w:val="24"/>
          <w:szCs w:val="24"/>
          <w:lang w:val="sq-AL"/>
        </w:rPr>
      </w:pPr>
    </w:p>
    <w:p w14:paraId="46A17853" w14:textId="77777777" w:rsidR="00583ABC" w:rsidRPr="001C458B" w:rsidRDefault="00583ABC" w:rsidP="001626FB">
      <w:pPr>
        <w:spacing w:after="0" w:line="240" w:lineRule="auto"/>
        <w:jc w:val="center"/>
        <w:rPr>
          <w:rFonts w:ascii="Garamond" w:hAnsi="Garamond"/>
          <w:sz w:val="24"/>
          <w:szCs w:val="24"/>
          <w:lang w:val="sq-AL"/>
        </w:rPr>
      </w:pPr>
      <w:r w:rsidRPr="001C458B">
        <w:rPr>
          <w:rFonts w:ascii="Garamond" w:hAnsi="Garamond"/>
          <w:sz w:val="24"/>
          <w:szCs w:val="24"/>
          <w:lang w:val="sq-AL"/>
        </w:rPr>
        <w:t>Neni 19</w:t>
      </w:r>
    </w:p>
    <w:p w14:paraId="3B91F2ED" w14:textId="3CC4EAE2" w:rsidR="00583ABC" w:rsidRPr="001C458B" w:rsidRDefault="00583ABC" w:rsidP="001626FB">
      <w:pPr>
        <w:spacing w:after="0" w:line="240" w:lineRule="auto"/>
        <w:jc w:val="center"/>
        <w:rPr>
          <w:rFonts w:ascii="Garamond" w:hAnsi="Garamond"/>
          <w:b/>
          <w:sz w:val="24"/>
          <w:szCs w:val="24"/>
          <w:lang w:val="sq-AL"/>
        </w:rPr>
      </w:pPr>
      <w:r w:rsidRPr="001C458B">
        <w:rPr>
          <w:rFonts w:ascii="Garamond" w:hAnsi="Garamond"/>
          <w:b/>
          <w:sz w:val="24"/>
          <w:szCs w:val="24"/>
          <w:lang w:val="sq-AL"/>
        </w:rPr>
        <w:t>Masat korrektuese</w:t>
      </w:r>
    </w:p>
    <w:p w14:paraId="692141B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Banka e Shqipërisë, mund të verifikojë në çdo kohë mënyrën e zbatimit të kërkesave të kësaj rregulloreje nga banka. Në këtë rast, banka ofron të gjithë informacionin e kërkuar, në formën dhe afatet e përcaktuara nga Banka e Shqipërisë. Në rast të mosplotësimit të kërkesave të kësaj rregulloreje nga banka dhe të kërkesave për informacion në kuadër të verifikimit të zbatimit të saj, Banka e Shqipërisë zbaton masat mbikëqyrëse dhe/ose ndëshkimore të parashikuara në Kreun VI të ligjit nr. 9662/2006, i ndryshuar.</w:t>
      </w:r>
    </w:p>
    <w:p w14:paraId="3BE2FE98" w14:textId="77777777" w:rsidR="00583ABC" w:rsidRPr="001C458B" w:rsidRDefault="00583ABC" w:rsidP="003D1B12">
      <w:pPr>
        <w:spacing w:after="0" w:line="240" w:lineRule="auto"/>
        <w:ind w:firstLine="284"/>
        <w:jc w:val="both"/>
        <w:rPr>
          <w:rFonts w:ascii="Garamond" w:hAnsi="Garamond"/>
          <w:sz w:val="24"/>
          <w:szCs w:val="24"/>
          <w:lang w:val="sq-AL"/>
        </w:rPr>
      </w:pPr>
    </w:p>
    <w:p w14:paraId="0E4DE364" w14:textId="77777777" w:rsidR="00583ABC" w:rsidRPr="001C458B" w:rsidRDefault="00583ABC" w:rsidP="001626FB">
      <w:pPr>
        <w:spacing w:after="0" w:line="240" w:lineRule="auto"/>
        <w:jc w:val="center"/>
        <w:rPr>
          <w:rFonts w:ascii="Garamond" w:hAnsi="Garamond"/>
          <w:sz w:val="24"/>
          <w:szCs w:val="24"/>
          <w:lang w:val="sq-AL"/>
        </w:rPr>
      </w:pPr>
      <w:r w:rsidRPr="001C458B">
        <w:rPr>
          <w:rFonts w:ascii="Garamond" w:hAnsi="Garamond"/>
          <w:sz w:val="24"/>
          <w:szCs w:val="24"/>
          <w:lang w:val="sq-AL"/>
        </w:rPr>
        <w:t>Neni 20</w:t>
      </w:r>
    </w:p>
    <w:p w14:paraId="5D192275" w14:textId="77777777" w:rsidR="00583ABC" w:rsidRPr="001C458B" w:rsidRDefault="00583ABC" w:rsidP="001626FB">
      <w:pPr>
        <w:spacing w:after="0" w:line="240" w:lineRule="auto"/>
        <w:jc w:val="center"/>
        <w:rPr>
          <w:rFonts w:ascii="Garamond" w:hAnsi="Garamond"/>
          <w:b/>
          <w:sz w:val="24"/>
          <w:szCs w:val="24"/>
          <w:lang w:val="sq-AL"/>
        </w:rPr>
      </w:pPr>
      <w:r w:rsidRPr="001C458B">
        <w:rPr>
          <w:rFonts w:ascii="Garamond" w:hAnsi="Garamond"/>
          <w:b/>
          <w:sz w:val="24"/>
          <w:szCs w:val="24"/>
          <w:lang w:val="sq-AL"/>
        </w:rPr>
        <w:t>Dispozita përfundimtare</w:t>
      </w:r>
    </w:p>
    <w:p w14:paraId="284BC603" w14:textId="77777777" w:rsidR="00583ABC" w:rsidRPr="001C458B" w:rsidRDefault="00583ABC" w:rsidP="003D1B12">
      <w:pPr>
        <w:spacing w:after="0" w:line="240" w:lineRule="auto"/>
        <w:ind w:firstLine="284"/>
        <w:jc w:val="both"/>
        <w:rPr>
          <w:rFonts w:ascii="Garamond" w:hAnsi="Garamond"/>
          <w:sz w:val="24"/>
          <w:szCs w:val="24"/>
          <w:lang w:val="sq-AL"/>
        </w:rPr>
      </w:pPr>
    </w:p>
    <w:p w14:paraId="7DF81CF4" w14:textId="6EECB2F2"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Anekset 1, 2, 3 dhe 4, i bashkëlidhen rregullores dhe janë pjesë përbërëse e saj. Aneksi 5 (</w:t>
      </w:r>
      <w:r w:rsidR="009A5157">
        <w:rPr>
          <w:rFonts w:ascii="Garamond" w:hAnsi="Garamond"/>
          <w:sz w:val="24"/>
          <w:szCs w:val="24"/>
          <w:lang w:val="sq-AL"/>
        </w:rPr>
        <w:t>s</w:t>
      </w:r>
      <w:r w:rsidRPr="001C458B">
        <w:rPr>
          <w:rFonts w:ascii="Garamond" w:hAnsi="Garamond"/>
          <w:sz w:val="24"/>
          <w:szCs w:val="24"/>
          <w:lang w:val="sq-AL"/>
        </w:rPr>
        <w:t>hembull) i bashkëlidhet rregullores, por ka vetëm qëllim ilustrimi.</w:t>
      </w:r>
    </w:p>
    <w:p w14:paraId="327BC1DD" w14:textId="77777777" w:rsidR="00583ABC" w:rsidRPr="001C458B" w:rsidRDefault="00583ABC" w:rsidP="003D1B12">
      <w:pPr>
        <w:spacing w:after="0" w:line="240" w:lineRule="auto"/>
        <w:ind w:firstLine="284"/>
        <w:jc w:val="both"/>
        <w:rPr>
          <w:rFonts w:ascii="Garamond" w:hAnsi="Garamond"/>
          <w:sz w:val="24"/>
          <w:szCs w:val="24"/>
          <w:lang w:val="sq-AL"/>
        </w:rPr>
      </w:pPr>
    </w:p>
    <w:p w14:paraId="4D02C0E2" w14:textId="2FC6FCD0" w:rsidR="00583ABC" w:rsidRPr="001C458B" w:rsidRDefault="00583ABC" w:rsidP="001626FB">
      <w:pPr>
        <w:spacing w:after="0" w:line="240" w:lineRule="auto"/>
        <w:ind w:firstLine="284"/>
        <w:jc w:val="right"/>
        <w:rPr>
          <w:rFonts w:ascii="Garamond" w:hAnsi="Garamond"/>
          <w:sz w:val="24"/>
          <w:szCs w:val="24"/>
          <w:lang w:val="sq-AL"/>
        </w:rPr>
      </w:pPr>
      <w:r w:rsidRPr="001C458B">
        <w:rPr>
          <w:rFonts w:ascii="Garamond" w:hAnsi="Garamond"/>
          <w:sz w:val="24"/>
          <w:szCs w:val="24"/>
          <w:lang w:val="sq-AL"/>
        </w:rPr>
        <w:t>KRYETAR I KËSHILLIT MBIKËQYRËS</w:t>
      </w:r>
    </w:p>
    <w:p w14:paraId="56D04EC9" w14:textId="79CA0D34" w:rsidR="001626FB" w:rsidRPr="001C458B" w:rsidRDefault="001626FB" w:rsidP="001626FB">
      <w:pPr>
        <w:spacing w:after="0" w:line="240" w:lineRule="auto"/>
        <w:ind w:firstLine="284"/>
        <w:jc w:val="right"/>
        <w:rPr>
          <w:rFonts w:ascii="Garamond" w:hAnsi="Garamond"/>
          <w:b/>
          <w:sz w:val="24"/>
          <w:szCs w:val="24"/>
          <w:lang w:val="sq-AL"/>
        </w:rPr>
      </w:pPr>
      <w:r w:rsidRPr="001C458B">
        <w:rPr>
          <w:rFonts w:ascii="Garamond" w:hAnsi="Garamond"/>
          <w:b/>
          <w:sz w:val="24"/>
          <w:szCs w:val="24"/>
          <w:lang w:val="sq-AL"/>
        </w:rPr>
        <w:t xml:space="preserve">Gent Sejko </w:t>
      </w:r>
    </w:p>
    <w:p w14:paraId="4CA11548" w14:textId="6FF8B637" w:rsidR="00583ABC" w:rsidRPr="001C458B" w:rsidRDefault="00583ABC" w:rsidP="003D1B12">
      <w:pPr>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471"/>
        <w:gridCol w:w="4329"/>
        <w:gridCol w:w="1171"/>
        <w:gridCol w:w="1836"/>
        <w:gridCol w:w="1769"/>
      </w:tblGrid>
      <w:tr w:rsidR="00583ABC" w:rsidRPr="001C458B" w14:paraId="180CABCC" w14:textId="77777777" w:rsidTr="00557377">
        <w:trPr>
          <w:trHeight w:val="300"/>
        </w:trPr>
        <w:tc>
          <w:tcPr>
            <w:tcW w:w="436" w:type="pct"/>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14:paraId="5ABA4691"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4564" w:type="pct"/>
            <w:gridSpan w:val="4"/>
            <w:vMerge w:val="restart"/>
            <w:tcBorders>
              <w:top w:val="single" w:sz="8" w:space="0" w:color="auto"/>
              <w:left w:val="single" w:sz="4" w:space="0" w:color="auto"/>
              <w:bottom w:val="single" w:sz="8" w:space="0" w:color="000000"/>
              <w:right w:val="single" w:sz="8" w:space="0" w:color="000000"/>
            </w:tcBorders>
            <w:shd w:val="clear" w:color="auto" w:fill="auto"/>
            <w:hideMark/>
          </w:tcPr>
          <w:p w14:paraId="37321998"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ANEKS 1: Vendosja gjeografike e shtesës kundërciklike të kapitalit (KUNC)</w:t>
            </w:r>
          </w:p>
        </w:tc>
      </w:tr>
      <w:tr w:rsidR="00583ABC" w:rsidRPr="001C458B" w14:paraId="3B2E961D" w14:textId="77777777" w:rsidTr="00557377">
        <w:trPr>
          <w:trHeight w:val="450"/>
        </w:trPr>
        <w:tc>
          <w:tcPr>
            <w:tcW w:w="436" w:type="pct"/>
            <w:vMerge/>
            <w:tcBorders>
              <w:top w:val="single" w:sz="8" w:space="0" w:color="auto"/>
              <w:left w:val="single" w:sz="8" w:space="0" w:color="auto"/>
              <w:bottom w:val="single" w:sz="8" w:space="0" w:color="000000"/>
              <w:right w:val="single" w:sz="4" w:space="0" w:color="auto"/>
            </w:tcBorders>
            <w:vAlign w:val="center"/>
            <w:hideMark/>
          </w:tcPr>
          <w:p w14:paraId="392760D7" w14:textId="77777777" w:rsidR="00583ABC" w:rsidRPr="001C458B" w:rsidRDefault="00583ABC" w:rsidP="001626FB">
            <w:pPr>
              <w:spacing w:after="0" w:line="240" w:lineRule="auto"/>
              <w:jc w:val="both"/>
              <w:rPr>
                <w:rFonts w:ascii="Garamond" w:hAnsi="Garamond"/>
                <w:sz w:val="24"/>
                <w:szCs w:val="24"/>
                <w:lang w:val="sq-AL"/>
              </w:rPr>
            </w:pPr>
          </w:p>
        </w:tc>
        <w:tc>
          <w:tcPr>
            <w:tcW w:w="4564" w:type="pct"/>
            <w:gridSpan w:val="4"/>
            <w:vMerge/>
            <w:tcBorders>
              <w:top w:val="single" w:sz="8" w:space="0" w:color="auto"/>
              <w:left w:val="single" w:sz="4" w:space="0" w:color="auto"/>
              <w:bottom w:val="single" w:sz="8" w:space="0" w:color="000000"/>
              <w:right w:val="single" w:sz="8" w:space="0" w:color="000000"/>
            </w:tcBorders>
            <w:vAlign w:val="center"/>
            <w:hideMark/>
          </w:tcPr>
          <w:p w14:paraId="36BAE6A2" w14:textId="77777777" w:rsidR="00583ABC" w:rsidRPr="001C458B" w:rsidRDefault="00583ABC" w:rsidP="001626FB">
            <w:pPr>
              <w:spacing w:after="0" w:line="240" w:lineRule="auto"/>
              <w:jc w:val="both"/>
              <w:rPr>
                <w:rFonts w:ascii="Garamond" w:hAnsi="Garamond"/>
                <w:sz w:val="24"/>
                <w:szCs w:val="24"/>
                <w:lang w:val="sq-AL"/>
              </w:rPr>
            </w:pPr>
          </w:p>
        </w:tc>
      </w:tr>
      <w:tr w:rsidR="00583ABC" w:rsidRPr="001C458B" w14:paraId="04AD2A8E" w14:textId="77777777" w:rsidTr="00557377">
        <w:trPr>
          <w:trHeight w:val="450"/>
        </w:trPr>
        <w:tc>
          <w:tcPr>
            <w:tcW w:w="436" w:type="pct"/>
            <w:vMerge/>
            <w:tcBorders>
              <w:top w:val="single" w:sz="8" w:space="0" w:color="auto"/>
              <w:left w:val="single" w:sz="8" w:space="0" w:color="auto"/>
              <w:bottom w:val="single" w:sz="8" w:space="0" w:color="000000"/>
              <w:right w:val="single" w:sz="4" w:space="0" w:color="auto"/>
            </w:tcBorders>
            <w:vAlign w:val="center"/>
            <w:hideMark/>
          </w:tcPr>
          <w:p w14:paraId="0541B865" w14:textId="77777777" w:rsidR="00583ABC" w:rsidRPr="001C458B" w:rsidRDefault="00583ABC" w:rsidP="001626FB">
            <w:pPr>
              <w:spacing w:after="0" w:line="240" w:lineRule="auto"/>
              <w:jc w:val="both"/>
              <w:rPr>
                <w:rFonts w:ascii="Garamond" w:hAnsi="Garamond"/>
                <w:sz w:val="24"/>
                <w:szCs w:val="24"/>
                <w:lang w:val="sq-AL"/>
              </w:rPr>
            </w:pPr>
          </w:p>
        </w:tc>
        <w:tc>
          <w:tcPr>
            <w:tcW w:w="4564" w:type="pct"/>
            <w:gridSpan w:val="4"/>
            <w:vMerge/>
            <w:tcBorders>
              <w:top w:val="single" w:sz="8" w:space="0" w:color="auto"/>
              <w:left w:val="single" w:sz="4" w:space="0" w:color="auto"/>
              <w:bottom w:val="single" w:sz="8" w:space="0" w:color="000000"/>
              <w:right w:val="single" w:sz="8" w:space="0" w:color="000000"/>
            </w:tcBorders>
            <w:vAlign w:val="center"/>
            <w:hideMark/>
          </w:tcPr>
          <w:p w14:paraId="454BB6B5" w14:textId="77777777" w:rsidR="00583ABC" w:rsidRPr="001C458B" w:rsidRDefault="00583ABC" w:rsidP="001626FB">
            <w:pPr>
              <w:spacing w:after="0" w:line="240" w:lineRule="auto"/>
              <w:jc w:val="both"/>
              <w:rPr>
                <w:rFonts w:ascii="Garamond" w:hAnsi="Garamond"/>
                <w:sz w:val="24"/>
                <w:szCs w:val="24"/>
                <w:lang w:val="sq-AL"/>
              </w:rPr>
            </w:pPr>
          </w:p>
        </w:tc>
      </w:tr>
      <w:tr w:rsidR="00583ABC" w:rsidRPr="001C458B" w14:paraId="07D3997A"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vAlign w:val="bottom"/>
            <w:hideMark/>
          </w:tcPr>
          <w:p w14:paraId="0246332D"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2590" w:type="pct"/>
            <w:tcBorders>
              <w:top w:val="nil"/>
              <w:left w:val="nil"/>
              <w:bottom w:val="single" w:sz="4" w:space="0" w:color="auto"/>
              <w:right w:val="single" w:sz="4" w:space="0" w:color="auto"/>
            </w:tcBorders>
            <w:shd w:val="clear" w:color="auto" w:fill="auto"/>
            <w:hideMark/>
          </w:tcPr>
          <w:p w14:paraId="5A25F18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28" w:type="pct"/>
            <w:tcBorders>
              <w:top w:val="nil"/>
              <w:left w:val="nil"/>
              <w:bottom w:val="single" w:sz="4" w:space="0" w:color="auto"/>
              <w:right w:val="single" w:sz="4" w:space="0" w:color="auto"/>
            </w:tcBorders>
            <w:shd w:val="clear" w:color="auto" w:fill="auto"/>
            <w:hideMark/>
          </w:tcPr>
          <w:p w14:paraId="7CB0B4D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Në bankën vendase</w:t>
            </w:r>
          </w:p>
        </w:tc>
        <w:tc>
          <w:tcPr>
            <w:tcW w:w="679" w:type="pct"/>
            <w:tcBorders>
              <w:top w:val="nil"/>
              <w:left w:val="nil"/>
              <w:bottom w:val="single" w:sz="4" w:space="0" w:color="auto"/>
              <w:right w:val="single" w:sz="4" w:space="0" w:color="auto"/>
            </w:tcBorders>
            <w:shd w:val="clear" w:color="auto" w:fill="auto"/>
            <w:noWrap/>
            <w:hideMark/>
          </w:tcPr>
          <w:p w14:paraId="2217A927"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Në filialet e huaja</w:t>
            </w:r>
          </w:p>
        </w:tc>
        <w:tc>
          <w:tcPr>
            <w:tcW w:w="667" w:type="pct"/>
            <w:tcBorders>
              <w:top w:val="nil"/>
              <w:left w:val="nil"/>
              <w:bottom w:val="single" w:sz="4" w:space="0" w:color="auto"/>
              <w:right w:val="single" w:sz="8" w:space="0" w:color="auto"/>
            </w:tcBorders>
            <w:shd w:val="clear" w:color="auto" w:fill="auto"/>
            <w:noWrap/>
            <w:hideMark/>
          </w:tcPr>
          <w:p w14:paraId="00C1046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Në degët e huaja</w:t>
            </w:r>
          </w:p>
        </w:tc>
      </w:tr>
      <w:tr w:rsidR="00583ABC" w:rsidRPr="001C458B" w14:paraId="537C24AE"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vAlign w:val="bottom"/>
            <w:hideMark/>
          </w:tcPr>
          <w:p w14:paraId="5BB3828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w:t>
            </w:r>
          </w:p>
        </w:tc>
        <w:tc>
          <w:tcPr>
            <w:tcW w:w="2590" w:type="pct"/>
            <w:tcBorders>
              <w:top w:val="nil"/>
              <w:left w:val="nil"/>
              <w:bottom w:val="single" w:sz="4" w:space="0" w:color="auto"/>
              <w:right w:val="single" w:sz="4" w:space="0" w:color="auto"/>
            </w:tcBorders>
            <w:shd w:val="clear" w:color="auto" w:fill="auto"/>
            <w:hideMark/>
          </w:tcPr>
          <w:p w14:paraId="10A497DC"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Për ekspozimet në juridiksionin vendas</w:t>
            </w:r>
          </w:p>
        </w:tc>
        <w:tc>
          <w:tcPr>
            <w:tcW w:w="628" w:type="pct"/>
            <w:tcBorders>
              <w:top w:val="nil"/>
              <w:left w:val="nil"/>
              <w:bottom w:val="single" w:sz="4" w:space="0" w:color="auto"/>
              <w:right w:val="single" w:sz="4" w:space="0" w:color="auto"/>
            </w:tcBorders>
            <w:shd w:val="clear" w:color="auto" w:fill="auto"/>
            <w:hideMark/>
          </w:tcPr>
          <w:p w14:paraId="15627DE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79" w:type="pct"/>
            <w:tcBorders>
              <w:top w:val="nil"/>
              <w:left w:val="nil"/>
              <w:bottom w:val="single" w:sz="4" w:space="0" w:color="auto"/>
              <w:right w:val="single" w:sz="4" w:space="0" w:color="auto"/>
            </w:tcBorders>
            <w:shd w:val="clear" w:color="000000" w:fill="FFFF00"/>
            <w:noWrap/>
            <w:hideMark/>
          </w:tcPr>
          <w:p w14:paraId="7E85F756"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8" w:space="0" w:color="auto"/>
            </w:tcBorders>
            <w:shd w:val="clear" w:color="000000" w:fill="FFFF00"/>
            <w:noWrap/>
            <w:hideMark/>
          </w:tcPr>
          <w:p w14:paraId="746EA350"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r>
      <w:tr w:rsidR="00583ABC" w:rsidRPr="001C458B" w14:paraId="5C4985BD" w14:textId="77777777" w:rsidTr="00557377">
        <w:trPr>
          <w:trHeight w:val="600"/>
        </w:trPr>
        <w:tc>
          <w:tcPr>
            <w:tcW w:w="436" w:type="pct"/>
            <w:tcBorders>
              <w:top w:val="nil"/>
              <w:left w:val="single" w:sz="8" w:space="0" w:color="auto"/>
              <w:bottom w:val="single" w:sz="4" w:space="0" w:color="auto"/>
              <w:right w:val="single" w:sz="4" w:space="0" w:color="auto"/>
            </w:tcBorders>
            <w:shd w:val="clear" w:color="auto" w:fill="auto"/>
            <w:noWrap/>
            <w:hideMark/>
          </w:tcPr>
          <w:p w14:paraId="5C98015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w:t>
            </w:r>
          </w:p>
        </w:tc>
        <w:tc>
          <w:tcPr>
            <w:tcW w:w="2590" w:type="pct"/>
            <w:tcBorders>
              <w:top w:val="nil"/>
              <w:left w:val="nil"/>
              <w:bottom w:val="single" w:sz="4" w:space="0" w:color="auto"/>
              <w:right w:val="single" w:sz="4" w:space="0" w:color="auto"/>
            </w:tcBorders>
            <w:shd w:val="clear" w:color="000000" w:fill="FEF3DE"/>
            <w:hideMark/>
          </w:tcPr>
          <w:p w14:paraId="4E78A0E0"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Për ekspozimet ndërkufitare (të huaja), kur autoriteti mbikëqyrës pritës ka shpallur një normë të KUNC</w:t>
            </w:r>
          </w:p>
        </w:tc>
        <w:tc>
          <w:tcPr>
            <w:tcW w:w="628" w:type="pct"/>
            <w:tcBorders>
              <w:top w:val="nil"/>
              <w:left w:val="nil"/>
              <w:bottom w:val="single" w:sz="4" w:space="0" w:color="auto"/>
              <w:right w:val="single" w:sz="4" w:space="0" w:color="auto"/>
            </w:tcBorders>
            <w:shd w:val="clear" w:color="000000" w:fill="EDEDED"/>
            <w:hideMark/>
          </w:tcPr>
          <w:p w14:paraId="04C0A0A6"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79" w:type="pct"/>
            <w:tcBorders>
              <w:top w:val="nil"/>
              <w:left w:val="nil"/>
              <w:bottom w:val="single" w:sz="4" w:space="0" w:color="auto"/>
              <w:right w:val="single" w:sz="4" w:space="0" w:color="auto"/>
            </w:tcBorders>
            <w:shd w:val="clear" w:color="000000" w:fill="EDEDED"/>
            <w:noWrap/>
            <w:hideMark/>
          </w:tcPr>
          <w:p w14:paraId="6CDFA9AA"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67" w:type="pct"/>
            <w:tcBorders>
              <w:top w:val="nil"/>
              <w:left w:val="nil"/>
              <w:bottom w:val="single" w:sz="4" w:space="0" w:color="auto"/>
              <w:right w:val="single" w:sz="8" w:space="0" w:color="auto"/>
            </w:tcBorders>
            <w:shd w:val="clear" w:color="000000" w:fill="EDEDED"/>
            <w:noWrap/>
            <w:hideMark/>
          </w:tcPr>
          <w:p w14:paraId="5B7CC2C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r>
      <w:tr w:rsidR="00583ABC" w:rsidRPr="001C458B" w14:paraId="010B26CF"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hideMark/>
          </w:tcPr>
          <w:p w14:paraId="0B9C9302" w14:textId="7068880A"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w:t>
            </w:r>
          </w:p>
        </w:tc>
        <w:tc>
          <w:tcPr>
            <w:tcW w:w="2590" w:type="pct"/>
            <w:tcBorders>
              <w:top w:val="nil"/>
              <w:left w:val="nil"/>
              <w:bottom w:val="single" w:sz="4" w:space="0" w:color="auto"/>
              <w:right w:val="single" w:sz="4" w:space="0" w:color="auto"/>
            </w:tcBorders>
            <w:shd w:val="clear" w:color="auto" w:fill="auto"/>
            <w:hideMark/>
          </w:tcPr>
          <w:p w14:paraId="10C0640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nëpërmjet filialeve</w:t>
            </w:r>
          </w:p>
        </w:tc>
        <w:tc>
          <w:tcPr>
            <w:tcW w:w="628" w:type="pct"/>
            <w:tcBorders>
              <w:top w:val="nil"/>
              <w:left w:val="nil"/>
              <w:bottom w:val="single" w:sz="4" w:space="0" w:color="auto"/>
              <w:right w:val="single" w:sz="4" w:space="0" w:color="auto"/>
            </w:tcBorders>
            <w:shd w:val="clear" w:color="000000" w:fill="FFC000"/>
            <w:hideMark/>
          </w:tcPr>
          <w:p w14:paraId="3FCB4CF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Jo</w:t>
            </w:r>
          </w:p>
        </w:tc>
        <w:tc>
          <w:tcPr>
            <w:tcW w:w="679" w:type="pct"/>
            <w:tcBorders>
              <w:top w:val="nil"/>
              <w:left w:val="nil"/>
              <w:bottom w:val="single" w:sz="4" w:space="0" w:color="auto"/>
              <w:right w:val="single" w:sz="4" w:space="0" w:color="auto"/>
            </w:tcBorders>
            <w:shd w:val="clear" w:color="000000" w:fill="92D050"/>
            <w:noWrap/>
            <w:hideMark/>
          </w:tcPr>
          <w:p w14:paraId="7555994B"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67" w:type="pct"/>
            <w:tcBorders>
              <w:top w:val="nil"/>
              <w:left w:val="nil"/>
              <w:bottom w:val="single" w:sz="4" w:space="0" w:color="auto"/>
              <w:right w:val="single" w:sz="8" w:space="0" w:color="auto"/>
            </w:tcBorders>
            <w:shd w:val="clear" w:color="000000" w:fill="FFFF00"/>
            <w:noWrap/>
            <w:hideMark/>
          </w:tcPr>
          <w:p w14:paraId="6FE6B71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r>
      <w:tr w:rsidR="00583ABC" w:rsidRPr="001C458B" w14:paraId="11EC7032"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hideMark/>
          </w:tcPr>
          <w:p w14:paraId="23DC75E5" w14:textId="4849E779"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w:t>
            </w:r>
          </w:p>
        </w:tc>
        <w:tc>
          <w:tcPr>
            <w:tcW w:w="2590" w:type="pct"/>
            <w:tcBorders>
              <w:top w:val="nil"/>
              <w:left w:val="nil"/>
              <w:bottom w:val="single" w:sz="4" w:space="0" w:color="auto"/>
              <w:right w:val="single" w:sz="4" w:space="0" w:color="auto"/>
            </w:tcBorders>
            <w:shd w:val="clear" w:color="auto" w:fill="auto"/>
            <w:hideMark/>
          </w:tcPr>
          <w:p w14:paraId="5BA3897D"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nëpërmjet degëve</w:t>
            </w:r>
          </w:p>
        </w:tc>
        <w:tc>
          <w:tcPr>
            <w:tcW w:w="628" w:type="pct"/>
            <w:tcBorders>
              <w:top w:val="nil"/>
              <w:left w:val="nil"/>
              <w:bottom w:val="single" w:sz="4" w:space="0" w:color="auto"/>
              <w:right w:val="single" w:sz="4" w:space="0" w:color="auto"/>
            </w:tcBorders>
            <w:shd w:val="clear" w:color="000000" w:fill="EDEDED"/>
            <w:hideMark/>
          </w:tcPr>
          <w:p w14:paraId="2BDE67B3"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79" w:type="pct"/>
            <w:tcBorders>
              <w:top w:val="nil"/>
              <w:left w:val="nil"/>
              <w:bottom w:val="single" w:sz="4" w:space="0" w:color="auto"/>
              <w:right w:val="single" w:sz="4" w:space="0" w:color="auto"/>
            </w:tcBorders>
            <w:shd w:val="clear" w:color="000000" w:fill="EDEDED"/>
            <w:noWrap/>
            <w:hideMark/>
          </w:tcPr>
          <w:p w14:paraId="0E3D13C0"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67" w:type="pct"/>
            <w:tcBorders>
              <w:top w:val="nil"/>
              <w:left w:val="nil"/>
              <w:bottom w:val="single" w:sz="4" w:space="0" w:color="auto"/>
              <w:right w:val="single" w:sz="8" w:space="0" w:color="auto"/>
            </w:tcBorders>
            <w:shd w:val="clear" w:color="000000" w:fill="EDEDED"/>
            <w:hideMark/>
          </w:tcPr>
          <w:p w14:paraId="582B586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r>
      <w:tr w:rsidR="00583ABC" w:rsidRPr="001C458B" w14:paraId="60D877E7" w14:textId="77777777" w:rsidTr="00557377">
        <w:trPr>
          <w:trHeight w:val="705"/>
        </w:trPr>
        <w:tc>
          <w:tcPr>
            <w:tcW w:w="436" w:type="pct"/>
            <w:tcBorders>
              <w:top w:val="nil"/>
              <w:left w:val="single" w:sz="8" w:space="0" w:color="auto"/>
              <w:bottom w:val="single" w:sz="4" w:space="0" w:color="auto"/>
              <w:right w:val="single" w:sz="4" w:space="0" w:color="auto"/>
            </w:tcBorders>
            <w:shd w:val="clear" w:color="auto" w:fill="auto"/>
            <w:noWrap/>
            <w:hideMark/>
          </w:tcPr>
          <w:p w14:paraId="3698E7C9" w14:textId="5641EFC9"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a)</w:t>
            </w:r>
          </w:p>
        </w:tc>
        <w:tc>
          <w:tcPr>
            <w:tcW w:w="2590" w:type="pct"/>
            <w:tcBorders>
              <w:top w:val="nil"/>
              <w:left w:val="nil"/>
              <w:bottom w:val="single" w:sz="4" w:space="0" w:color="auto"/>
              <w:right w:val="single" w:sz="4" w:space="0" w:color="auto"/>
            </w:tcBorders>
            <w:shd w:val="clear" w:color="auto" w:fill="auto"/>
            <w:hideMark/>
          </w:tcPr>
          <w:p w14:paraId="2300D7A6"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Ku rregulloret e juridiksionit pritës nuk kërkojnë që kapitali rregullator të mbahet pranë degëve</w:t>
            </w:r>
          </w:p>
        </w:tc>
        <w:tc>
          <w:tcPr>
            <w:tcW w:w="628" w:type="pct"/>
            <w:tcBorders>
              <w:top w:val="nil"/>
              <w:left w:val="nil"/>
              <w:bottom w:val="single" w:sz="4" w:space="0" w:color="auto"/>
              <w:right w:val="single" w:sz="4" w:space="0" w:color="auto"/>
            </w:tcBorders>
            <w:shd w:val="clear" w:color="000000" w:fill="92D050"/>
            <w:hideMark/>
          </w:tcPr>
          <w:p w14:paraId="725DB5AC"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79" w:type="pct"/>
            <w:tcBorders>
              <w:top w:val="nil"/>
              <w:left w:val="nil"/>
              <w:bottom w:val="single" w:sz="4" w:space="0" w:color="auto"/>
              <w:right w:val="single" w:sz="4" w:space="0" w:color="auto"/>
            </w:tcBorders>
            <w:shd w:val="clear" w:color="000000" w:fill="FFFF00"/>
            <w:noWrap/>
            <w:hideMark/>
          </w:tcPr>
          <w:p w14:paraId="100F746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8" w:space="0" w:color="auto"/>
            </w:tcBorders>
            <w:shd w:val="clear" w:color="000000" w:fill="FFC000"/>
            <w:hideMark/>
          </w:tcPr>
          <w:p w14:paraId="3BF27DF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Jo</w:t>
            </w:r>
          </w:p>
        </w:tc>
      </w:tr>
      <w:tr w:rsidR="00583ABC" w:rsidRPr="001C458B" w14:paraId="3F5E01A8" w14:textId="77777777" w:rsidTr="00557377">
        <w:trPr>
          <w:trHeight w:val="435"/>
        </w:trPr>
        <w:tc>
          <w:tcPr>
            <w:tcW w:w="436" w:type="pct"/>
            <w:tcBorders>
              <w:top w:val="nil"/>
              <w:left w:val="single" w:sz="8" w:space="0" w:color="auto"/>
              <w:bottom w:val="single" w:sz="4" w:space="0" w:color="auto"/>
              <w:right w:val="single" w:sz="4" w:space="0" w:color="auto"/>
            </w:tcBorders>
            <w:shd w:val="clear" w:color="auto" w:fill="auto"/>
            <w:noWrap/>
            <w:hideMark/>
          </w:tcPr>
          <w:p w14:paraId="6B7CB1B5" w14:textId="3A98E243"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b)</w:t>
            </w:r>
          </w:p>
        </w:tc>
        <w:tc>
          <w:tcPr>
            <w:tcW w:w="2590" w:type="pct"/>
            <w:tcBorders>
              <w:top w:val="nil"/>
              <w:left w:val="nil"/>
              <w:bottom w:val="single" w:sz="4" w:space="0" w:color="auto"/>
              <w:right w:val="single" w:sz="4" w:space="0" w:color="auto"/>
            </w:tcBorders>
            <w:shd w:val="clear" w:color="auto" w:fill="auto"/>
            <w:hideMark/>
          </w:tcPr>
          <w:p w14:paraId="29BA4FF6"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Ku rregulloret e juridiksionit pritës kërkojnë që kapitali rregullator të mbahet pranë degëve</w:t>
            </w:r>
          </w:p>
        </w:tc>
        <w:tc>
          <w:tcPr>
            <w:tcW w:w="628" w:type="pct"/>
            <w:tcBorders>
              <w:top w:val="nil"/>
              <w:left w:val="nil"/>
              <w:bottom w:val="single" w:sz="4" w:space="0" w:color="auto"/>
              <w:right w:val="single" w:sz="4" w:space="0" w:color="auto"/>
            </w:tcBorders>
            <w:shd w:val="clear" w:color="000000" w:fill="FFC000"/>
            <w:hideMark/>
          </w:tcPr>
          <w:p w14:paraId="6B9A56B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Jo</w:t>
            </w:r>
          </w:p>
        </w:tc>
        <w:tc>
          <w:tcPr>
            <w:tcW w:w="679" w:type="pct"/>
            <w:tcBorders>
              <w:top w:val="nil"/>
              <w:left w:val="nil"/>
              <w:bottom w:val="single" w:sz="4" w:space="0" w:color="auto"/>
              <w:right w:val="single" w:sz="4" w:space="0" w:color="auto"/>
            </w:tcBorders>
            <w:shd w:val="clear" w:color="000000" w:fill="FFFF00"/>
            <w:noWrap/>
            <w:hideMark/>
          </w:tcPr>
          <w:p w14:paraId="1AFDE68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8" w:space="0" w:color="auto"/>
            </w:tcBorders>
            <w:shd w:val="clear" w:color="000000" w:fill="92D050"/>
            <w:hideMark/>
          </w:tcPr>
          <w:p w14:paraId="19828611"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r>
      <w:tr w:rsidR="00583ABC" w:rsidRPr="001C458B" w14:paraId="177E56CC"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hideMark/>
          </w:tcPr>
          <w:p w14:paraId="14726ED0" w14:textId="162D01EE"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iii)</w:t>
            </w:r>
          </w:p>
        </w:tc>
        <w:tc>
          <w:tcPr>
            <w:tcW w:w="2590" w:type="pct"/>
            <w:tcBorders>
              <w:top w:val="nil"/>
              <w:left w:val="nil"/>
              <w:bottom w:val="single" w:sz="4" w:space="0" w:color="auto"/>
              <w:right w:val="single" w:sz="4" w:space="0" w:color="auto"/>
            </w:tcBorders>
            <w:shd w:val="clear" w:color="auto" w:fill="auto"/>
            <w:hideMark/>
          </w:tcPr>
          <w:p w14:paraId="0511E0C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direkt nga banka vendase</w:t>
            </w:r>
          </w:p>
        </w:tc>
        <w:tc>
          <w:tcPr>
            <w:tcW w:w="628" w:type="pct"/>
            <w:tcBorders>
              <w:top w:val="nil"/>
              <w:left w:val="nil"/>
              <w:bottom w:val="single" w:sz="4" w:space="0" w:color="auto"/>
              <w:right w:val="single" w:sz="4" w:space="0" w:color="auto"/>
            </w:tcBorders>
            <w:shd w:val="clear" w:color="000000" w:fill="92D050"/>
            <w:hideMark/>
          </w:tcPr>
          <w:p w14:paraId="19E9FE01"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79" w:type="pct"/>
            <w:tcBorders>
              <w:top w:val="nil"/>
              <w:left w:val="nil"/>
              <w:bottom w:val="single" w:sz="4" w:space="0" w:color="auto"/>
              <w:right w:val="single" w:sz="4" w:space="0" w:color="auto"/>
            </w:tcBorders>
            <w:shd w:val="clear" w:color="000000" w:fill="FFFF00"/>
            <w:noWrap/>
            <w:hideMark/>
          </w:tcPr>
          <w:p w14:paraId="40C2248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8" w:space="0" w:color="auto"/>
            </w:tcBorders>
            <w:shd w:val="clear" w:color="000000" w:fill="FFFF00"/>
            <w:hideMark/>
          </w:tcPr>
          <w:p w14:paraId="730164A1"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r>
      <w:tr w:rsidR="00583ABC" w:rsidRPr="001C458B" w14:paraId="0C99BFE8" w14:textId="77777777" w:rsidTr="00557377">
        <w:trPr>
          <w:trHeight w:val="1500"/>
        </w:trPr>
        <w:tc>
          <w:tcPr>
            <w:tcW w:w="436" w:type="pct"/>
            <w:tcBorders>
              <w:top w:val="nil"/>
              <w:left w:val="single" w:sz="8" w:space="0" w:color="auto"/>
              <w:bottom w:val="single" w:sz="4" w:space="0" w:color="auto"/>
              <w:right w:val="single" w:sz="4" w:space="0" w:color="auto"/>
            </w:tcBorders>
            <w:shd w:val="clear" w:color="auto" w:fill="auto"/>
            <w:noWrap/>
            <w:hideMark/>
          </w:tcPr>
          <w:p w14:paraId="64D48F92"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III</w:t>
            </w:r>
          </w:p>
        </w:tc>
        <w:tc>
          <w:tcPr>
            <w:tcW w:w="2590" w:type="pct"/>
            <w:tcBorders>
              <w:top w:val="nil"/>
              <w:left w:val="nil"/>
              <w:bottom w:val="single" w:sz="4" w:space="0" w:color="auto"/>
              <w:right w:val="single" w:sz="4" w:space="0" w:color="auto"/>
            </w:tcBorders>
            <w:shd w:val="clear" w:color="auto" w:fill="auto"/>
            <w:hideMark/>
          </w:tcPr>
          <w:p w14:paraId="4994CE7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Për ekspozimet ndërkufitare, ku autoriteti mbikëqyrës pritës nuk ka shpallur një normë të KUNC-it, por autoriteti i vendit të origjinës beson se duhet të zbatohet; ose ku autoriteti mbikëqyrës pritës ka shpallur një normë të KUNC-it, por autoriteti i vendit të origjinës beson se ajo duhet të jetë në një nivel më të lartë (nevojitet një shtesë në normën e KUNC-it)</w:t>
            </w:r>
          </w:p>
        </w:tc>
        <w:tc>
          <w:tcPr>
            <w:tcW w:w="628" w:type="pct"/>
            <w:tcBorders>
              <w:top w:val="nil"/>
              <w:left w:val="nil"/>
              <w:bottom w:val="single" w:sz="4" w:space="0" w:color="auto"/>
              <w:right w:val="single" w:sz="4" w:space="0" w:color="auto"/>
            </w:tcBorders>
            <w:shd w:val="clear" w:color="000000" w:fill="EDEDED"/>
            <w:hideMark/>
          </w:tcPr>
          <w:p w14:paraId="6CC1CA27"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79" w:type="pct"/>
            <w:tcBorders>
              <w:top w:val="nil"/>
              <w:left w:val="nil"/>
              <w:bottom w:val="single" w:sz="4" w:space="0" w:color="auto"/>
              <w:right w:val="single" w:sz="4" w:space="0" w:color="auto"/>
            </w:tcBorders>
            <w:shd w:val="clear" w:color="000000" w:fill="EDEDED"/>
            <w:noWrap/>
            <w:hideMark/>
          </w:tcPr>
          <w:p w14:paraId="61751DF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67" w:type="pct"/>
            <w:tcBorders>
              <w:top w:val="nil"/>
              <w:left w:val="nil"/>
              <w:bottom w:val="single" w:sz="4" w:space="0" w:color="auto"/>
              <w:right w:val="single" w:sz="8" w:space="0" w:color="auto"/>
            </w:tcBorders>
            <w:shd w:val="clear" w:color="000000" w:fill="EDEDED"/>
            <w:hideMark/>
          </w:tcPr>
          <w:p w14:paraId="650BB132"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r>
      <w:tr w:rsidR="00583ABC" w:rsidRPr="001C458B" w14:paraId="212589D9" w14:textId="77777777" w:rsidTr="00557377">
        <w:trPr>
          <w:trHeight w:val="600"/>
        </w:trPr>
        <w:tc>
          <w:tcPr>
            <w:tcW w:w="436" w:type="pct"/>
            <w:tcBorders>
              <w:top w:val="nil"/>
              <w:left w:val="single" w:sz="8" w:space="0" w:color="auto"/>
              <w:bottom w:val="single" w:sz="4" w:space="0" w:color="auto"/>
              <w:right w:val="single" w:sz="4" w:space="0" w:color="auto"/>
            </w:tcBorders>
            <w:shd w:val="clear" w:color="auto" w:fill="auto"/>
            <w:noWrap/>
            <w:hideMark/>
          </w:tcPr>
          <w:p w14:paraId="0163DA9C" w14:textId="57AFB5EA"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w:t>
            </w:r>
          </w:p>
        </w:tc>
        <w:tc>
          <w:tcPr>
            <w:tcW w:w="2590" w:type="pct"/>
            <w:tcBorders>
              <w:top w:val="nil"/>
              <w:left w:val="nil"/>
              <w:bottom w:val="single" w:sz="4" w:space="0" w:color="auto"/>
              <w:right w:val="single" w:sz="4" w:space="0" w:color="auto"/>
            </w:tcBorders>
            <w:shd w:val="clear" w:color="auto" w:fill="auto"/>
            <w:hideMark/>
          </w:tcPr>
          <w:p w14:paraId="6EC65668"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nëpërmjet filialeve</w:t>
            </w:r>
          </w:p>
        </w:tc>
        <w:tc>
          <w:tcPr>
            <w:tcW w:w="628" w:type="pct"/>
            <w:tcBorders>
              <w:top w:val="nil"/>
              <w:left w:val="nil"/>
              <w:bottom w:val="single" w:sz="4" w:space="0" w:color="auto"/>
              <w:right w:val="single" w:sz="4" w:space="0" w:color="auto"/>
            </w:tcBorders>
            <w:shd w:val="clear" w:color="000000" w:fill="92D050"/>
            <w:hideMark/>
          </w:tcPr>
          <w:p w14:paraId="49EDB56A"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xml:space="preserve">Po, por në diskrecion të bankës </w:t>
            </w:r>
          </w:p>
        </w:tc>
        <w:tc>
          <w:tcPr>
            <w:tcW w:w="679" w:type="pct"/>
            <w:tcBorders>
              <w:top w:val="nil"/>
              <w:left w:val="nil"/>
              <w:bottom w:val="single" w:sz="4" w:space="0" w:color="auto"/>
              <w:right w:val="single" w:sz="4" w:space="0" w:color="auto"/>
            </w:tcBorders>
            <w:shd w:val="clear" w:color="000000" w:fill="92D050"/>
            <w:hideMark/>
          </w:tcPr>
          <w:p w14:paraId="3F557C9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xml:space="preserve">Po, por në diskrecion të bankës </w:t>
            </w:r>
          </w:p>
        </w:tc>
        <w:tc>
          <w:tcPr>
            <w:tcW w:w="667" w:type="pct"/>
            <w:tcBorders>
              <w:top w:val="nil"/>
              <w:left w:val="nil"/>
              <w:bottom w:val="single" w:sz="4" w:space="0" w:color="auto"/>
              <w:right w:val="single" w:sz="8" w:space="0" w:color="auto"/>
            </w:tcBorders>
            <w:shd w:val="clear" w:color="000000" w:fill="FFFF00"/>
            <w:hideMark/>
          </w:tcPr>
          <w:p w14:paraId="4D99D24C"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r>
      <w:tr w:rsidR="00583ABC" w:rsidRPr="001C458B" w14:paraId="4BE1B76B" w14:textId="77777777" w:rsidTr="00557377">
        <w:trPr>
          <w:trHeight w:val="300"/>
        </w:trPr>
        <w:tc>
          <w:tcPr>
            <w:tcW w:w="436" w:type="pct"/>
            <w:tcBorders>
              <w:top w:val="nil"/>
              <w:left w:val="single" w:sz="8" w:space="0" w:color="auto"/>
              <w:bottom w:val="single" w:sz="4" w:space="0" w:color="auto"/>
              <w:right w:val="single" w:sz="4" w:space="0" w:color="auto"/>
            </w:tcBorders>
            <w:shd w:val="clear" w:color="auto" w:fill="auto"/>
            <w:noWrap/>
            <w:hideMark/>
          </w:tcPr>
          <w:p w14:paraId="38261450" w14:textId="0AE2C38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w:t>
            </w:r>
          </w:p>
        </w:tc>
        <w:tc>
          <w:tcPr>
            <w:tcW w:w="2590" w:type="pct"/>
            <w:tcBorders>
              <w:top w:val="nil"/>
              <w:left w:val="nil"/>
              <w:bottom w:val="single" w:sz="4" w:space="0" w:color="auto"/>
              <w:right w:val="single" w:sz="4" w:space="0" w:color="auto"/>
            </w:tcBorders>
            <w:shd w:val="clear" w:color="auto" w:fill="auto"/>
            <w:hideMark/>
          </w:tcPr>
          <w:p w14:paraId="27E609AB"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nëpërmjet degëve</w:t>
            </w:r>
          </w:p>
        </w:tc>
        <w:tc>
          <w:tcPr>
            <w:tcW w:w="628" w:type="pct"/>
            <w:tcBorders>
              <w:top w:val="nil"/>
              <w:left w:val="nil"/>
              <w:bottom w:val="single" w:sz="4" w:space="0" w:color="auto"/>
              <w:right w:val="single" w:sz="4" w:space="0" w:color="auto"/>
            </w:tcBorders>
            <w:shd w:val="clear" w:color="000000" w:fill="EDEDED"/>
            <w:hideMark/>
          </w:tcPr>
          <w:p w14:paraId="3F0DBF56"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79" w:type="pct"/>
            <w:tcBorders>
              <w:top w:val="nil"/>
              <w:left w:val="nil"/>
              <w:bottom w:val="single" w:sz="4" w:space="0" w:color="auto"/>
              <w:right w:val="single" w:sz="4" w:space="0" w:color="auto"/>
            </w:tcBorders>
            <w:shd w:val="clear" w:color="000000" w:fill="EDEDED"/>
            <w:noWrap/>
            <w:hideMark/>
          </w:tcPr>
          <w:p w14:paraId="0D721465"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c>
          <w:tcPr>
            <w:tcW w:w="667" w:type="pct"/>
            <w:tcBorders>
              <w:top w:val="nil"/>
              <w:left w:val="nil"/>
              <w:bottom w:val="single" w:sz="4" w:space="0" w:color="auto"/>
              <w:right w:val="single" w:sz="8" w:space="0" w:color="auto"/>
            </w:tcBorders>
            <w:shd w:val="clear" w:color="000000" w:fill="EDEDED"/>
            <w:hideMark/>
          </w:tcPr>
          <w:p w14:paraId="6C852B79"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w:t>
            </w:r>
          </w:p>
        </w:tc>
      </w:tr>
      <w:tr w:rsidR="00583ABC" w:rsidRPr="001C458B" w14:paraId="51B32039" w14:textId="77777777" w:rsidTr="00557377">
        <w:trPr>
          <w:trHeight w:val="660"/>
        </w:trPr>
        <w:tc>
          <w:tcPr>
            <w:tcW w:w="436" w:type="pct"/>
            <w:tcBorders>
              <w:top w:val="nil"/>
              <w:left w:val="single" w:sz="8" w:space="0" w:color="auto"/>
              <w:bottom w:val="single" w:sz="4" w:space="0" w:color="auto"/>
              <w:right w:val="single" w:sz="4" w:space="0" w:color="auto"/>
            </w:tcBorders>
            <w:shd w:val="clear" w:color="auto" w:fill="auto"/>
            <w:noWrap/>
            <w:hideMark/>
          </w:tcPr>
          <w:p w14:paraId="2D466475" w14:textId="3873CCA3"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a)</w:t>
            </w:r>
          </w:p>
        </w:tc>
        <w:tc>
          <w:tcPr>
            <w:tcW w:w="2590" w:type="pct"/>
            <w:tcBorders>
              <w:top w:val="nil"/>
              <w:left w:val="nil"/>
              <w:bottom w:val="single" w:sz="4" w:space="0" w:color="auto"/>
              <w:right w:val="single" w:sz="4" w:space="0" w:color="auto"/>
            </w:tcBorders>
            <w:shd w:val="clear" w:color="auto" w:fill="auto"/>
            <w:hideMark/>
          </w:tcPr>
          <w:p w14:paraId="00889527"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Ku rregulloret e juridiksionit pritës nuk kërkojnë që kapitali rregullator të mbahet pranë degëve</w:t>
            </w:r>
          </w:p>
        </w:tc>
        <w:tc>
          <w:tcPr>
            <w:tcW w:w="628" w:type="pct"/>
            <w:tcBorders>
              <w:top w:val="nil"/>
              <w:left w:val="nil"/>
              <w:bottom w:val="single" w:sz="4" w:space="0" w:color="auto"/>
              <w:right w:val="single" w:sz="4" w:space="0" w:color="auto"/>
            </w:tcBorders>
            <w:shd w:val="clear" w:color="000000" w:fill="92D050"/>
            <w:hideMark/>
          </w:tcPr>
          <w:p w14:paraId="12CEB8E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79" w:type="pct"/>
            <w:tcBorders>
              <w:top w:val="nil"/>
              <w:left w:val="nil"/>
              <w:bottom w:val="single" w:sz="4" w:space="0" w:color="auto"/>
              <w:right w:val="single" w:sz="4" w:space="0" w:color="auto"/>
            </w:tcBorders>
            <w:shd w:val="clear" w:color="000000" w:fill="FFFF00"/>
            <w:noWrap/>
            <w:vAlign w:val="center"/>
            <w:hideMark/>
          </w:tcPr>
          <w:p w14:paraId="1F997268"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8" w:space="0" w:color="auto"/>
            </w:tcBorders>
            <w:shd w:val="clear" w:color="000000" w:fill="FFC000"/>
            <w:noWrap/>
            <w:vAlign w:val="center"/>
            <w:hideMark/>
          </w:tcPr>
          <w:p w14:paraId="5CC6CCF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Jo</w:t>
            </w:r>
          </w:p>
        </w:tc>
      </w:tr>
      <w:tr w:rsidR="00583ABC" w:rsidRPr="001C458B" w14:paraId="4DE3A574" w14:textId="77777777" w:rsidTr="00557377">
        <w:trPr>
          <w:trHeight w:val="600"/>
        </w:trPr>
        <w:tc>
          <w:tcPr>
            <w:tcW w:w="436" w:type="pct"/>
            <w:tcBorders>
              <w:top w:val="nil"/>
              <w:left w:val="single" w:sz="8" w:space="0" w:color="auto"/>
              <w:bottom w:val="single" w:sz="4" w:space="0" w:color="auto"/>
              <w:right w:val="single" w:sz="4" w:space="0" w:color="auto"/>
            </w:tcBorders>
            <w:shd w:val="clear" w:color="auto" w:fill="auto"/>
            <w:noWrap/>
            <w:hideMark/>
          </w:tcPr>
          <w:p w14:paraId="5FE81B19" w14:textId="4D7E64B4"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b)</w:t>
            </w:r>
          </w:p>
        </w:tc>
        <w:tc>
          <w:tcPr>
            <w:tcW w:w="2590" w:type="pct"/>
            <w:tcBorders>
              <w:top w:val="nil"/>
              <w:left w:val="nil"/>
              <w:bottom w:val="single" w:sz="4" w:space="0" w:color="auto"/>
              <w:right w:val="single" w:sz="4" w:space="0" w:color="auto"/>
            </w:tcBorders>
            <w:shd w:val="clear" w:color="auto" w:fill="auto"/>
            <w:hideMark/>
          </w:tcPr>
          <w:p w14:paraId="6664799A"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Ku rregulloret e juridiksionit pritës kërkojnë që kapitali rregullator të mbahet pranë degëve</w:t>
            </w:r>
          </w:p>
        </w:tc>
        <w:tc>
          <w:tcPr>
            <w:tcW w:w="628" w:type="pct"/>
            <w:tcBorders>
              <w:top w:val="nil"/>
              <w:left w:val="nil"/>
              <w:bottom w:val="single" w:sz="4" w:space="0" w:color="auto"/>
              <w:right w:val="single" w:sz="4" w:space="0" w:color="auto"/>
            </w:tcBorders>
            <w:shd w:val="clear" w:color="000000" w:fill="92D050"/>
            <w:hideMark/>
          </w:tcPr>
          <w:p w14:paraId="3799FBE3"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xml:space="preserve">Po, por në diskrecion të bankës </w:t>
            </w:r>
          </w:p>
        </w:tc>
        <w:tc>
          <w:tcPr>
            <w:tcW w:w="679" w:type="pct"/>
            <w:tcBorders>
              <w:top w:val="nil"/>
              <w:left w:val="nil"/>
              <w:bottom w:val="single" w:sz="4" w:space="0" w:color="auto"/>
              <w:right w:val="single" w:sz="4" w:space="0" w:color="auto"/>
            </w:tcBorders>
            <w:shd w:val="clear" w:color="000000" w:fill="FFFF00"/>
            <w:noWrap/>
            <w:vAlign w:val="center"/>
            <w:hideMark/>
          </w:tcPr>
          <w:p w14:paraId="2960FF5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4" w:space="0" w:color="auto"/>
              <w:right w:val="single" w:sz="4" w:space="0" w:color="auto"/>
            </w:tcBorders>
            <w:shd w:val="clear" w:color="000000" w:fill="92D050"/>
            <w:hideMark/>
          </w:tcPr>
          <w:p w14:paraId="09319311"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 xml:space="preserve">Po, por në diskrecion të bankës </w:t>
            </w:r>
          </w:p>
        </w:tc>
      </w:tr>
      <w:tr w:rsidR="00583ABC" w:rsidRPr="001C458B" w14:paraId="35ECFC15" w14:textId="77777777" w:rsidTr="00557377">
        <w:trPr>
          <w:trHeight w:val="450"/>
        </w:trPr>
        <w:tc>
          <w:tcPr>
            <w:tcW w:w="436" w:type="pct"/>
            <w:tcBorders>
              <w:top w:val="nil"/>
              <w:left w:val="single" w:sz="8" w:space="0" w:color="auto"/>
              <w:bottom w:val="single" w:sz="8" w:space="0" w:color="auto"/>
              <w:right w:val="single" w:sz="4" w:space="0" w:color="auto"/>
            </w:tcBorders>
            <w:shd w:val="clear" w:color="auto" w:fill="auto"/>
            <w:noWrap/>
            <w:hideMark/>
          </w:tcPr>
          <w:p w14:paraId="314F2869" w14:textId="04EA1EEB"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iii)</w:t>
            </w:r>
          </w:p>
        </w:tc>
        <w:tc>
          <w:tcPr>
            <w:tcW w:w="2590" w:type="pct"/>
            <w:tcBorders>
              <w:top w:val="nil"/>
              <w:left w:val="nil"/>
              <w:bottom w:val="single" w:sz="4" w:space="0" w:color="auto"/>
              <w:right w:val="single" w:sz="4" w:space="0" w:color="auto"/>
            </w:tcBorders>
            <w:shd w:val="clear" w:color="auto" w:fill="auto"/>
            <w:hideMark/>
          </w:tcPr>
          <w:p w14:paraId="44CE12BF"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Ekspozim direkt nga banka vendase</w:t>
            </w:r>
          </w:p>
        </w:tc>
        <w:tc>
          <w:tcPr>
            <w:tcW w:w="628" w:type="pct"/>
            <w:tcBorders>
              <w:top w:val="nil"/>
              <w:left w:val="nil"/>
              <w:bottom w:val="single" w:sz="8" w:space="0" w:color="auto"/>
              <w:right w:val="single" w:sz="4" w:space="0" w:color="auto"/>
            </w:tcBorders>
            <w:shd w:val="clear" w:color="000000" w:fill="92D050"/>
            <w:hideMark/>
          </w:tcPr>
          <w:p w14:paraId="30B1F19E"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Po</w:t>
            </w:r>
          </w:p>
        </w:tc>
        <w:tc>
          <w:tcPr>
            <w:tcW w:w="679" w:type="pct"/>
            <w:tcBorders>
              <w:top w:val="nil"/>
              <w:left w:val="nil"/>
              <w:bottom w:val="single" w:sz="8" w:space="0" w:color="auto"/>
              <w:right w:val="single" w:sz="4" w:space="0" w:color="auto"/>
            </w:tcBorders>
            <w:shd w:val="clear" w:color="000000" w:fill="FFFF00"/>
            <w:noWrap/>
            <w:hideMark/>
          </w:tcPr>
          <w:p w14:paraId="358F1822"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c>
          <w:tcPr>
            <w:tcW w:w="667" w:type="pct"/>
            <w:tcBorders>
              <w:top w:val="nil"/>
              <w:left w:val="nil"/>
              <w:bottom w:val="single" w:sz="8" w:space="0" w:color="auto"/>
              <w:right w:val="single" w:sz="8" w:space="0" w:color="auto"/>
            </w:tcBorders>
            <w:shd w:val="clear" w:color="000000" w:fill="FFFF00"/>
            <w:hideMark/>
          </w:tcPr>
          <w:p w14:paraId="4D9DB31B"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w:t>
            </w:r>
          </w:p>
        </w:tc>
      </w:tr>
      <w:tr w:rsidR="00583ABC" w:rsidRPr="001C458B" w14:paraId="35308425" w14:textId="77777777" w:rsidTr="00557377">
        <w:trPr>
          <w:trHeight w:val="300"/>
        </w:trPr>
        <w:tc>
          <w:tcPr>
            <w:tcW w:w="436" w:type="pct"/>
            <w:tcBorders>
              <w:top w:val="nil"/>
              <w:left w:val="nil"/>
              <w:bottom w:val="nil"/>
              <w:right w:val="nil"/>
            </w:tcBorders>
            <w:shd w:val="clear" w:color="auto" w:fill="auto"/>
            <w:noWrap/>
            <w:vAlign w:val="bottom"/>
            <w:hideMark/>
          </w:tcPr>
          <w:p w14:paraId="5F8F9355" w14:textId="77777777" w:rsidR="00583ABC" w:rsidRPr="001C458B" w:rsidRDefault="00583ABC" w:rsidP="001626FB">
            <w:pPr>
              <w:spacing w:after="0" w:line="240" w:lineRule="auto"/>
              <w:jc w:val="both"/>
              <w:rPr>
                <w:rFonts w:ascii="Garamond" w:hAnsi="Garamond"/>
                <w:sz w:val="24"/>
                <w:szCs w:val="24"/>
                <w:lang w:val="sq-AL"/>
              </w:rPr>
            </w:pPr>
          </w:p>
        </w:tc>
        <w:tc>
          <w:tcPr>
            <w:tcW w:w="2590" w:type="pct"/>
            <w:tcBorders>
              <w:top w:val="nil"/>
              <w:left w:val="nil"/>
              <w:bottom w:val="nil"/>
              <w:right w:val="nil"/>
            </w:tcBorders>
            <w:shd w:val="clear" w:color="auto" w:fill="auto"/>
            <w:noWrap/>
            <w:vAlign w:val="bottom"/>
            <w:hideMark/>
          </w:tcPr>
          <w:p w14:paraId="22141EB0" w14:textId="77777777" w:rsidR="00583ABC" w:rsidRPr="001C458B" w:rsidRDefault="00583ABC" w:rsidP="001626FB">
            <w:pPr>
              <w:spacing w:after="0" w:line="240" w:lineRule="auto"/>
              <w:jc w:val="both"/>
              <w:rPr>
                <w:rFonts w:ascii="Garamond" w:hAnsi="Garamond"/>
                <w:sz w:val="24"/>
                <w:szCs w:val="24"/>
                <w:lang w:val="sq-AL"/>
              </w:rPr>
            </w:pPr>
          </w:p>
        </w:tc>
        <w:tc>
          <w:tcPr>
            <w:tcW w:w="628" w:type="pct"/>
            <w:tcBorders>
              <w:top w:val="nil"/>
              <w:left w:val="nil"/>
              <w:bottom w:val="nil"/>
              <w:right w:val="nil"/>
            </w:tcBorders>
            <w:shd w:val="clear" w:color="auto" w:fill="auto"/>
            <w:noWrap/>
            <w:vAlign w:val="bottom"/>
            <w:hideMark/>
          </w:tcPr>
          <w:p w14:paraId="78EA149C" w14:textId="77777777" w:rsidR="00583ABC" w:rsidRPr="001C458B" w:rsidRDefault="00583ABC" w:rsidP="001626FB">
            <w:pPr>
              <w:spacing w:after="0" w:line="240" w:lineRule="auto"/>
              <w:jc w:val="both"/>
              <w:rPr>
                <w:rFonts w:ascii="Garamond" w:hAnsi="Garamond"/>
                <w:sz w:val="24"/>
                <w:szCs w:val="24"/>
                <w:lang w:val="sq-AL"/>
              </w:rPr>
            </w:pPr>
          </w:p>
        </w:tc>
        <w:tc>
          <w:tcPr>
            <w:tcW w:w="679" w:type="pct"/>
            <w:tcBorders>
              <w:top w:val="nil"/>
              <w:left w:val="nil"/>
              <w:bottom w:val="nil"/>
              <w:right w:val="nil"/>
            </w:tcBorders>
            <w:shd w:val="clear" w:color="auto" w:fill="auto"/>
            <w:noWrap/>
            <w:vAlign w:val="bottom"/>
            <w:hideMark/>
          </w:tcPr>
          <w:p w14:paraId="47259A3C" w14:textId="77777777" w:rsidR="00583ABC" w:rsidRPr="001C458B" w:rsidRDefault="00583ABC" w:rsidP="001626FB">
            <w:pPr>
              <w:spacing w:after="0" w:line="240" w:lineRule="auto"/>
              <w:jc w:val="both"/>
              <w:rPr>
                <w:rFonts w:ascii="Garamond" w:hAnsi="Garamond"/>
                <w:sz w:val="24"/>
                <w:szCs w:val="24"/>
                <w:lang w:val="sq-AL"/>
              </w:rPr>
            </w:pPr>
          </w:p>
        </w:tc>
        <w:tc>
          <w:tcPr>
            <w:tcW w:w="667" w:type="pct"/>
            <w:tcBorders>
              <w:top w:val="nil"/>
              <w:left w:val="nil"/>
              <w:bottom w:val="nil"/>
              <w:right w:val="nil"/>
            </w:tcBorders>
            <w:shd w:val="clear" w:color="auto" w:fill="auto"/>
            <w:noWrap/>
            <w:vAlign w:val="bottom"/>
            <w:hideMark/>
          </w:tcPr>
          <w:p w14:paraId="089AC97D" w14:textId="77777777" w:rsidR="00583ABC" w:rsidRPr="001C458B" w:rsidRDefault="00583ABC" w:rsidP="001626FB">
            <w:pPr>
              <w:spacing w:after="0" w:line="240" w:lineRule="auto"/>
              <w:jc w:val="both"/>
              <w:rPr>
                <w:rFonts w:ascii="Garamond" w:hAnsi="Garamond"/>
                <w:sz w:val="24"/>
                <w:szCs w:val="24"/>
                <w:lang w:val="sq-AL"/>
              </w:rPr>
            </w:pPr>
          </w:p>
        </w:tc>
      </w:tr>
      <w:tr w:rsidR="00583ABC" w:rsidRPr="001C458B" w14:paraId="764AA8DA" w14:textId="77777777" w:rsidTr="00557377">
        <w:trPr>
          <w:trHeight w:val="300"/>
        </w:trPr>
        <w:tc>
          <w:tcPr>
            <w:tcW w:w="3026" w:type="pct"/>
            <w:gridSpan w:val="2"/>
            <w:tcBorders>
              <w:top w:val="nil"/>
              <w:left w:val="nil"/>
              <w:bottom w:val="nil"/>
              <w:right w:val="nil"/>
            </w:tcBorders>
            <w:shd w:val="clear" w:color="auto" w:fill="auto"/>
            <w:noWrap/>
            <w:vAlign w:val="bottom"/>
            <w:hideMark/>
          </w:tcPr>
          <w:p w14:paraId="214A6113" w14:textId="77777777" w:rsidR="00583ABC" w:rsidRPr="001C458B" w:rsidRDefault="00583ABC" w:rsidP="001626FB">
            <w:pPr>
              <w:spacing w:after="0" w:line="240" w:lineRule="auto"/>
              <w:jc w:val="both"/>
              <w:rPr>
                <w:rFonts w:ascii="Garamond" w:hAnsi="Garamond"/>
                <w:sz w:val="24"/>
                <w:szCs w:val="24"/>
                <w:lang w:val="sq-AL"/>
              </w:rPr>
            </w:pPr>
            <w:r w:rsidRPr="001C458B">
              <w:rPr>
                <w:rFonts w:ascii="Garamond" w:hAnsi="Garamond"/>
                <w:sz w:val="24"/>
                <w:szCs w:val="24"/>
                <w:lang w:val="sq-AL"/>
              </w:rPr>
              <w:t>NA - Nuk aplikohet</w:t>
            </w:r>
          </w:p>
        </w:tc>
        <w:tc>
          <w:tcPr>
            <w:tcW w:w="628" w:type="pct"/>
            <w:tcBorders>
              <w:top w:val="nil"/>
              <w:left w:val="nil"/>
              <w:bottom w:val="nil"/>
              <w:right w:val="nil"/>
            </w:tcBorders>
            <w:shd w:val="clear" w:color="auto" w:fill="auto"/>
            <w:noWrap/>
            <w:vAlign w:val="bottom"/>
            <w:hideMark/>
          </w:tcPr>
          <w:p w14:paraId="3D7AE361" w14:textId="77777777" w:rsidR="00583ABC" w:rsidRPr="001C458B" w:rsidRDefault="00583ABC" w:rsidP="001626FB">
            <w:pPr>
              <w:spacing w:after="0" w:line="240" w:lineRule="auto"/>
              <w:jc w:val="both"/>
              <w:rPr>
                <w:rFonts w:ascii="Garamond" w:hAnsi="Garamond"/>
                <w:sz w:val="24"/>
                <w:szCs w:val="24"/>
                <w:lang w:val="sq-AL"/>
              </w:rPr>
            </w:pPr>
          </w:p>
        </w:tc>
        <w:tc>
          <w:tcPr>
            <w:tcW w:w="679" w:type="pct"/>
            <w:tcBorders>
              <w:top w:val="nil"/>
              <w:left w:val="nil"/>
              <w:bottom w:val="nil"/>
              <w:right w:val="nil"/>
            </w:tcBorders>
            <w:shd w:val="clear" w:color="auto" w:fill="auto"/>
            <w:noWrap/>
            <w:vAlign w:val="bottom"/>
            <w:hideMark/>
          </w:tcPr>
          <w:p w14:paraId="2E71D309" w14:textId="77777777" w:rsidR="00583ABC" w:rsidRPr="001C458B" w:rsidRDefault="00583ABC" w:rsidP="001626FB">
            <w:pPr>
              <w:spacing w:after="0" w:line="240" w:lineRule="auto"/>
              <w:jc w:val="both"/>
              <w:rPr>
                <w:rFonts w:ascii="Garamond" w:hAnsi="Garamond"/>
                <w:sz w:val="24"/>
                <w:szCs w:val="24"/>
                <w:lang w:val="sq-AL"/>
              </w:rPr>
            </w:pPr>
          </w:p>
        </w:tc>
        <w:tc>
          <w:tcPr>
            <w:tcW w:w="667" w:type="pct"/>
            <w:tcBorders>
              <w:top w:val="nil"/>
              <w:left w:val="nil"/>
              <w:bottom w:val="nil"/>
              <w:right w:val="nil"/>
            </w:tcBorders>
            <w:shd w:val="clear" w:color="auto" w:fill="auto"/>
            <w:noWrap/>
            <w:vAlign w:val="bottom"/>
            <w:hideMark/>
          </w:tcPr>
          <w:p w14:paraId="5FB9CF18" w14:textId="77777777" w:rsidR="00583ABC" w:rsidRPr="001C458B" w:rsidRDefault="00583ABC" w:rsidP="001626FB">
            <w:pPr>
              <w:spacing w:after="0" w:line="240" w:lineRule="auto"/>
              <w:jc w:val="both"/>
              <w:rPr>
                <w:rFonts w:ascii="Garamond" w:hAnsi="Garamond"/>
                <w:sz w:val="24"/>
                <w:szCs w:val="24"/>
                <w:lang w:val="sq-AL"/>
              </w:rPr>
            </w:pPr>
          </w:p>
        </w:tc>
      </w:tr>
    </w:tbl>
    <w:p w14:paraId="293CAAEF" w14:textId="77777777" w:rsidR="00583ABC" w:rsidRPr="001C458B" w:rsidRDefault="00583ABC" w:rsidP="003D1B12">
      <w:pPr>
        <w:spacing w:after="0" w:line="240" w:lineRule="auto"/>
        <w:ind w:firstLine="284"/>
        <w:jc w:val="both"/>
        <w:rPr>
          <w:rFonts w:ascii="Garamond" w:hAnsi="Garamond"/>
          <w:sz w:val="24"/>
          <w:szCs w:val="24"/>
          <w:lang w:val="sq-AL"/>
        </w:rPr>
      </w:pPr>
    </w:p>
    <w:p w14:paraId="1776507E" w14:textId="77777777" w:rsidR="00583ABC" w:rsidRPr="001C458B" w:rsidRDefault="00583ABC" w:rsidP="003D1B12">
      <w:pPr>
        <w:spacing w:after="0" w:line="240" w:lineRule="auto"/>
        <w:ind w:firstLine="284"/>
        <w:jc w:val="both"/>
        <w:rPr>
          <w:rFonts w:ascii="Garamond" w:hAnsi="Garamond"/>
          <w:sz w:val="24"/>
          <w:szCs w:val="24"/>
          <w:lang w:val="sq-AL"/>
        </w:rPr>
      </w:pPr>
    </w:p>
    <w:p w14:paraId="30FAB80F" w14:textId="77777777" w:rsidR="00583ABC" w:rsidRPr="001C458B" w:rsidRDefault="00583ABC" w:rsidP="003D1B12">
      <w:pPr>
        <w:spacing w:after="0" w:line="240" w:lineRule="auto"/>
        <w:ind w:firstLine="284"/>
        <w:jc w:val="both"/>
        <w:rPr>
          <w:rFonts w:ascii="Garamond" w:hAnsi="Garamond"/>
          <w:sz w:val="24"/>
          <w:szCs w:val="24"/>
          <w:lang w:val="sq-AL"/>
        </w:rPr>
        <w:sectPr w:rsidR="00583ABC" w:rsidRPr="001C458B" w:rsidSect="00557377">
          <w:footerReference w:type="default" r:id="rId14"/>
          <w:pgSz w:w="12240" w:h="15840"/>
          <w:pgMar w:top="1440" w:right="1440" w:bottom="1440" w:left="1440" w:header="720" w:footer="720" w:gutter="0"/>
          <w:cols w:space="720"/>
          <w:docGrid w:linePitch="360"/>
        </w:sectPr>
      </w:pPr>
    </w:p>
    <w:p w14:paraId="1D73D97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noProof/>
          <w:sz w:val="24"/>
          <w:szCs w:val="24"/>
        </w:rPr>
        <w:drawing>
          <wp:inline distT="0" distB="0" distL="0" distR="0" wp14:anchorId="7F104D0E" wp14:editId="2F690C86">
            <wp:extent cx="8229511" cy="6079671"/>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35269" cy="6083925"/>
                    </a:xfrm>
                    <a:prstGeom prst="rect">
                      <a:avLst/>
                    </a:prstGeom>
                    <a:noFill/>
                    <a:ln>
                      <a:noFill/>
                    </a:ln>
                  </pic:spPr>
                </pic:pic>
              </a:graphicData>
            </a:graphic>
          </wp:inline>
        </w:drawing>
      </w:r>
    </w:p>
    <w:p w14:paraId="006A5EAF"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noProof/>
          <w:sz w:val="24"/>
          <w:szCs w:val="24"/>
        </w:rPr>
        <w:drawing>
          <wp:inline distT="0" distB="0" distL="0" distR="0" wp14:anchorId="6C123397" wp14:editId="11520991">
            <wp:extent cx="8228495" cy="5987143"/>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32974" cy="5990402"/>
                    </a:xfrm>
                    <a:prstGeom prst="rect">
                      <a:avLst/>
                    </a:prstGeom>
                    <a:noFill/>
                    <a:ln>
                      <a:noFill/>
                    </a:ln>
                  </pic:spPr>
                </pic:pic>
              </a:graphicData>
            </a:graphic>
          </wp:inline>
        </w:drawing>
      </w:r>
    </w:p>
    <w:p w14:paraId="0BBF18BF" w14:textId="77777777" w:rsidR="00583ABC" w:rsidRPr="001C458B" w:rsidRDefault="00583ABC" w:rsidP="003D1B12">
      <w:pPr>
        <w:spacing w:after="0" w:line="240" w:lineRule="auto"/>
        <w:ind w:firstLine="284"/>
        <w:jc w:val="both"/>
        <w:rPr>
          <w:rFonts w:ascii="Garamond" w:hAnsi="Garamond"/>
          <w:sz w:val="24"/>
          <w:szCs w:val="24"/>
          <w:lang w:val="sq-AL"/>
        </w:rPr>
        <w:sectPr w:rsidR="00583ABC" w:rsidRPr="001C458B" w:rsidSect="00557377">
          <w:pgSz w:w="15840" w:h="12240" w:orient="landscape"/>
          <w:pgMar w:top="1440" w:right="1440" w:bottom="1440" w:left="1440" w:header="720" w:footer="720" w:gutter="0"/>
          <w:cols w:space="720"/>
          <w:docGrid w:linePitch="360"/>
        </w:sectPr>
      </w:pPr>
      <w:r w:rsidRPr="001C458B">
        <w:rPr>
          <w:rFonts w:ascii="Garamond" w:hAnsi="Garamond"/>
          <w:noProof/>
          <w:sz w:val="24"/>
          <w:szCs w:val="24"/>
        </w:rPr>
        <w:drawing>
          <wp:inline distT="0" distB="0" distL="0" distR="0" wp14:anchorId="1345ADC2" wp14:editId="7327BA26">
            <wp:extent cx="8228965" cy="5894614"/>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33636" cy="5897960"/>
                    </a:xfrm>
                    <a:prstGeom prst="rect">
                      <a:avLst/>
                    </a:prstGeom>
                    <a:noFill/>
                    <a:ln>
                      <a:noFill/>
                    </a:ln>
                  </pic:spPr>
                </pic:pic>
              </a:graphicData>
            </a:graphic>
          </wp:inline>
        </w:drawing>
      </w:r>
    </w:p>
    <w:p w14:paraId="3D252191"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ANEKS 5: Shembull</w:t>
      </w:r>
    </w:p>
    <w:p w14:paraId="54859646" w14:textId="77777777" w:rsidR="00583ABC" w:rsidRPr="001C458B" w:rsidRDefault="00583ABC" w:rsidP="003D1B12">
      <w:pPr>
        <w:spacing w:after="0" w:line="240" w:lineRule="auto"/>
        <w:ind w:firstLine="284"/>
        <w:jc w:val="both"/>
        <w:rPr>
          <w:rFonts w:ascii="Garamond" w:hAnsi="Garamond"/>
          <w:sz w:val="24"/>
          <w:szCs w:val="24"/>
          <w:lang w:val="sq-AL"/>
        </w:rPr>
      </w:pPr>
    </w:p>
    <w:p w14:paraId="23E2CE7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Midis dy bankave A dhe B, Banka A është një bankë e përcaktuar me rëndësi sistemike, të cilës, për këtë arsye, i takon të ketë një shtesë makroprudenciale të kapitalit (SIST) në masën 2%. Kjo shtesë ruhet përgjatë kohës. Të dy bankat gjenerojnë rezultat financiar pozitiv.</w:t>
      </w:r>
    </w:p>
    <w:p w14:paraId="4F16F582"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Gjithashtu, të dy bankat, i kanë ekspozimet e përshtatshme të kreditit ndaj sektorit privat, vetëm në Shqipëri. Në këtë rast, KUNC-i i shpallur nga Banka e Shqipërisë, është i njëjtë me AKUNC-in.</w:t>
      </w:r>
    </w:p>
    <w:p w14:paraId="3ED54D0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Supozojmë se Banka e Shqipërisë shpall SHMAK-un, duke rezultuar në vlerat si më poshtë:</w:t>
      </w:r>
    </w:p>
    <w:p w14:paraId="17F7CB8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1</w:t>
      </w:r>
    </w:p>
    <w:tbl>
      <w:tblPr>
        <w:tblStyle w:val="TableGrid1"/>
        <w:tblW w:w="0" w:type="auto"/>
        <w:tblLook w:val="04A0" w:firstRow="1" w:lastRow="0" w:firstColumn="1" w:lastColumn="0" w:noHBand="0" w:noVBand="1"/>
      </w:tblPr>
      <w:tblGrid>
        <w:gridCol w:w="2660"/>
        <w:gridCol w:w="1242"/>
        <w:gridCol w:w="1193"/>
        <w:gridCol w:w="1242"/>
        <w:gridCol w:w="1159"/>
        <w:gridCol w:w="1027"/>
      </w:tblGrid>
      <w:tr w:rsidR="00583ABC" w:rsidRPr="001C458B" w14:paraId="6D4717DF" w14:textId="77777777" w:rsidTr="00557377">
        <w:tc>
          <w:tcPr>
            <w:tcW w:w="2863" w:type="dxa"/>
          </w:tcPr>
          <w:p w14:paraId="1846A07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Shtesa makroprudenciale e kapitalit, e shpallur nga BSH-ja</w:t>
            </w:r>
          </w:p>
        </w:tc>
        <w:tc>
          <w:tcPr>
            <w:tcW w:w="1385" w:type="dxa"/>
          </w:tcPr>
          <w:p w14:paraId="6886496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2020</w:t>
            </w:r>
          </w:p>
        </w:tc>
        <w:tc>
          <w:tcPr>
            <w:tcW w:w="1323" w:type="dxa"/>
          </w:tcPr>
          <w:p w14:paraId="02BA9DE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2021</w:t>
            </w:r>
          </w:p>
        </w:tc>
        <w:tc>
          <w:tcPr>
            <w:tcW w:w="1385" w:type="dxa"/>
          </w:tcPr>
          <w:p w14:paraId="4C497F1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2022</w:t>
            </w:r>
          </w:p>
        </w:tc>
        <w:tc>
          <w:tcPr>
            <w:tcW w:w="1280" w:type="dxa"/>
          </w:tcPr>
          <w:p w14:paraId="3A9C6D3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2023</w:t>
            </w:r>
          </w:p>
        </w:tc>
        <w:tc>
          <w:tcPr>
            <w:tcW w:w="1114" w:type="dxa"/>
          </w:tcPr>
          <w:p w14:paraId="1E16D71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2024</w:t>
            </w:r>
          </w:p>
        </w:tc>
      </w:tr>
      <w:tr w:rsidR="00583ABC" w:rsidRPr="001C458B" w14:paraId="07F1DB44" w14:textId="77777777" w:rsidTr="00557377">
        <w:tc>
          <w:tcPr>
            <w:tcW w:w="2863" w:type="dxa"/>
          </w:tcPr>
          <w:p w14:paraId="5B6BC9E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KONS =</w:t>
            </w:r>
          </w:p>
        </w:tc>
        <w:tc>
          <w:tcPr>
            <w:tcW w:w="1385" w:type="dxa"/>
          </w:tcPr>
          <w:p w14:paraId="512CD75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323" w:type="dxa"/>
          </w:tcPr>
          <w:p w14:paraId="404D0DB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385" w:type="dxa"/>
          </w:tcPr>
          <w:p w14:paraId="67136C9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280" w:type="dxa"/>
          </w:tcPr>
          <w:p w14:paraId="6F3A7BA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w:t>
            </w:r>
          </w:p>
        </w:tc>
        <w:tc>
          <w:tcPr>
            <w:tcW w:w="1114" w:type="dxa"/>
          </w:tcPr>
          <w:p w14:paraId="31A7A85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2.5%</w:t>
            </w:r>
          </w:p>
        </w:tc>
      </w:tr>
      <w:tr w:rsidR="00583ABC" w:rsidRPr="001C458B" w14:paraId="4E36C45E" w14:textId="77777777" w:rsidTr="00557377">
        <w:tc>
          <w:tcPr>
            <w:tcW w:w="2863" w:type="dxa"/>
          </w:tcPr>
          <w:p w14:paraId="6475620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SPEKUNC =</w:t>
            </w:r>
          </w:p>
        </w:tc>
        <w:tc>
          <w:tcPr>
            <w:tcW w:w="1385" w:type="dxa"/>
          </w:tcPr>
          <w:p w14:paraId="063E3B0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w:t>
            </w:r>
          </w:p>
        </w:tc>
        <w:tc>
          <w:tcPr>
            <w:tcW w:w="1323" w:type="dxa"/>
          </w:tcPr>
          <w:p w14:paraId="1C6A390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385" w:type="dxa"/>
          </w:tcPr>
          <w:p w14:paraId="321AAD1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280" w:type="dxa"/>
          </w:tcPr>
          <w:p w14:paraId="446E31C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114" w:type="dxa"/>
          </w:tcPr>
          <w:p w14:paraId="5277850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r>
      <w:tr w:rsidR="00583ABC" w:rsidRPr="001C458B" w14:paraId="1E91197C" w14:textId="77777777" w:rsidTr="00557377">
        <w:tc>
          <w:tcPr>
            <w:tcW w:w="2863" w:type="dxa"/>
          </w:tcPr>
          <w:p w14:paraId="261822C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SIST ≥</w:t>
            </w:r>
          </w:p>
        </w:tc>
        <w:tc>
          <w:tcPr>
            <w:tcW w:w="1385" w:type="dxa"/>
          </w:tcPr>
          <w:p w14:paraId="06FB74A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323" w:type="dxa"/>
          </w:tcPr>
          <w:p w14:paraId="77B6F94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 xml:space="preserve"> 1.0%</w:t>
            </w:r>
          </w:p>
        </w:tc>
        <w:tc>
          <w:tcPr>
            <w:tcW w:w="1385" w:type="dxa"/>
          </w:tcPr>
          <w:p w14:paraId="4185944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280" w:type="dxa"/>
          </w:tcPr>
          <w:p w14:paraId="3C97055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w:t>
            </w:r>
          </w:p>
        </w:tc>
        <w:tc>
          <w:tcPr>
            <w:tcW w:w="1114" w:type="dxa"/>
          </w:tcPr>
          <w:p w14:paraId="08B4E3B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w:t>
            </w:r>
          </w:p>
        </w:tc>
      </w:tr>
      <w:tr w:rsidR="00583ABC" w:rsidRPr="001C458B" w14:paraId="768CDA8C" w14:textId="77777777" w:rsidTr="00557377">
        <w:tc>
          <w:tcPr>
            <w:tcW w:w="2863" w:type="dxa"/>
          </w:tcPr>
          <w:p w14:paraId="3F8B656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 xml:space="preserve">ASTRUK = </w:t>
            </w:r>
          </w:p>
        </w:tc>
        <w:tc>
          <w:tcPr>
            <w:tcW w:w="1385" w:type="dxa"/>
          </w:tcPr>
          <w:p w14:paraId="61BD81C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w:t>
            </w:r>
          </w:p>
        </w:tc>
        <w:tc>
          <w:tcPr>
            <w:tcW w:w="1323" w:type="dxa"/>
          </w:tcPr>
          <w:p w14:paraId="3E28579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w:t>
            </w:r>
          </w:p>
        </w:tc>
        <w:tc>
          <w:tcPr>
            <w:tcW w:w="1385" w:type="dxa"/>
          </w:tcPr>
          <w:p w14:paraId="2CB5A48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280" w:type="dxa"/>
          </w:tcPr>
          <w:p w14:paraId="4F74E8D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114" w:type="dxa"/>
          </w:tcPr>
          <w:p w14:paraId="5315633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r>
    </w:tbl>
    <w:p w14:paraId="14A92054" w14:textId="77777777" w:rsidR="00583ABC" w:rsidRPr="001C458B" w:rsidRDefault="00583ABC" w:rsidP="003D1B12">
      <w:pPr>
        <w:spacing w:after="0" w:line="240" w:lineRule="auto"/>
        <w:ind w:firstLine="284"/>
        <w:jc w:val="both"/>
        <w:rPr>
          <w:rFonts w:ascii="Garamond" w:hAnsi="Garamond"/>
          <w:sz w:val="24"/>
          <w:szCs w:val="24"/>
          <w:lang w:val="sq-AL"/>
        </w:rPr>
      </w:pPr>
    </w:p>
    <w:p w14:paraId="3749E68C"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Atëherë, SHKOMAK-u për bankën A (sistemike) dhe për bankën B do të jetë përkatësisht:</w:t>
      </w:r>
    </w:p>
    <w:p w14:paraId="291E4CE5"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2</w:t>
      </w:r>
    </w:p>
    <w:tbl>
      <w:tblPr>
        <w:tblStyle w:val="TableGrid1"/>
        <w:tblW w:w="0" w:type="auto"/>
        <w:tblLook w:val="04A0" w:firstRow="1" w:lastRow="0" w:firstColumn="1" w:lastColumn="0" w:noHBand="0" w:noVBand="1"/>
      </w:tblPr>
      <w:tblGrid>
        <w:gridCol w:w="3839"/>
        <w:gridCol w:w="947"/>
        <w:gridCol w:w="922"/>
        <w:gridCol w:w="978"/>
        <w:gridCol w:w="1008"/>
        <w:gridCol w:w="829"/>
      </w:tblGrid>
      <w:tr w:rsidR="00583ABC" w:rsidRPr="001C458B" w14:paraId="4B91F29E" w14:textId="77777777" w:rsidTr="00557377">
        <w:tc>
          <w:tcPr>
            <w:tcW w:w="3823" w:type="dxa"/>
          </w:tcPr>
          <w:p w14:paraId="0A78C45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SHKOMAK</w:t>
            </w:r>
          </w:p>
        </w:tc>
        <w:tc>
          <w:tcPr>
            <w:tcW w:w="1140" w:type="dxa"/>
          </w:tcPr>
          <w:p w14:paraId="5610D43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2020</w:t>
            </w:r>
          </w:p>
        </w:tc>
        <w:tc>
          <w:tcPr>
            <w:tcW w:w="1097" w:type="dxa"/>
          </w:tcPr>
          <w:p w14:paraId="5EAAD61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2021</w:t>
            </w:r>
          </w:p>
        </w:tc>
        <w:tc>
          <w:tcPr>
            <w:tcW w:w="1194" w:type="dxa"/>
          </w:tcPr>
          <w:p w14:paraId="5AE4177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2022</w:t>
            </w:r>
          </w:p>
        </w:tc>
        <w:tc>
          <w:tcPr>
            <w:tcW w:w="1162" w:type="dxa"/>
          </w:tcPr>
          <w:p w14:paraId="7B64BAF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2023</w:t>
            </w:r>
          </w:p>
        </w:tc>
        <w:tc>
          <w:tcPr>
            <w:tcW w:w="934" w:type="dxa"/>
          </w:tcPr>
          <w:p w14:paraId="6264AEC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 janar 2024</w:t>
            </w:r>
          </w:p>
        </w:tc>
      </w:tr>
      <w:tr w:rsidR="00583ABC" w:rsidRPr="001C458B" w14:paraId="373E3E68" w14:textId="77777777" w:rsidTr="00557377">
        <w:tc>
          <w:tcPr>
            <w:tcW w:w="3823" w:type="dxa"/>
          </w:tcPr>
          <w:p w14:paraId="3915679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Banka A (sistemike):</w:t>
            </w:r>
          </w:p>
          <w:p w14:paraId="0533338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KONS+SPEKUNC+SIST+ASTRUK</w:t>
            </w:r>
          </w:p>
        </w:tc>
        <w:tc>
          <w:tcPr>
            <w:tcW w:w="1140" w:type="dxa"/>
          </w:tcPr>
          <w:p w14:paraId="184C22E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w:t>
            </w:r>
          </w:p>
        </w:tc>
        <w:tc>
          <w:tcPr>
            <w:tcW w:w="1097" w:type="dxa"/>
          </w:tcPr>
          <w:p w14:paraId="3BE2AFA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3.0%</w:t>
            </w:r>
          </w:p>
        </w:tc>
        <w:tc>
          <w:tcPr>
            <w:tcW w:w="1194" w:type="dxa"/>
          </w:tcPr>
          <w:p w14:paraId="0278C5E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w:t>
            </w:r>
          </w:p>
        </w:tc>
        <w:tc>
          <w:tcPr>
            <w:tcW w:w="1162" w:type="dxa"/>
          </w:tcPr>
          <w:p w14:paraId="6E4CDF8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6.5%</w:t>
            </w:r>
            <w:r w:rsidRPr="001C458B">
              <w:rPr>
                <w:rFonts w:ascii="Garamond" w:hAnsi="Garamond"/>
                <w:sz w:val="24"/>
                <w:szCs w:val="24"/>
                <w:lang w:val="sq-AL"/>
              </w:rPr>
              <w:footnoteReference w:id="2"/>
            </w:r>
          </w:p>
        </w:tc>
        <w:tc>
          <w:tcPr>
            <w:tcW w:w="934" w:type="dxa"/>
          </w:tcPr>
          <w:p w14:paraId="1628D34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7.0%</w:t>
            </w:r>
          </w:p>
        </w:tc>
      </w:tr>
      <w:tr w:rsidR="00583ABC" w:rsidRPr="001C458B" w14:paraId="323228A2" w14:textId="77777777" w:rsidTr="00557377">
        <w:tc>
          <w:tcPr>
            <w:tcW w:w="3823" w:type="dxa"/>
          </w:tcPr>
          <w:p w14:paraId="69ED000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Banka B</w:t>
            </w:r>
          </w:p>
          <w:p w14:paraId="4427347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KONS+SPEKUNC+ASTRUK</w:t>
            </w:r>
          </w:p>
        </w:tc>
        <w:tc>
          <w:tcPr>
            <w:tcW w:w="1140" w:type="dxa"/>
          </w:tcPr>
          <w:p w14:paraId="2F14488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097" w:type="dxa"/>
          </w:tcPr>
          <w:p w14:paraId="382ECBE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w:t>
            </w:r>
          </w:p>
        </w:tc>
        <w:tc>
          <w:tcPr>
            <w:tcW w:w="1194" w:type="dxa"/>
          </w:tcPr>
          <w:p w14:paraId="7650BEC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3.5%</w:t>
            </w:r>
          </w:p>
        </w:tc>
        <w:tc>
          <w:tcPr>
            <w:tcW w:w="1162" w:type="dxa"/>
          </w:tcPr>
          <w:p w14:paraId="12B4713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4.5%</w:t>
            </w:r>
          </w:p>
        </w:tc>
        <w:tc>
          <w:tcPr>
            <w:tcW w:w="934" w:type="dxa"/>
          </w:tcPr>
          <w:p w14:paraId="2F678A5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w:t>
            </w:r>
          </w:p>
        </w:tc>
      </w:tr>
    </w:tbl>
    <w:p w14:paraId="494D9536" w14:textId="77777777" w:rsidR="00583ABC" w:rsidRPr="001C458B" w:rsidRDefault="00583ABC" w:rsidP="003D1B12">
      <w:pPr>
        <w:spacing w:after="0" w:line="240" w:lineRule="auto"/>
        <w:ind w:firstLine="284"/>
        <w:jc w:val="both"/>
        <w:rPr>
          <w:rFonts w:ascii="Garamond" w:hAnsi="Garamond"/>
          <w:sz w:val="24"/>
          <w:szCs w:val="24"/>
          <w:lang w:val="sq-AL"/>
        </w:rPr>
      </w:pPr>
    </w:p>
    <w:p w14:paraId="40620199" w14:textId="1FB49803"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Vërehet që gjatë gjithë periudhës, për bankën A (sistemike), plotësohet kushti që: “SIST + AST</w:t>
      </w:r>
      <w:r w:rsidR="002F412C">
        <w:rPr>
          <w:rFonts w:ascii="Garamond" w:hAnsi="Garamond"/>
          <w:sz w:val="24"/>
          <w:szCs w:val="24"/>
          <w:lang w:val="sq-AL"/>
        </w:rPr>
        <w:t>RUK ≤ 4%” (neni 15, paragrafi 3/a</w:t>
      </w:r>
      <w:r w:rsidRPr="001C458B">
        <w:rPr>
          <w:rFonts w:ascii="Garamond" w:hAnsi="Garamond"/>
          <w:sz w:val="24"/>
          <w:szCs w:val="24"/>
          <w:lang w:val="sq-AL"/>
        </w:rPr>
        <w:t xml:space="preserve"> i projektit). Nëse kjo shumë do të ishte më e lartë, teprica do të pakësohej nga niveli i zbatueshëm i STRUK-ut (pra ASTRUK-u do të ishte më i vogël se STRUK-u i shpallur nga BSH-ja).</w:t>
      </w:r>
    </w:p>
    <w:p w14:paraId="0AE42147"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Supozojmë se më 1 janar 2021: </w:t>
      </w:r>
    </w:p>
    <w:p w14:paraId="6CDD5A56"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Banka e Shqipërisë zbaton strukturën e mëposhtme të kapitalit për bankat:</w:t>
      </w:r>
    </w:p>
    <w:p w14:paraId="02DF8244" w14:textId="69CDC735" w:rsidR="00583ABC" w:rsidRPr="001C458B" w:rsidRDefault="00863B96"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83ABC" w:rsidRPr="001C458B">
        <w:rPr>
          <w:rFonts w:ascii="Garamond" w:hAnsi="Garamond"/>
          <w:sz w:val="24"/>
          <w:szCs w:val="24"/>
          <w:lang w:val="sq-AL"/>
        </w:rPr>
        <w:t>CET1r ≥6.75%,</w:t>
      </w:r>
    </w:p>
    <w:p w14:paraId="53952944" w14:textId="2ED1FF53" w:rsidR="00583ABC" w:rsidRPr="001C458B" w:rsidRDefault="00863B96"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83ABC" w:rsidRPr="001C458B">
        <w:rPr>
          <w:rFonts w:ascii="Garamond" w:hAnsi="Garamond"/>
          <w:sz w:val="24"/>
          <w:szCs w:val="24"/>
          <w:lang w:val="sq-AL"/>
        </w:rPr>
        <w:t>T1 ≥ 9%,</w:t>
      </w:r>
    </w:p>
    <w:p w14:paraId="1C5D093F" w14:textId="422B94A2" w:rsidR="00583ABC" w:rsidRPr="001C458B" w:rsidRDefault="00863B96" w:rsidP="003D1B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83ABC" w:rsidRPr="001C458B">
        <w:rPr>
          <w:rFonts w:ascii="Garamond" w:hAnsi="Garamond"/>
          <w:sz w:val="24"/>
          <w:szCs w:val="24"/>
          <w:lang w:val="sq-AL"/>
        </w:rPr>
        <w:t>RMK ≥ 12%;</w:t>
      </w:r>
    </w:p>
    <w:p w14:paraId="6B2598CD" w14:textId="13605DC7"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Banka A, përveç KMK, duhet të ketë edhe një shtesë kapitali të detyrueshme prej 1%, për shkak të profilit të saj të rrezikut (Shtylla II e Bazelit); Banka B, nuk e ka një të tillë;</w:t>
      </w:r>
    </w:p>
    <w:p w14:paraId="41798A25" w14:textId="7AB57D94"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Banka A e raporton aktualisht treguesin e mjaftueshmërisë së kapitalit në vlerën 14.0%, ndërsa Banka B këtë tregues e ka në vlerën 16.25%;</w:t>
      </w:r>
    </w:p>
    <w:p w14:paraId="42BAE1DB" w14:textId="1F9F9D90"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 </w:t>
      </w:r>
      <w:r w:rsidR="00583ABC" w:rsidRPr="001C458B">
        <w:rPr>
          <w:rFonts w:ascii="Garamond" w:hAnsi="Garamond"/>
          <w:sz w:val="24"/>
          <w:szCs w:val="24"/>
          <w:lang w:val="sq-AL"/>
        </w:rPr>
        <w:t>Banka A nuk përdor instrumente të kapitalit shtesë të nivelit të parë dhe të kapitalit të nivelit të dytë, ndaj kërkesat e saj për kapital plotësohen të gjitha me KBN1r. Ndërsa, në Bankën B, KBN1r është në nivelin 11%, dhe banka i përdor të gjitha instrumentet e mundshme të kapitalit shtesë të nivelit të parë dhe të kapitalit të nivelit të dytë.</w:t>
      </w:r>
    </w:p>
    <w:p w14:paraId="16777956"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Supozojmë se secila nga bankat i kërkon Bankës së Shqipërisë të kryejë një pagesë shpërndarjeje (dividend), në kushtet kur gjenerojnë të ardhura pozitive.</w:t>
      </w:r>
    </w:p>
    <w:p w14:paraId="00768581" w14:textId="5550AFBC"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1. </w:t>
      </w:r>
      <w:r w:rsidR="00583ABC" w:rsidRPr="001C458B">
        <w:rPr>
          <w:rFonts w:ascii="Garamond" w:hAnsi="Garamond"/>
          <w:sz w:val="24"/>
          <w:szCs w:val="24"/>
          <w:lang w:val="sq-AL"/>
        </w:rPr>
        <w:t>Në ç’masë i përmbushin bankat A dhe B, kërkesat për SHKOMAK në datën 1 janar 2021?</w:t>
      </w:r>
    </w:p>
    <w:p w14:paraId="5DEC4E4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b/>
          <w:sz w:val="24"/>
          <w:szCs w:val="24"/>
          <w:lang w:val="sq-AL"/>
        </w:rPr>
        <w:t>Banka A</w:t>
      </w:r>
      <w:r w:rsidRPr="001C458B">
        <w:rPr>
          <w:rFonts w:ascii="Garamond" w:hAnsi="Garamond"/>
          <w:sz w:val="24"/>
          <w:szCs w:val="24"/>
          <w:lang w:val="sq-AL"/>
        </w:rPr>
        <w:t>. Duke qenë se nuk ka instrumente të tjera të kapitalit, përveç atyre të kapitalit bazë të nivelit të parë, atëherë KBN1r duhet përdorur për të përmbushur fillimisht KMK dhe kërkesat e tjera të detyrueshme të kapitalit (12%+1%) = 13%.</w:t>
      </w:r>
    </w:p>
    <w:p w14:paraId="4D82C36B"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Pjesa e KBN1r që mbetet për të plotësuar SHKOMAK-un e bankës (prej 3.0%) është KNDr = 1% [KBN1r e raportuar (14%) – vlerën e KBN1r që duhet për të plotësuar KMK dhe kërkesat e tjera të detyrueshme të kapitalit (13%)].</w:t>
      </w:r>
    </w:p>
    <w:p w14:paraId="2C8FC0D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Si rezultat, Banka A përmbush pjesërisht shtesën makroprudenciale të kapitalit, në nivelin KNDr/SHKOMAK = [1% / 3.0%] = 33.3%.</w:t>
      </w:r>
    </w:p>
    <w:p w14:paraId="21E56081"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b/>
          <w:sz w:val="24"/>
          <w:szCs w:val="24"/>
          <w:lang w:val="sq-AL"/>
        </w:rPr>
        <w:t>Banka B</w:t>
      </w:r>
      <w:r w:rsidRPr="001C458B">
        <w:rPr>
          <w:rFonts w:ascii="Garamond" w:hAnsi="Garamond"/>
          <w:sz w:val="24"/>
          <w:szCs w:val="24"/>
          <w:lang w:val="sq-AL"/>
        </w:rPr>
        <w:t>. Pjesa e KBN1r, që mbetet për të plotësuar kërkesën për SHKOMAK për bankën (prej 2.0%) është KNDr = 4.25% = [KBN1r e raportuar (11%) – vlerën e KBN1r që duhet për të plotësuar KMK dhe kërkesat e tjera të detyrueshme të kapitalit (6.75%)].</w:t>
      </w:r>
    </w:p>
    <w:p w14:paraId="77B40662"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Si rezultat, Banka B e përmbush plotësisht shtesën makroprudenciale të kapitalit, në masën KNDr/SHMAK = [4.25% / 2.0%] = 212.5%.</w:t>
      </w:r>
    </w:p>
    <w:p w14:paraId="5065CF6B" w14:textId="14A8FEFC"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2. </w:t>
      </w:r>
      <w:r w:rsidR="00583ABC" w:rsidRPr="001C458B">
        <w:rPr>
          <w:rFonts w:ascii="Garamond" w:hAnsi="Garamond"/>
          <w:sz w:val="24"/>
          <w:szCs w:val="24"/>
          <w:lang w:val="sq-AL"/>
        </w:rPr>
        <w:t>A mund ta kryejnë secila nga bankat pagesën e shpërndarjes, dhe deri në ç’masë?</w:t>
      </w:r>
    </w:p>
    <w:p w14:paraId="6CD3126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Duke qenë se Banka A nuk e përmbush SHKOMAK-un, por gjeneron rezultat financiar pozitiv, atëherë pagesa mund të kryhet, por banka do të jetë subjekt i kufizimeve në pagesën e shpërndarjes, për shkak se plotëson pjesërisht kërkesën për SHKOMAK.</w:t>
      </w:r>
    </w:p>
    <w:p w14:paraId="78763E7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Duke iu referuar nenit 8, tabela 1, të rregullores, vërehet që niveli i KNDr për Bankën A, pozicionohet në kuartilin e dytë të SHKOMAK, dhe përqindja e pagesës së shpërndarjes është 20%. Si rezultat Banka A mund të shpërndajë si dividend vetëm deri në 20% të të ardhurave të gjeneruara. </w:t>
      </w:r>
    </w:p>
    <w:p w14:paraId="6B47C3BB"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Njëkohësisht, Bankës A do t’i kërkohet të paraqesë në Bankën e Shqipërisë një plan për fuqizimin e pozicionit të saj të kapitalit.</w:t>
      </w:r>
    </w:p>
    <w:p w14:paraId="3B2CCF0D"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Ndërsa Banka B, duke qenë se e përmbush kërkesën për SHKOMAK-un, nuk ka kufizim në madhësinë e vlerës së pagesës së shpërndarjes. </w:t>
      </w:r>
    </w:p>
    <w:p w14:paraId="410FF1C6" w14:textId="24238E79" w:rsidR="00583ABC" w:rsidRPr="001C458B" w:rsidRDefault="001626FB"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3. </w:t>
      </w:r>
      <w:r w:rsidR="00583ABC" w:rsidRPr="001C458B">
        <w:rPr>
          <w:rFonts w:ascii="Garamond" w:hAnsi="Garamond"/>
          <w:sz w:val="24"/>
          <w:szCs w:val="24"/>
          <w:lang w:val="sq-AL"/>
        </w:rPr>
        <w:t>Llogaritja e SPEKUNC-it, dhe më tej e (raportit të) përmbushjes së SHKOMAK-ut</w:t>
      </w:r>
    </w:p>
    <w:p w14:paraId="1BBB20C8"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xml:space="preserve">Më tej, supozojmë se Banka B, vendos të zgjerojë me ritme të shpejta ekspozimet e saj jashtë Shqipërisë, konkretisht në juridiksionet X, Y dhe Z. Në këto kushte, Banka B do të duhet të llogarisë SPEKUNC-in, duke përdorur normat e KUNC-it të shpallura në këto juridiksione. Supozojmë se për muajin janar 2021, ato janë respektivisht nga 0.5%. Në këtë rast, llogaritjet e Bankës B kalojnë në hapat në vijim. </w:t>
      </w:r>
    </w:p>
    <w:p w14:paraId="74E5690D"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3: Shpërndarja e ekspozimeve sipas juridiksioneve dhe llojit</w:t>
      </w:r>
    </w:p>
    <w:tbl>
      <w:tblPr>
        <w:tblStyle w:val="TableGrid1"/>
        <w:tblW w:w="9103" w:type="dxa"/>
        <w:tblLook w:val="04A0" w:firstRow="1" w:lastRow="0" w:firstColumn="1" w:lastColumn="0" w:noHBand="0" w:noVBand="1"/>
      </w:tblPr>
      <w:tblGrid>
        <w:gridCol w:w="1230"/>
        <w:gridCol w:w="1755"/>
        <w:gridCol w:w="1616"/>
        <w:gridCol w:w="1432"/>
        <w:gridCol w:w="1430"/>
        <w:gridCol w:w="1640"/>
      </w:tblGrid>
      <w:tr w:rsidR="00583ABC" w:rsidRPr="001C458B" w14:paraId="63E0A683" w14:textId="77777777" w:rsidTr="00583ABC">
        <w:tc>
          <w:tcPr>
            <w:tcW w:w="1230" w:type="dxa"/>
          </w:tcPr>
          <w:p w14:paraId="1FFC141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Ekspozimi</w:t>
            </w:r>
          </w:p>
        </w:tc>
        <w:tc>
          <w:tcPr>
            <w:tcW w:w="1755" w:type="dxa"/>
          </w:tcPr>
          <w:p w14:paraId="249C175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Lloji</w:t>
            </w:r>
          </w:p>
        </w:tc>
        <w:tc>
          <w:tcPr>
            <w:tcW w:w="1616" w:type="dxa"/>
          </w:tcPr>
          <w:p w14:paraId="13393689" w14:textId="58709869"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Ekspozime</w:t>
            </w:r>
            <w:r w:rsidR="002F412C">
              <w:rPr>
                <w:rFonts w:ascii="Garamond" w:hAnsi="Garamond"/>
                <w:sz w:val="24"/>
                <w:szCs w:val="24"/>
                <w:lang w:val="sq-AL"/>
              </w:rPr>
              <w:t xml:space="preserve"> të ponderuara me rrezikun EPR: Lek mln</w:t>
            </w:r>
          </w:p>
        </w:tc>
        <w:tc>
          <w:tcPr>
            <w:tcW w:w="1432" w:type="dxa"/>
          </w:tcPr>
          <w:p w14:paraId="14EDE0E4" w14:textId="2506C87E"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Ekspoz</w:t>
            </w:r>
            <w:r w:rsidR="002F412C">
              <w:rPr>
                <w:rFonts w:ascii="Garamond" w:hAnsi="Garamond"/>
                <w:sz w:val="24"/>
                <w:szCs w:val="24"/>
                <w:lang w:val="sq-AL"/>
              </w:rPr>
              <w:t>imet e përshtatura të kreditit EPSHK</w:t>
            </w:r>
          </w:p>
        </w:tc>
        <w:tc>
          <w:tcPr>
            <w:tcW w:w="1430" w:type="dxa"/>
          </w:tcPr>
          <w:p w14:paraId="04D94A5F" w14:textId="7CDE5E2D"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KPK (sipas Ne</w:t>
            </w:r>
            <w:r w:rsidR="002F412C">
              <w:rPr>
                <w:rFonts w:ascii="Garamond" w:hAnsi="Garamond"/>
                <w:sz w:val="24"/>
                <w:szCs w:val="24"/>
                <w:lang w:val="sq-AL"/>
              </w:rPr>
              <w:t>nit 4, parag 1, nënparag. 30</w:t>
            </w:r>
            <w:r w:rsidRPr="001C458B">
              <w:rPr>
                <w:rFonts w:ascii="Garamond" w:hAnsi="Garamond"/>
                <w:sz w:val="24"/>
                <w:szCs w:val="24"/>
                <w:lang w:val="sq-AL"/>
              </w:rPr>
              <w:t xml:space="preserve"> të rreg. – e supozuar</w:t>
            </w:r>
          </w:p>
        </w:tc>
        <w:tc>
          <w:tcPr>
            <w:tcW w:w="1640" w:type="dxa"/>
            <w:shd w:val="clear" w:color="auto" w:fill="E7E6E6"/>
          </w:tcPr>
          <w:p w14:paraId="1F06D33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Në % ndaj totalit të KPK</w:t>
            </w:r>
          </w:p>
        </w:tc>
      </w:tr>
      <w:tr w:rsidR="00583ABC" w:rsidRPr="001C458B" w14:paraId="5C45A94D" w14:textId="77777777" w:rsidTr="00583ABC">
        <w:tc>
          <w:tcPr>
            <w:tcW w:w="1230" w:type="dxa"/>
          </w:tcPr>
          <w:p w14:paraId="3C60D3C5" w14:textId="74FD5741" w:rsidR="00583ABC" w:rsidRPr="001C458B" w:rsidRDefault="002F412C" w:rsidP="001626FB">
            <w:pPr>
              <w:jc w:val="both"/>
              <w:rPr>
                <w:rFonts w:ascii="Garamond" w:hAnsi="Garamond"/>
                <w:sz w:val="24"/>
                <w:szCs w:val="24"/>
                <w:lang w:val="sq-AL"/>
              </w:rPr>
            </w:pPr>
            <w:r>
              <w:rPr>
                <w:rFonts w:ascii="Garamond" w:hAnsi="Garamond"/>
                <w:sz w:val="24"/>
                <w:szCs w:val="24"/>
                <w:lang w:val="sq-AL"/>
              </w:rPr>
              <w:t>1</w:t>
            </w:r>
          </w:p>
        </w:tc>
        <w:tc>
          <w:tcPr>
            <w:tcW w:w="1755" w:type="dxa"/>
          </w:tcPr>
          <w:p w14:paraId="69A900C9" w14:textId="66F4171D" w:rsidR="00583ABC" w:rsidRPr="001C458B" w:rsidRDefault="002F412C" w:rsidP="001626FB">
            <w:pPr>
              <w:jc w:val="both"/>
              <w:rPr>
                <w:rFonts w:ascii="Garamond" w:hAnsi="Garamond"/>
                <w:sz w:val="24"/>
                <w:szCs w:val="24"/>
                <w:lang w:val="sq-AL"/>
              </w:rPr>
            </w:pPr>
            <w:r>
              <w:rPr>
                <w:rFonts w:ascii="Garamond" w:hAnsi="Garamond"/>
                <w:sz w:val="24"/>
                <w:szCs w:val="24"/>
                <w:lang w:val="sq-AL"/>
              </w:rPr>
              <w:t>2</w:t>
            </w:r>
          </w:p>
        </w:tc>
        <w:tc>
          <w:tcPr>
            <w:tcW w:w="1616" w:type="dxa"/>
          </w:tcPr>
          <w:p w14:paraId="138FFF28" w14:textId="34360D37" w:rsidR="00583ABC" w:rsidRPr="001C458B" w:rsidRDefault="00583ABC" w:rsidP="002F412C">
            <w:pPr>
              <w:jc w:val="both"/>
              <w:rPr>
                <w:rFonts w:ascii="Garamond" w:hAnsi="Garamond"/>
                <w:sz w:val="24"/>
                <w:szCs w:val="24"/>
                <w:lang w:val="sq-AL"/>
              </w:rPr>
            </w:pPr>
            <w:r w:rsidRPr="001C458B">
              <w:rPr>
                <w:rFonts w:ascii="Garamond" w:hAnsi="Garamond"/>
                <w:sz w:val="24"/>
                <w:szCs w:val="24"/>
                <w:lang w:val="sq-AL"/>
              </w:rPr>
              <w:t>3</w:t>
            </w:r>
          </w:p>
        </w:tc>
        <w:tc>
          <w:tcPr>
            <w:tcW w:w="1432" w:type="dxa"/>
          </w:tcPr>
          <w:p w14:paraId="163C56BC" w14:textId="4C92AC52" w:rsidR="00583ABC" w:rsidRPr="001C458B" w:rsidRDefault="002F412C" w:rsidP="001626FB">
            <w:pPr>
              <w:jc w:val="both"/>
              <w:rPr>
                <w:rFonts w:ascii="Garamond" w:hAnsi="Garamond"/>
                <w:sz w:val="24"/>
                <w:szCs w:val="24"/>
                <w:lang w:val="sq-AL"/>
              </w:rPr>
            </w:pPr>
            <w:r>
              <w:rPr>
                <w:rFonts w:ascii="Garamond" w:hAnsi="Garamond"/>
                <w:sz w:val="24"/>
                <w:szCs w:val="24"/>
                <w:lang w:val="sq-AL"/>
              </w:rPr>
              <w:t>4</w:t>
            </w:r>
          </w:p>
        </w:tc>
        <w:tc>
          <w:tcPr>
            <w:tcW w:w="1430" w:type="dxa"/>
          </w:tcPr>
          <w:p w14:paraId="23D81C6D" w14:textId="701E450E" w:rsidR="00583ABC" w:rsidRPr="001C458B" w:rsidRDefault="002F412C" w:rsidP="001626FB">
            <w:pPr>
              <w:jc w:val="both"/>
              <w:rPr>
                <w:rFonts w:ascii="Garamond" w:hAnsi="Garamond"/>
                <w:sz w:val="24"/>
                <w:szCs w:val="24"/>
                <w:lang w:val="sq-AL"/>
              </w:rPr>
            </w:pPr>
            <w:r>
              <w:rPr>
                <w:rFonts w:ascii="Garamond" w:hAnsi="Garamond"/>
                <w:sz w:val="24"/>
                <w:szCs w:val="24"/>
                <w:lang w:val="sq-AL"/>
              </w:rPr>
              <w:t>5</w:t>
            </w:r>
          </w:p>
        </w:tc>
        <w:tc>
          <w:tcPr>
            <w:tcW w:w="1640" w:type="dxa"/>
            <w:shd w:val="clear" w:color="auto" w:fill="E7E6E6"/>
          </w:tcPr>
          <w:p w14:paraId="34C748EE" w14:textId="5636329E" w:rsidR="00583ABC" w:rsidRPr="001C458B" w:rsidRDefault="002F412C" w:rsidP="001626FB">
            <w:pPr>
              <w:jc w:val="both"/>
              <w:rPr>
                <w:rFonts w:ascii="Garamond" w:hAnsi="Garamond"/>
                <w:sz w:val="24"/>
                <w:szCs w:val="24"/>
                <w:lang w:val="sq-AL"/>
              </w:rPr>
            </w:pPr>
            <w:r>
              <w:rPr>
                <w:rFonts w:ascii="Garamond" w:hAnsi="Garamond"/>
                <w:sz w:val="24"/>
                <w:szCs w:val="24"/>
                <w:lang w:val="sq-AL"/>
              </w:rPr>
              <w:t>6</w:t>
            </w:r>
          </w:p>
        </w:tc>
      </w:tr>
      <w:tr w:rsidR="00583ABC" w:rsidRPr="001C458B" w14:paraId="3380E52B" w14:textId="77777777" w:rsidTr="00583ABC">
        <w:tc>
          <w:tcPr>
            <w:tcW w:w="1230" w:type="dxa"/>
          </w:tcPr>
          <w:p w14:paraId="777CDCD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1755" w:type="dxa"/>
          </w:tcPr>
          <w:p w14:paraId="0C3022B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Kredi hipotekare</w:t>
            </w:r>
          </w:p>
        </w:tc>
        <w:tc>
          <w:tcPr>
            <w:tcW w:w="1616" w:type="dxa"/>
          </w:tcPr>
          <w:p w14:paraId="2DB0391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1,000,000</w:t>
            </w:r>
          </w:p>
        </w:tc>
        <w:tc>
          <w:tcPr>
            <w:tcW w:w="1432" w:type="dxa"/>
          </w:tcPr>
          <w:p w14:paraId="5C8A2DA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1,000,000</w:t>
            </w:r>
          </w:p>
        </w:tc>
        <w:tc>
          <w:tcPr>
            <w:tcW w:w="1430" w:type="dxa"/>
          </w:tcPr>
          <w:p w14:paraId="3C06F9E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80,000</w:t>
            </w:r>
          </w:p>
        </w:tc>
        <w:tc>
          <w:tcPr>
            <w:tcW w:w="1640" w:type="dxa"/>
            <w:shd w:val="clear" w:color="auto" w:fill="E7E6E6"/>
          </w:tcPr>
          <w:p w14:paraId="72AEB5C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18.7%</w:t>
            </w:r>
          </w:p>
        </w:tc>
      </w:tr>
      <w:tr w:rsidR="00583ABC" w:rsidRPr="001C458B" w14:paraId="6B537E29" w14:textId="77777777" w:rsidTr="00583ABC">
        <w:tc>
          <w:tcPr>
            <w:tcW w:w="1230" w:type="dxa"/>
          </w:tcPr>
          <w:p w14:paraId="72E473E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1755" w:type="dxa"/>
          </w:tcPr>
          <w:p w14:paraId="413FDB4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Kredi biznesi</w:t>
            </w:r>
          </w:p>
        </w:tc>
        <w:tc>
          <w:tcPr>
            <w:tcW w:w="1616" w:type="dxa"/>
          </w:tcPr>
          <w:p w14:paraId="49CC3BF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3,000,000</w:t>
            </w:r>
          </w:p>
        </w:tc>
        <w:tc>
          <w:tcPr>
            <w:tcW w:w="1432" w:type="dxa"/>
          </w:tcPr>
          <w:p w14:paraId="3B2622C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3,000,000</w:t>
            </w:r>
          </w:p>
        </w:tc>
        <w:tc>
          <w:tcPr>
            <w:tcW w:w="1430" w:type="dxa"/>
          </w:tcPr>
          <w:p w14:paraId="41117CF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240,000</w:t>
            </w:r>
          </w:p>
        </w:tc>
        <w:tc>
          <w:tcPr>
            <w:tcW w:w="1640" w:type="dxa"/>
            <w:shd w:val="clear" w:color="auto" w:fill="E7E6E6"/>
          </w:tcPr>
          <w:p w14:paraId="56F40AE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56.0%</w:t>
            </w:r>
          </w:p>
        </w:tc>
      </w:tr>
      <w:tr w:rsidR="00583ABC" w:rsidRPr="001C458B" w14:paraId="19BB7E65" w14:textId="77777777" w:rsidTr="00583ABC">
        <w:tc>
          <w:tcPr>
            <w:tcW w:w="1230" w:type="dxa"/>
          </w:tcPr>
          <w:p w14:paraId="7D1BCBD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1755" w:type="dxa"/>
          </w:tcPr>
          <w:p w14:paraId="2E6845D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Qeveria</w:t>
            </w:r>
          </w:p>
        </w:tc>
        <w:tc>
          <w:tcPr>
            <w:tcW w:w="1616" w:type="dxa"/>
          </w:tcPr>
          <w:p w14:paraId="714BDBE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2,000,000</w:t>
            </w:r>
          </w:p>
        </w:tc>
        <w:tc>
          <w:tcPr>
            <w:tcW w:w="1432" w:type="dxa"/>
          </w:tcPr>
          <w:p w14:paraId="06406A31" w14:textId="77777777" w:rsidR="00583ABC" w:rsidRPr="001C458B" w:rsidRDefault="00583ABC" w:rsidP="001626FB">
            <w:pPr>
              <w:jc w:val="both"/>
              <w:rPr>
                <w:rFonts w:ascii="Garamond" w:hAnsi="Garamond"/>
                <w:sz w:val="24"/>
                <w:szCs w:val="24"/>
                <w:lang w:val="sq-AL"/>
              </w:rPr>
            </w:pPr>
          </w:p>
        </w:tc>
        <w:tc>
          <w:tcPr>
            <w:tcW w:w="1430" w:type="dxa"/>
          </w:tcPr>
          <w:p w14:paraId="703686AE" w14:textId="77777777" w:rsidR="00583ABC" w:rsidRPr="001C458B" w:rsidRDefault="00583ABC" w:rsidP="001626FB">
            <w:pPr>
              <w:jc w:val="both"/>
              <w:rPr>
                <w:rFonts w:ascii="Garamond" w:hAnsi="Garamond"/>
                <w:sz w:val="24"/>
                <w:szCs w:val="24"/>
                <w:lang w:val="sq-AL"/>
              </w:rPr>
            </w:pPr>
          </w:p>
        </w:tc>
        <w:tc>
          <w:tcPr>
            <w:tcW w:w="1640" w:type="dxa"/>
            <w:shd w:val="clear" w:color="auto" w:fill="E7E6E6"/>
          </w:tcPr>
          <w:p w14:paraId="76D9B9D8" w14:textId="77777777" w:rsidR="00583ABC" w:rsidRPr="001C458B" w:rsidRDefault="00583ABC" w:rsidP="001626FB">
            <w:pPr>
              <w:jc w:val="both"/>
              <w:rPr>
                <w:rFonts w:ascii="Garamond" w:hAnsi="Garamond"/>
                <w:sz w:val="24"/>
                <w:szCs w:val="24"/>
                <w:lang w:val="sq-AL"/>
              </w:rPr>
            </w:pPr>
          </w:p>
        </w:tc>
      </w:tr>
      <w:tr w:rsidR="00583ABC" w:rsidRPr="001C458B" w14:paraId="70964881" w14:textId="77777777" w:rsidTr="00583ABC">
        <w:tc>
          <w:tcPr>
            <w:tcW w:w="1230" w:type="dxa"/>
          </w:tcPr>
          <w:p w14:paraId="48ECA3F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X</w:t>
            </w:r>
          </w:p>
        </w:tc>
        <w:tc>
          <w:tcPr>
            <w:tcW w:w="1755" w:type="dxa"/>
          </w:tcPr>
          <w:p w14:paraId="395AE1D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Retail</w:t>
            </w:r>
          </w:p>
        </w:tc>
        <w:tc>
          <w:tcPr>
            <w:tcW w:w="1616" w:type="dxa"/>
          </w:tcPr>
          <w:p w14:paraId="6E96EE4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c>
          <w:tcPr>
            <w:tcW w:w="1432" w:type="dxa"/>
          </w:tcPr>
          <w:p w14:paraId="2F3F758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c>
          <w:tcPr>
            <w:tcW w:w="1430" w:type="dxa"/>
          </w:tcPr>
          <w:p w14:paraId="308C992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4,000</w:t>
            </w:r>
          </w:p>
        </w:tc>
        <w:tc>
          <w:tcPr>
            <w:tcW w:w="1640" w:type="dxa"/>
            <w:shd w:val="clear" w:color="auto" w:fill="E7E6E6"/>
          </w:tcPr>
          <w:p w14:paraId="1CDD4B1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0.9%</w:t>
            </w:r>
          </w:p>
        </w:tc>
      </w:tr>
      <w:tr w:rsidR="00583ABC" w:rsidRPr="001C458B" w14:paraId="31BED8F2" w14:textId="77777777" w:rsidTr="00583ABC">
        <w:tc>
          <w:tcPr>
            <w:tcW w:w="1230" w:type="dxa"/>
          </w:tcPr>
          <w:p w14:paraId="506881E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X</w:t>
            </w:r>
          </w:p>
        </w:tc>
        <w:tc>
          <w:tcPr>
            <w:tcW w:w="1755" w:type="dxa"/>
          </w:tcPr>
          <w:p w14:paraId="544D9E7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Kredi biznesi</w:t>
            </w:r>
          </w:p>
        </w:tc>
        <w:tc>
          <w:tcPr>
            <w:tcW w:w="1616" w:type="dxa"/>
          </w:tcPr>
          <w:p w14:paraId="40C42F1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w:t>
            </w:r>
          </w:p>
        </w:tc>
        <w:tc>
          <w:tcPr>
            <w:tcW w:w="1432" w:type="dxa"/>
          </w:tcPr>
          <w:p w14:paraId="4150521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w:t>
            </w:r>
          </w:p>
        </w:tc>
        <w:tc>
          <w:tcPr>
            <w:tcW w:w="1430" w:type="dxa"/>
          </w:tcPr>
          <w:p w14:paraId="416AEF9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8,000</w:t>
            </w:r>
          </w:p>
        </w:tc>
        <w:tc>
          <w:tcPr>
            <w:tcW w:w="1640" w:type="dxa"/>
            <w:shd w:val="clear" w:color="auto" w:fill="E7E6E6"/>
          </w:tcPr>
          <w:p w14:paraId="3E7536A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1.8%</w:t>
            </w:r>
          </w:p>
        </w:tc>
      </w:tr>
      <w:tr w:rsidR="00583ABC" w:rsidRPr="001C458B" w14:paraId="2A1EE948" w14:textId="77777777" w:rsidTr="00583ABC">
        <w:tc>
          <w:tcPr>
            <w:tcW w:w="1230" w:type="dxa"/>
          </w:tcPr>
          <w:p w14:paraId="019596C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X</w:t>
            </w:r>
          </w:p>
        </w:tc>
        <w:tc>
          <w:tcPr>
            <w:tcW w:w="1755" w:type="dxa"/>
          </w:tcPr>
          <w:p w14:paraId="62C71CF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Banka</w:t>
            </w:r>
          </w:p>
        </w:tc>
        <w:tc>
          <w:tcPr>
            <w:tcW w:w="1616" w:type="dxa"/>
          </w:tcPr>
          <w:p w14:paraId="0BAF68E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1,000,000</w:t>
            </w:r>
          </w:p>
        </w:tc>
        <w:tc>
          <w:tcPr>
            <w:tcW w:w="1432" w:type="dxa"/>
          </w:tcPr>
          <w:p w14:paraId="63575EAC" w14:textId="77777777" w:rsidR="00583ABC" w:rsidRPr="001C458B" w:rsidRDefault="00583ABC" w:rsidP="001626FB">
            <w:pPr>
              <w:jc w:val="both"/>
              <w:rPr>
                <w:rFonts w:ascii="Garamond" w:hAnsi="Garamond"/>
                <w:sz w:val="24"/>
                <w:szCs w:val="24"/>
                <w:lang w:val="sq-AL"/>
              </w:rPr>
            </w:pPr>
          </w:p>
        </w:tc>
        <w:tc>
          <w:tcPr>
            <w:tcW w:w="1430" w:type="dxa"/>
          </w:tcPr>
          <w:p w14:paraId="29D7CBA5" w14:textId="77777777" w:rsidR="00583ABC" w:rsidRPr="001C458B" w:rsidRDefault="00583ABC" w:rsidP="001626FB">
            <w:pPr>
              <w:jc w:val="both"/>
              <w:rPr>
                <w:rFonts w:ascii="Garamond" w:hAnsi="Garamond"/>
                <w:sz w:val="24"/>
                <w:szCs w:val="24"/>
                <w:lang w:val="sq-AL"/>
              </w:rPr>
            </w:pPr>
          </w:p>
        </w:tc>
        <w:tc>
          <w:tcPr>
            <w:tcW w:w="1640" w:type="dxa"/>
            <w:shd w:val="clear" w:color="auto" w:fill="E7E6E6"/>
          </w:tcPr>
          <w:p w14:paraId="56AC46A4" w14:textId="77777777" w:rsidR="00583ABC" w:rsidRPr="001C458B" w:rsidRDefault="00583ABC" w:rsidP="001626FB">
            <w:pPr>
              <w:jc w:val="both"/>
              <w:rPr>
                <w:rFonts w:ascii="Garamond" w:hAnsi="Garamond"/>
                <w:sz w:val="24"/>
                <w:szCs w:val="24"/>
                <w:lang w:val="sq-AL"/>
              </w:rPr>
            </w:pPr>
          </w:p>
        </w:tc>
      </w:tr>
      <w:tr w:rsidR="00583ABC" w:rsidRPr="001C458B" w14:paraId="7843D7B1" w14:textId="77777777" w:rsidTr="00583ABC">
        <w:tc>
          <w:tcPr>
            <w:tcW w:w="1230" w:type="dxa"/>
          </w:tcPr>
          <w:p w14:paraId="7EE8319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Y</w:t>
            </w:r>
          </w:p>
        </w:tc>
        <w:tc>
          <w:tcPr>
            <w:tcW w:w="1755" w:type="dxa"/>
          </w:tcPr>
          <w:p w14:paraId="2CC458A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Kartë krediti</w:t>
            </w:r>
          </w:p>
        </w:tc>
        <w:tc>
          <w:tcPr>
            <w:tcW w:w="1616" w:type="dxa"/>
          </w:tcPr>
          <w:p w14:paraId="038A125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w:t>
            </w:r>
          </w:p>
        </w:tc>
        <w:tc>
          <w:tcPr>
            <w:tcW w:w="1432" w:type="dxa"/>
          </w:tcPr>
          <w:p w14:paraId="62EEE10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w:t>
            </w:r>
          </w:p>
        </w:tc>
        <w:tc>
          <w:tcPr>
            <w:tcW w:w="1430" w:type="dxa"/>
          </w:tcPr>
          <w:p w14:paraId="013CD88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800</w:t>
            </w:r>
          </w:p>
        </w:tc>
        <w:tc>
          <w:tcPr>
            <w:tcW w:w="1640" w:type="dxa"/>
            <w:shd w:val="clear" w:color="auto" w:fill="E7E6E6"/>
          </w:tcPr>
          <w:p w14:paraId="164BE2A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0.2%</w:t>
            </w:r>
          </w:p>
        </w:tc>
      </w:tr>
      <w:tr w:rsidR="00583ABC" w:rsidRPr="001C458B" w14:paraId="73A3363B" w14:textId="77777777" w:rsidTr="00583ABC">
        <w:tc>
          <w:tcPr>
            <w:tcW w:w="1230" w:type="dxa"/>
          </w:tcPr>
          <w:p w14:paraId="5DB6ACA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Y</w:t>
            </w:r>
          </w:p>
        </w:tc>
        <w:tc>
          <w:tcPr>
            <w:tcW w:w="1755" w:type="dxa"/>
          </w:tcPr>
          <w:p w14:paraId="4409805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Titull korporate</w:t>
            </w:r>
          </w:p>
        </w:tc>
        <w:tc>
          <w:tcPr>
            <w:tcW w:w="1616" w:type="dxa"/>
          </w:tcPr>
          <w:p w14:paraId="3B8E74D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500,000</w:t>
            </w:r>
          </w:p>
        </w:tc>
        <w:tc>
          <w:tcPr>
            <w:tcW w:w="1432" w:type="dxa"/>
          </w:tcPr>
          <w:p w14:paraId="6325E62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500,000</w:t>
            </w:r>
          </w:p>
        </w:tc>
        <w:tc>
          <w:tcPr>
            <w:tcW w:w="1430" w:type="dxa"/>
          </w:tcPr>
          <w:p w14:paraId="3FFC266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40,000</w:t>
            </w:r>
          </w:p>
        </w:tc>
        <w:tc>
          <w:tcPr>
            <w:tcW w:w="1640" w:type="dxa"/>
            <w:shd w:val="clear" w:color="auto" w:fill="E7E6E6"/>
          </w:tcPr>
          <w:p w14:paraId="475A70B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9.3%</w:t>
            </w:r>
          </w:p>
        </w:tc>
      </w:tr>
      <w:tr w:rsidR="00583ABC" w:rsidRPr="001C458B" w14:paraId="4EF32272" w14:textId="77777777" w:rsidTr="00583ABC">
        <w:tc>
          <w:tcPr>
            <w:tcW w:w="1230" w:type="dxa"/>
          </w:tcPr>
          <w:p w14:paraId="57646B2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Z</w:t>
            </w:r>
          </w:p>
        </w:tc>
        <w:tc>
          <w:tcPr>
            <w:tcW w:w="1755" w:type="dxa"/>
          </w:tcPr>
          <w:p w14:paraId="426F521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Kredi biznesi</w:t>
            </w:r>
          </w:p>
        </w:tc>
        <w:tc>
          <w:tcPr>
            <w:tcW w:w="1616" w:type="dxa"/>
          </w:tcPr>
          <w:p w14:paraId="43AC380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500,000</w:t>
            </w:r>
          </w:p>
        </w:tc>
        <w:tc>
          <w:tcPr>
            <w:tcW w:w="1432" w:type="dxa"/>
          </w:tcPr>
          <w:p w14:paraId="40EE6D4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500,000</w:t>
            </w:r>
          </w:p>
        </w:tc>
        <w:tc>
          <w:tcPr>
            <w:tcW w:w="1430" w:type="dxa"/>
          </w:tcPr>
          <w:p w14:paraId="15E3765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40,000</w:t>
            </w:r>
          </w:p>
        </w:tc>
        <w:tc>
          <w:tcPr>
            <w:tcW w:w="1640" w:type="dxa"/>
            <w:shd w:val="clear" w:color="auto" w:fill="E7E6E6"/>
          </w:tcPr>
          <w:p w14:paraId="523ED16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9.3%</w:t>
            </w:r>
          </w:p>
        </w:tc>
      </w:tr>
      <w:tr w:rsidR="00583ABC" w:rsidRPr="001C458B" w14:paraId="17518CE1" w14:textId="77777777" w:rsidTr="00583ABC">
        <w:tc>
          <w:tcPr>
            <w:tcW w:w="1230" w:type="dxa"/>
          </w:tcPr>
          <w:p w14:paraId="607D4FB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Z</w:t>
            </w:r>
          </w:p>
        </w:tc>
        <w:tc>
          <w:tcPr>
            <w:tcW w:w="1755" w:type="dxa"/>
          </w:tcPr>
          <w:p w14:paraId="4267492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Kartë krediti</w:t>
            </w:r>
          </w:p>
        </w:tc>
        <w:tc>
          <w:tcPr>
            <w:tcW w:w="1616" w:type="dxa"/>
          </w:tcPr>
          <w:p w14:paraId="0F6EA08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70,000</w:t>
            </w:r>
          </w:p>
        </w:tc>
        <w:tc>
          <w:tcPr>
            <w:tcW w:w="1432" w:type="dxa"/>
          </w:tcPr>
          <w:p w14:paraId="2210634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70,000</w:t>
            </w:r>
          </w:p>
        </w:tc>
        <w:tc>
          <w:tcPr>
            <w:tcW w:w="1430" w:type="dxa"/>
          </w:tcPr>
          <w:p w14:paraId="69BE9D7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5,600</w:t>
            </w:r>
          </w:p>
        </w:tc>
        <w:tc>
          <w:tcPr>
            <w:tcW w:w="1640" w:type="dxa"/>
            <w:shd w:val="clear" w:color="auto" w:fill="E7E6E6"/>
          </w:tcPr>
          <w:p w14:paraId="50ACFC2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1.3%</w:t>
            </w:r>
          </w:p>
        </w:tc>
      </w:tr>
      <w:tr w:rsidR="00583ABC" w:rsidRPr="001C458B" w14:paraId="5316CB2B" w14:textId="77777777" w:rsidTr="00583ABC">
        <w:tc>
          <w:tcPr>
            <w:tcW w:w="1230" w:type="dxa"/>
          </w:tcPr>
          <w:p w14:paraId="2E96562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Z</w:t>
            </w:r>
          </w:p>
        </w:tc>
        <w:tc>
          <w:tcPr>
            <w:tcW w:w="1755" w:type="dxa"/>
          </w:tcPr>
          <w:p w14:paraId="5872E0E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Derivativ</w:t>
            </w:r>
          </w:p>
        </w:tc>
        <w:tc>
          <w:tcPr>
            <w:tcW w:w="1616" w:type="dxa"/>
          </w:tcPr>
          <w:p w14:paraId="4A2B624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c>
          <w:tcPr>
            <w:tcW w:w="1432" w:type="dxa"/>
          </w:tcPr>
          <w:p w14:paraId="7D66F00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c>
          <w:tcPr>
            <w:tcW w:w="1430" w:type="dxa"/>
          </w:tcPr>
          <w:p w14:paraId="7112FE0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w:t>
            </w:r>
          </w:p>
        </w:tc>
        <w:tc>
          <w:tcPr>
            <w:tcW w:w="1640" w:type="dxa"/>
            <w:shd w:val="clear" w:color="auto" w:fill="E7E6E6"/>
          </w:tcPr>
          <w:p w14:paraId="00A8497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2.3%</w:t>
            </w:r>
          </w:p>
        </w:tc>
      </w:tr>
      <w:tr w:rsidR="00583ABC" w:rsidRPr="001C458B" w14:paraId="064D513A" w14:textId="77777777" w:rsidTr="00583ABC">
        <w:tc>
          <w:tcPr>
            <w:tcW w:w="1230" w:type="dxa"/>
          </w:tcPr>
          <w:p w14:paraId="2C7D1D4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 Z</w:t>
            </w:r>
          </w:p>
        </w:tc>
        <w:tc>
          <w:tcPr>
            <w:tcW w:w="1755" w:type="dxa"/>
          </w:tcPr>
          <w:p w14:paraId="56D8AD8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Kompani shtetërore</w:t>
            </w:r>
          </w:p>
        </w:tc>
        <w:tc>
          <w:tcPr>
            <w:tcW w:w="1616" w:type="dxa"/>
          </w:tcPr>
          <w:p w14:paraId="5186804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100,000</w:t>
            </w:r>
          </w:p>
        </w:tc>
        <w:tc>
          <w:tcPr>
            <w:tcW w:w="1432" w:type="dxa"/>
          </w:tcPr>
          <w:p w14:paraId="2FF48C12" w14:textId="77777777" w:rsidR="00583ABC" w:rsidRPr="001C458B" w:rsidRDefault="00583ABC" w:rsidP="001626FB">
            <w:pPr>
              <w:jc w:val="both"/>
              <w:rPr>
                <w:rFonts w:ascii="Garamond" w:hAnsi="Garamond"/>
                <w:sz w:val="24"/>
                <w:szCs w:val="24"/>
                <w:lang w:val="sq-AL"/>
              </w:rPr>
            </w:pPr>
          </w:p>
        </w:tc>
        <w:tc>
          <w:tcPr>
            <w:tcW w:w="1430" w:type="dxa"/>
          </w:tcPr>
          <w:p w14:paraId="53AE6BAD" w14:textId="77777777" w:rsidR="00583ABC" w:rsidRPr="001C458B" w:rsidRDefault="00583ABC" w:rsidP="001626FB">
            <w:pPr>
              <w:jc w:val="both"/>
              <w:rPr>
                <w:rFonts w:ascii="Garamond" w:hAnsi="Garamond"/>
                <w:sz w:val="24"/>
                <w:szCs w:val="24"/>
                <w:lang w:val="sq-AL"/>
              </w:rPr>
            </w:pPr>
          </w:p>
        </w:tc>
        <w:tc>
          <w:tcPr>
            <w:tcW w:w="1640" w:type="dxa"/>
            <w:shd w:val="clear" w:color="auto" w:fill="E7E6E6"/>
          </w:tcPr>
          <w:p w14:paraId="65659D38" w14:textId="77777777" w:rsidR="00583ABC" w:rsidRPr="001C458B" w:rsidRDefault="00583ABC" w:rsidP="001626FB">
            <w:pPr>
              <w:jc w:val="both"/>
              <w:rPr>
                <w:rFonts w:ascii="Garamond" w:hAnsi="Garamond"/>
                <w:sz w:val="24"/>
                <w:szCs w:val="24"/>
                <w:lang w:val="sq-AL"/>
              </w:rPr>
            </w:pPr>
          </w:p>
        </w:tc>
      </w:tr>
      <w:tr w:rsidR="00583ABC" w:rsidRPr="001C458B" w14:paraId="0E3972DA" w14:textId="77777777" w:rsidTr="00583ABC">
        <w:tc>
          <w:tcPr>
            <w:tcW w:w="1230" w:type="dxa"/>
          </w:tcPr>
          <w:p w14:paraId="5F31D66A" w14:textId="77777777" w:rsidR="00583ABC" w:rsidRPr="001C458B" w:rsidRDefault="00583ABC" w:rsidP="001626FB">
            <w:pPr>
              <w:jc w:val="both"/>
              <w:rPr>
                <w:rFonts w:ascii="Garamond" w:hAnsi="Garamond"/>
                <w:sz w:val="24"/>
                <w:szCs w:val="24"/>
                <w:lang w:val="sq-AL"/>
              </w:rPr>
            </w:pPr>
          </w:p>
        </w:tc>
        <w:tc>
          <w:tcPr>
            <w:tcW w:w="1755" w:type="dxa"/>
          </w:tcPr>
          <w:p w14:paraId="15FB9121" w14:textId="77777777" w:rsidR="00583ABC" w:rsidRPr="001C458B" w:rsidRDefault="00583ABC" w:rsidP="001626FB">
            <w:pPr>
              <w:jc w:val="both"/>
              <w:rPr>
                <w:rFonts w:ascii="Garamond" w:hAnsi="Garamond"/>
                <w:sz w:val="24"/>
                <w:szCs w:val="24"/>
                <w:lang w:val="sq-AL"/>
              </w:rPr>
            </w:pPr>
          </w:p>
        </w:tc>
        <w:tc>
          <w:tcPr>
            <w:tcW w:w="1616" w:type="dxa"/>
          </w:tcPr>
          <w:p w14:paraId="6EFB52B0" w14:textId="77777777" w:rsidR="00583ABC" w:rsidRPr="001C458B" w:rsidRDefault="00583ABC" w:rsidP="001626FB">
            <w:pPr>
              <w:jc w:val="both"/>
              <w:rPr>
                <w:rFonts w:ascii="Garamond" w:hAnsi="Garamond"/>
                <w:sz w:val="24"/>
                <w:szCs w:val="24"/>
                <w:lang w:val="sq-AL"/>
              </w:rPr>
            </w:pPr>
          </w:p>
        </w:tc>
        <w:tc>
          <w:tcPr>
            <w:tcW w:w="1432" w:type="dxa"/>
          </w:tcPr>
          <w:p w14:paraId="3AA01084" w14:textId="77777777" w:rsidR="00583ABC" w:rsidRPr="001C458B" w:rsidRDefault="00583ABC" w:rsidP="001626FB">
            <w:pPr>
              <w:jc w:val="both"/>
              <w:rPr>
                <w:rFonts w:ascii="Garamond" w:hAnsi="Garamond"/>
                <w:sz w:val="24"/>
                <w:szCs w:val="24"/>
                <w:lang w:val="sq-AL"/>
              </w:rPr>
            </w:pPr>
          </w:p>
        </w:tc>
        <w:tc>
          <w:tcPr>
            <w:tcW w:w="1430" w:type="dxa"/>
          </w:tcPr>
          <w:p w14:paraId="29A6650E" w14:textId="77777777" w:rsidR="00583ABC" w:rsidRPr="001C458B" w:rsidRDefault="00583ABC" w:rsidP="001626FB">
            <w:pPr>
              <w:jc w:val="both"/>
              <w:rPr>
                <w:rFonts w:ascii="Garamond" w:hAnsi="Garamond"/>
                <w:sz w:val="24"/>
                <w:szCs w:val="24"/>
                <w:lang w:val="sq-AL"/>
              </w:rPr>
            </w:pPr>
          </w:p>
        </w:tc>
        <w:tc>
          <w:tcPr>
            <w:tcW w:w="1640" w:type="dxa"/>
            <w:shd w:val="clear" w:color="auto" w:fill="E7E6E6"/>
          </w:tcPr>
          <w:p w14:paraId="6F7FA067" w14:textId="77777777" w:rsidR="00583ABC" w:rsidRPr="001C458B" w:rsidRDefault="00583ABC" w:rsidP="001626FB">
            <w:pPr>
              <w:jc w:val="both"/>
              <w:rPr>
                <w:rFonts w:ascii="Garamond" w:hAnsi="Garamond"/>
                <w:sz w:val="24"/>
                <w:szCs w:val="24"/>
                <w:lang w:val="sq-AL"/>
              </w:rPr>
            </w:pPr>
          </w:p>
        </w:tc>
      </w:tr>
      <w:tr w:rsidR="00583ABC" w:rsidRPr="001C458B" w14:paraId="720C6421" w14:textId="77777777" w:rsidTr="00583ABC">
        <w:tc>
          <w:tcPr>
            <w:tcW w:w="1230" w:type="dxa"/>
          </w:tcPr>
          <w:p w14:paraId="4CF7CA2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w:t>
            </w:r>
          </w:p>
        </w:tc>
        <w:tc>
          <w:tcPr>
            <w:tcW w:w="1755" w:type="dxa"/>
          </w:tcPr>
          <w:p w14:paraId="5913BD92" w14:textId="77777777" w:rsidR="00583ABC" w:rsidRPr="001C458B" w:rsidRDefault="00583ABC" w:rsidP="001626FB">
            <w:pPr>
              <w:jc w:val="both"/>
              <w:rPr>
                <w:rFonts w:ascii="Garamond" w:hAnsi="Garamond"/>
                <w:sz w:val="24"/>
                <w:szCs w:val="24"/>
                <w:lang w:val="sq-AL"/>
              </w:rPr>
            </w:pPr>
          </w:p>
        </w:tc>
        <w:tc>
          <w:tcPr>
            <w:tcW w:w="1616" w:type="dxa"/>
          </w:tcPr>
          <w:p w14:paraId="655C5DB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8,380,000</w:t>
            </w:r>
          </w:p>
        </w:tc>
        <w:tc>
          <w:tcPr>
            <w:tcW w:w="1432" w:type="dxa"/>
          </w:tcPr>
          <w:p w14:paraId="2384CB0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5,280,000</w:t>
            </w:r>
          </w:p>
        </w:tc>
        <w:tc>
          <w:tcPr>
            <w:tcW w:w="1430" w:type="dxa"/>
          </w:tcPr>
          <w:p w14:paraId="386D2A8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428,400</w:t>
            </w:r>
          </w:p>
        </w:tc>
        <w:tc>
          <w:tcPr>
            <w:tcW w:w="1640" w:type="dxa"/>
            <w:shd w:val="clear" w:color="auto" w:fill="E7E6E6"/>
          </w:tcPr>
          <w:p w14:paraId="4F04465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w:t>
            </w:r>
          </w:p>
        </w:tc>
      </w:tr>
    </w:tbl>
    <w:p w14:paraId="606A39FA" w14:textId="77777777" w:rsidR="00583ABC" w:rsidRPr="001C458B" w:rsidRDefault="00583ABC" w:rsidP="003D1B12">
      <w:pPr>
        <w:spacing w:after="0" w:line="240" w:lineRule="auto"/>
        <w:ind w:firstLine="284"/>
        <w:jc w:val="both"/>
        <w:rPr>
          <w:rFonts w:ascii="Garamond" w:hAnsi="Garamond"/>
          <w:sz w:val="24"/>
          <w:szCs w:val="24"/>
          <w:lang w:val="sq-AL"/>
        </w:rPr>
      </w:pPr>
    </w:p>
    <w:p w14:paraId="663F0C8D" w14:textId="3AB3536E"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këtë rast, duhet bërë edhe verifikimi nëse jemi në ku</w:t>
      </w:r>
      <w:r w:rsidR="002F412C">
        <w:rPr>
          <w:rFonts w:ascii="Garamond" w:hAnsi="Garamond"/>
          <w:sz w:val="24"/>
          <w:szCs w:val="24"/>
          <w:lang w:val="sq-AL"/>
        </w:rPr>
        <w:t>shtet e nenit 13, paragrafi 6/a</w:t>
      </w:r>
      <w:r w:rsidRPr="001C458B">
        <w:rPr>
          <w:rFonts w:ascii="Garamond" w:hAnsi="Garamond"/>
          <w:sz w:val="24"/>
          <w:szCs w:val="24"/>
          <w:lang w:val="sq-AL"/>
        </w:rPr>
        <w:t>. Vërehet që:</w:t>
      </w:r>
    </w:p>
    <w:p w14:paraId="4BE2D181" w14:textId="77777777" w:rsidR="00583ABC" w:rsidRPr="001C458B" w:rsidRDefault="00583ABC" w:rsidP="003D1B12">
      <w:pPr>
        <w:spacing w:after="0" w:line="240" w:lineRule="auto"/>
        <w:ind w:firstLine="284"/>
        <w:jc w:val="both"/>
        <w:rPr>
          <w:rFonts w:ascii="Garamond" w:hAnsi="Garamond"/>
          <w:sz w:val="24"/>
          <w:szCs w:val="24"/>
          <w:lang w:val="sq-AL"/>
        </w:rPr>
      </w:pPr>
    </w:p>
    <w:p w14:paraId="578C328E"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4:</w:t>
      </w:r>
    </w:p>
    <w:tbl>
      <w:tblPr>
        <w:tblStyle w:val="TableGrid1"/>
        <w:tblW w:w="0" w:type="auto"/>
        <w:tblLayout w:type="fixed"/>
        <w:tblLook w:val="04A0" w:firstRow="1" w:lastRow="0" w:firstColumn="1" w:lastColumn="0" w:noHBand="0" w:noVBand="1"/>
      </w:tblPr>
      <w:tblGrid>
        <w:gridCol w:w="1259"/>
        <w:gridCol w:w="1886"/>
        <w:gridCol w:w="1350"/>
        <w:gridCol w:w="270"/>
        <w:gridCol w:w="1326"/>
        <w:gridCol w:w="1842"/>
        <w:gridCol w:w="1417"/>
      </w:tblGrid>
      <w:tr w:rsidR="00583ABC" w:rsidRPr="001C458B" w14:paraId="28C9D8F8" w14:textId="77777777" w:rsidTr="00557377">
        <w:tc>
          <w:tcPr>
            <w:tcW w:w="1259" w:type="dxa"/>
          </w:tcPr>
          <w:p w14:paraId="387C529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Nr.</w:t>
            </w:r>
          </w:p>
        </w:tc>
        <w:tc>
          <w:tcPr>
            <w:tcW w:w="1886" w:type="dxa"/>
          </w:tcPr>
          <w:p w14:paraId="147A59D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 xml:space="preserve">EPSHK-të në juridiksion të huaj </w:t>
            </w:r>
          </w:p>
        </w:tc>
        <w:tc>
          <w:tcPr>
            <w:tcW w:w="1350" w:type="dxa"/>
          </w:tcPr>
          <w:p w14:paraId="34D5F3F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Vlera</w:t>
            </w:r>
          </w:p>
        </w:tc>
        <w:tc>
          <w:tcPr>
            <w:tcW w:w="270" w:type="dxa"/>
          </w:tcPr>
          <w:p w14:paraId="0EFCF033" w14:textId="77777777" w:rsidR="00583ABC" w:rsidRPr="001C458B" w:rsidRDefault="00583ABC" w:rsidP="001626FB">
            <w:pPr>
              <w:jc w:val="both"/>
              <w:rPr>
                <w:rFonts w:ascii="Garamond" w:hAnsi="Garamond"/>
                <w:sz w:val="24"/>
                <w:szCs w:val="24"/>
                <w:lang w:val="sq-AL"/>
              </w:rPr>
            </w:pPr>
          </w:p>
        </w:tc>
        <w:tc>
          <w:tcPr>
            <w:tcW w:w="1326" w:type="dxa"/>
          </w:tcPr>
          <w:p w14:paraId="1897811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Nr.</w:t>
            </w:r>
          </w:p>
        </w:tc>
        <w:tc>
          <w:tcPr>
            <w:tcW w:w="1842" w:type="dxa"/>
          </w:tcPr>
          <w:p w14:paraId="0740EBF0" w14:textId="30136E2F"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EP</w:t>
            </w:r>
            <w:r w:rsidR="002F412C">
              <w:rPr>
                <w:rFonts w:ascii="Garamond" w:hAnsi="Garamond"/>
                <w:sz w:val="24"/>
                <w:szCs w:val="24"/>
                <w:lang w:val="sq-AL"/>
              </w:rPr>
              <w:t>SHK-të sipas nenit 4, parag.1/29/a/iii</w:t>
            </w:r>
          </w:p>
        </w:tc>
        <w:tc>
          <w:tcPr>
            <w:tcW w:w="1417" w:type="dxa"/>
          </w:tcPr>
          <w:p w14:paraId="60A804B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Vlera</w:t>
            </w:r>
          </w:p>
        </w:tc>
      </w:tr>
      <w:tr w:rsidR="00583ABC" w:rsidRPr="001C458B" w14:paraId="6B0B454E" w14:textId="77777777" w:rsidTr="00557377">
        <w:tc>
          <w:tcPr>
            <w:tcW w:w="1259" w:type="dxa"/>
          </w:tcPr>
          <w:p w14:paraId="6295589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886" w:type="dxa"/>
          </w:tcPr>
          <w:p w14:paraId="16738E8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1350" w:type="dxa"/>
          </w:tcPr>
          <w:p w14:paraId="6A301222" w14:textId="77777777" w:rsidR="00583ABC" w:rsidRPr="001C458B" w:rsidRDefault="00583ABC" w:rsidP="001626FB">
            <w:pPr>
              <w:jc w:val="both"/>
              <w:rPr>
                <w:rFonts w:ascii="Garamond" w:hAnsi="Garamond"/>
                <w:sz w:val="24"/>
                <w:szCs w:val="24"/>
                <w:lang w:val="sq-AL"/>
              </w:rPr>
            </w:pPr>
          </w:p>
        </w:tc>
        <w:tc>
          <w:tcPr>
            <w:tcW w:w="270" w:type="dxa"/>
          </w:tcPr>
          <w:p w14:paraId="51347F90" w14:textId="77777777" w:rsidR="00583ABC" w:rsidRPr="001C458B" w:rsidRDefault="00583ABC" w:rsidP="001626FB">
            <w:pPr>
              <w:jc w:val="both"/>
              <w:rPr>
                <w:rFonts w:ascii="Garamond" w:hAnsi="Garamond"/>
                <w:sz w:val="24"/>
                <w:szCs w:val="24"/>
                <w:lang w:val="sq-AL"/>
              </w:rPr>
            </w:pPr>
          </w:p>
        </w:tc>
        <w:tc>
          <w:tcPr>
            <w:tcW w:w="1326" w:type="dxa"/>
          </w:tcPr>
          <w:p w14:paraId="660E8FA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842" w:type="dxa"/>
          </w:tcPr>
          <w:p w14:paraId="57A9D96D" w14:textId="77777777" w:rsidR="00583ABC" w:rsidRPr="001C458B" w:rsidRDefault="00583ABC" w:rsidP="001626FB">
            <w:pPr>
              <w:jc w:val="both"/>
              <w:rPr>
                <w:rFonts w:ascii="Garamond" w:hAnsi="Garamond"/>
                <w:sz w:val="24"/>
                <w:szCs w:val="24"/>
                <w:lang w:val="sq-AL"/>
              </w:rPr>
            </w:pPr>
          </w:p>
        </w:tc>
        <w:tc>
          <w:tcPr>
            <w:tcW w:w="1417" w:type="dxa"/>
          </w:tcPr>
          <w:p w14:paraId="2A0709AF" w14:textId="77777777" w:rsidR="00583ABC" w:rsidRPr="001C458B" w:rsidRDefault="00583ABC" w:rsidP="001626FB">
            <w:pPr>
              <w:jc w:val="both"/>
              <w:rPr>
                <w:rFonts w:ascii="Garamond" w:hAnsi="Garamond"/>
                <w:sz w:val="24"/>
                <w:szCs w:val="24"/>
                <w:lang w:val="sq-AL"/>
              </w:rPr>
            </w:pPr>
          </w:p>
        </w:tc>
      </w:tr>
      <w:tr w:rsidR="00583ABC" w:rsidRPr="001C458B" w14:paraId="296E5789" w14:textId="77777777" w:rsidTr="00557377">
        <w:tc>
          <w:tcPr>
            <w:tcW w:w="1259" w:type="dxa"/>
          </w:tcPr>
          <w:p w14:paraId="2A6EAD2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w:t>
            </w:r>
          </w:p>
        </w:tc>
        <w:tc>
          <w:tcPr>
            <w:tcW w:w="1886" w:type="dxa"/>
          </w:tcPr>
          <w:p w14:paraId="72F5C00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X</w:t>
            </w:r>
          </w:p>
        </w:tc>
        <w:tc>
          <w:tcPr>
            <w:tcW w:w="1350" w:type="dxa"/>
          </w:tcPr>
          <w:p w14:paraId="58D5C1D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150,000</w:t>
            </w:r>
          </w:p>
        </w:tc>
        <w:tc>
          <w:tcPr>
            <w:tcW w:w="270" w:type="dxa"/>
          </w:tcPr>
          <w:p w14:paraId="1B7A0630" w14:textId="77777777" w:rsidR="00583ABC" w:rsidRPr="001C458B" w:rsidRDefault="00583ABC" w:rsidP="001626FB">
            <w:pPr>
              <w:jc w:val="both"/>
              <w:rPr>
                <w:rFonts w:ascii="Garamond" w:hAnsi="Garamond"/>
                <w:sz w:val="24"/>
                <w:szCs w:val="24"/>
                <w:lang w:val="sq-AL"/>
              </w:rPr>
            </w:pPr>
          </w:p>
        </w:tc>
        <w:tc>
          <w:tcPr>
            <w:tcW w:w="1326" w:type="dxa"/>
          </w:tcPr>
          <w:p w14:paraId="334C11F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w:t>
            </w:r>
          </w:p>
        </w:tc>
        <w:tc>
          <w:tcPr>
            <w:tcW w:w="1842" w:type="dxa"/>
          </w:tcPr>
          <w:p w14:paraId="08590E5D" w14:textId="77777777" w:rsidR="00583ABC" w:rsidRPr="001C458B" w:rsidRDefault="00583ABC" w:rsidP="001626FB">
            <w:pPr>
              <w:jc w:val="both"/>
              <w:rPr>
                <w:rFonts w:ascii="Garamond" w:hAnsi="Garamond"/>
                <w:sz w:val="24"/>
                <w:szCs w:val="24"/>
                <w:lang w:val="sq-AL"/>
              </w:rPr>
            </w:pPr>
          </w:p>
        </w:tc>
        <w:tc>
          <w:tcPr>
            <w:tcW w:w="1417" w:type="dxa"/>
          </w:tcPr>
          <w:p w14:paraId="5B88C805" w14:textId="77777777" w:rsidR="00583ABC" w:rsidRPr="001C458B" w:rsidRDefault="00583ABC" w:rsidP="001626FB">
            <w:pPr>
              <w:jc w:val="both"/>
              <w:rPr>
                <w:rFonts w:ascii="Garamond" w:hAnsi="Garamond"/>
                <w:sz w:val="24"/>
                <w:szCs w:val="24"/>
                <w:lang w:val="sq-AL"/>
              </w:rPr>
            </w:pPr>
          </w:p>
        </w:tc>
      </w:tr>
      <w:tr w:rsidR="00583ABC" w:rsidRPr="001C458B" w14:paraId="7925EC0B" w14:textId="77777777" w:rsidTr="00557377">
        <w:tc>
          <w:tcPr>
            <w:tcW w:w="1259" w:type="dxa"/>
          </w:tcPr>
          <w:p w14:paraId="0920F5F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w:t>
            </w:r>
          </w:p>
        </w:tc>
        <w:tc>
          <w:tcPr>
            <w:tcW w:w="1886" w:type="dxa"/>
          </w:tcPr>
          <w:p w14:paraId="5087E9D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Y</w:t>
            </w:r>
          </w:p>
        </w:tc>
        <w:tc>
          <w:tcPr>
            <w:tcW w:w="1350" w:type="dxa"/>
          </w:tcPr>
          <w:p w14:paraId="09233F1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1,080,000</w:t>
            </w:r>
          </w:p>
        </w:tc>
        <w:tc>
          <w:tcPr>
            <w:tcW w:w="270" w:type="dxa"/>
          </w:tcPr>
          <w:p w14:paraId="2838289A" w14:textId="77777777" w:rsidR="00583ABC" w:rsidRPr="001C458B" w:rsidRDefault="00583ABC" w:rsidP="001626FB">
            <w:pPr>
              <w:jc w:val="both"/>
              <w:rPr>
                <w:rFonts w:ascii="Garamond" w:hAnsi="Garamond"/>
                <w:sz w:val="24"/>
                <w:szCs w:val="24"/>
                <w:lang w:val="sq-AL"/>
              </w:rPr>
            </w:pPr>
          </w:p>
        </w:tc>
        <w:tc>
          <w:tcPr>
            <w:tcW w:w="1326" w:type="dxa"/>
          </w:tcPr>
          <w:p w14:paraId="0D7A6E3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w:t>
            </w:r>
          </w:p>
        </w:tc>
        <w:tc>
          <w:tcPr>
            <w:tcW w:w="1842" w:type="dxa"/>
          </w:tcPr>
          <w:p w14:paraId="2CE31EC1" w14:textId="77777777" w:rsidR="00583ABC" w:rsidRPr="001C458B" w:rsidRDefault="00583ABC" w:rsidP="001626FB">
            <w:pPr>
              <w:jc w:val="both"/>
              <w:rPr>
                <w:rFonts w:ascii="Garamond" w:hAnsi="Garamond"/>
                <w:sz w:val="24"/>
                <w:szCs w:val="24"/>
                <w:lang w:val="sq-AL"/>
              </w:rPr>
            </w:pPr>
          </w:p>
        </w:tc>
        <w:tc>
          <w:tcPr>
            <w:tcW w:w="1417" w:type="dxa"/>
          </w:tcPr>
          <w:p w14:paraId="201FA5BC" w14:textId="77777777" w:rsidR="00583ABC" w:rsidRPr="001C458B" w:rsidRDefault="00583ABC" w:rsidP="001626FB">
            <w:pPr>
              <w:jc w:val="both"/>
              <w:rPr>
                <w:rFonts w:ascii="Garamond" w:hAnsi="Garamond"/>
                <w:sz w:val="24"/>
                <w:szCs w:val="24"/>
                <w:lang w:val="sq-AL"/>
              </w:rPr>
            </w:pPr>
          </w:p>
        </w:tc>
      </w:tr>
      <w:tr w:rsidR="00583ABC" w:rsidRPr="001C458B" w14:paraId="30133F8A" w14:textId="77777777" w:rsidTr="00557377">
        <w:tc>
          <w:tcPr>
            <w:tcW w:w="1259" w:type="dxa"/>
          </w:tcPr>
          <w:p w14:paraId="3EDD5E8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w:t>
            </w:r>
          </w:p>
        </w:tc>
        <w:tc>
          <w:tcPr>
            <w:tcW w:w="1886" w:type="dxa"/>
          </w:tcPr>
          <w:p w14:paraId="4D8036A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Z</w:t>
            </w:r>
          </w:p>
        </w:tc>
        <w:tc>
          <w:tcPr>
            <w:tcW w:w="1350" w:type="dxa"/>
          </w:tcPr>
          <w:p w14:paraId="4ABEC90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570,000</w:t>
            </w:r>
          </w:p>
        </w:tc>
        <w:tc>
          <w:tcPr>
            <w:tcW w:w="270" w:type="dxa"/>
          </w:tcPr>
          <w:p w14:paraId="14327872" w14:textId="77777777" w:rsidR="00583ABC" w:rsidRPr="001C458B" w:rsidRDefault="00583ABC" w:rsidP="001626FB">
            <w:pPr>
              <w:jc w:val="both"/>
              <w:rPr>
                <w:rFonts w:ascii="Garamond" w:hAnsi="Garamond"/>
                <w:sz w:val="24"/>
                <w:szCs w:val="24"/>
                <w:lang w:val="sq-AL"/>
              </w:rPr>
            </w:pPr>
          </w:p>
        </w:tc>
        <w:tc>
          <w:tcPr>
            <w:tcW w:w="1326" w:type="dxa"/>
          </w:tcPr>
          <w:p w14:paraId="6F4366A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w:t>
            </w:r>
          </w:p>
        </w:tc>
        <w:tc>
          <w:tcPr>
            <w:tcW w:w="1842" w:type="dxa"/>
          </w:tcPr>
          <w:p w14:paraId="07C6328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Derivativ</w:t>
            </w:r>
          </w:p>
        </w:tc>
        <w:tc>
          <w:tcPr>
            <w:tcW w:w="1417" w:type="dxa"/>
          </w:tcPr>
          <w:p w14:paraId="598DCD8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r>
      <w:tr w:rsidR="00583ABC" w:rsidRPr="001C458B" w14:paraId="27630236" w14:textId="77777777" w:rsidTr="00557377">
        <w:tc>
          <w:tcPr>
            <w:tcW w:w="1259" w:type="dxa"/>
          </w:tcPr>
          <w:p w14:paraId="6D79562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5=2+3+4</w:t>
            </w:r>
          </w:p>
        </w:tc>
        <w:tc>
          <w:tcPr>
            <w:tcW w:w="1886" w:type="dxa"/>
          </w:tcPr>
          <w:p w14:paraId="62EA881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 i EPSHK-ve në juridiksion të huaj</w:t>
            </w:r>
          </w:p>
        </w:tc>
        <w:tc>
          <w:tcPr>
            <w:tcW w:w="1350" w:type="dxa"/>
          </w:tcPr>
          <w:p w14:paraId="5A7361C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1,800,000</w:t>
            </w:r>
          </w:p>
        </w:tc>
        <w:tc>
          <w:tcPr>
            <w:tcW w:w="270" w:type="dxa"/>
          </w:tcPr>
          <w:p w14:paraId="177AC219" w14:textId="77777777" w:rsidR="00583ABC" w:rsidRPr="001C458B" w:rsidRDefault="00583ABC" w:rsidP="001626FB">
            <w:pPr>
              <w:jc w:val="both"/>
              <w:rPr>
                <w:rFonts w:ascii="Garamond" w:hAnsi="Garamond"/>
                <w:sz w:val="24"/>
                <w:szCs w:val="24"/>
                <w:lang w:val="sq-AL"/>
              </w:rPr>
            </w:pPr>
          </w:p>
        </w:tc>
        <w:tc>
          <w:tcPr>
            <w:tcW w:w="1326" w:type="dxa"/>
          </w:tcPr>
          <w:p w14:paraId="5B74F26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5=1+2+3+4</w:t>
            </w:r>
          </w:p>
        </w:tc>
        <w:tc>
          <w:tcPr>
            <w:tcW w:w="1842" w:type="dxa"/>
          </w:tcPr>
          <w:p w14:paraId="3084318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w:t>
            </w:r>
          </w:p>
        </w:tc>
        <w:tc>
          <w:tcPr>
            <w:tcW w:w="1417" w:type="dxa"/>
          </w:tcPr>
          <w:p w14:paraId="5A6D1F9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50,000</w:t>
            </w:r>
          </w:p>
        </w:tc>
      </w:tr>
      <w:tr w:rsidR="00583ABC" w:rsidRPr="001C458B" w14:paraId="4BF60210" w14:textId="77777777" w:rsidTr="00557377">
        <w:tc>
          <w:tcPr>
            <w:tcW w:w="1259" w:type="dxa"/>
          </w:tcPr>
          <w:p w14:paraId="1C58973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6</w:t>
            </w:r>
          </w:p>
        </w:tc>
        <w:tc>
          <w:tcPr>
            <w:tcW w:w="1886" w:type="dxa"/>
          </w:tcPr>
          <w:p w14:paraId="0DAE5C1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 i EPSHK-ve</w:t>
            </w:r>
          </w:p>
        </w:tc>
        <w:tc>
          <w:tcPr>
            <w:tcW w:w="1350" w:type="dxa"/>
          </w:tcPr>
          <w:p w14:paraId="750FDE4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5,730,000</w:t>
            </w:r>
          </w:p>
        </w:tc>
        <w:tc>
          <w:tcPr>
            <w:tcW w:w="270" w:type="dxa"/>
          </w:tcPr>
          <w:p w14:paraId="7CCE6623" w14:textId="77777777" w:rsidR="00583ABC" w:rsidRPr="001C458B" w:rsidRDefault="00583ABC" w:rsidP="001626FB">
            <w:pPr>
              <w:jc w:val="both"/>
              <w:rPr>
                <w:rFonts w:ascii="Garamond" w:hAnsi="Garamond"/>
                <w:sz w:val="24"/>
                <w:szCs w:val="24"/>
                <w:lang w:val="sq-AL"/>
              </w:rPr>
            </w:pPr>
          </w:p>
        </w:tc>
        <w:tc>
          <w:tcPr>
            <w:tcW w:w="1326" w:type="dxa"/>
          </w:tcPr>
          <w:p w14:paraId="153136B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6</w:t>
            </w:r>
          </w:p>
        </w:tc>
        <w:tc>
          <w:tcPr>
            <w:tcW w:w="1842" w:type="dxa"/>
          </w:tcPr>
          <w:p w14:paraId="1C0DCB6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 i EPSHK-ve</w:t>
            </w:r>
          </w:p>
        </w:tc>
        <w:tc>
          <w:tcPr>
            <w:tcW w:w="1417" w:type="dxa"/>
          </w:tcPr>
          <w:p w14:paraId="5840E09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5,280,000</w:t>
            </w:r>
          </w:p>
        </w:tc>
      </w:tr>
      <w:tr w:rsidR="00583ABC" w:rsidRPr="001C458B" w14:paraId="1879045B" w14:textId="77777777" w:rsidTr="00557377">
        <w:tc>
          <w:tcPr>
            <w:tcW w:w="1259" w:type="dxa"/>
          </w:tcPr>
          <w:p w14:paraId="37B9F28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7=5/6*100</w:t>
            </w:r>
          </w:p>
        </w:tc>
        <w:tc>
          <w:tcPr>
            <w:tcW w:w="1886" w:type="dxa"/>
          </w:tcPr>
          <w:p w14:paraId="739A399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Raporti</w:t>
            </w:r>
          </w:p>
        </w:tc>
        <w:tc>
          <w:tcPr>
            <w:tcW w:w="1350" w:type="dxa"/>
          </w:tcPr>
          <w:p w14:paraId="7EA1906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31.4%</w:t>
            </w:r>
          </w:p>
        </w:tc>
        <w:tc>
          <w:tcPr>
            <w:tcW w:w="270" w:type="dxa"/>
          </w:tcPr>
          <w:p w14:paraId="172CD0C0" w14:textId="77777777" w:rsidR="00583ABC" w:rsidRPr="001C458B" w:rsidRDefault="00583ABC" w:rsidP="001626FB">
            <w:pPr>
              <w:jc w:val="both"/>
              <w:rPr>
                <w:rFonts w:ascii="Garamond" w:hAnsi="Garamond"/>
                <w:sz w:val="24"/>
                <w:szCs w:val="24"/>
                <w:lang w:val="sq-AL"/>
              </w:rPr>
            </w:pPr>
          </w:p>
        </w:tc>
        <w:tc>
          <w:tcPr>
            <w:tcW w:w="1326" w:type="dxa"/>
          </w:tcPr>
          <w:p w14:paraId="2D5124C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7=5/6*100</w:t>
            </w:r>
          </w:p>
        </w:tc>
        <w:tc>
          <w:tcPr>
            <w:tcW w:w="1842" w:type="dxa"/>
          </w:tcPr>
          <w:p w14:paraId="1CFD982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Raporti</w:t>
            </w:r>
          </w:p>
        </w:tc>
        <w:tc>
          <w:tcPr>
            <w:tcW w:w="1417" w:type="dxa"/>
          </w:tcPr>
          <w:p w14:paraId="47C2D52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0.95%</w:t>
            </w:r>
          </w:p>
        </w:tc>
      </w:tr>
      <w:tr w:rsidR="00583ABC" w:rsidRPr="001C458B" w14:paraId="14EE414E" w14:textId="77777777" w:rsidTr="00557377">
        <w:tc>
          <w:tcPr>
            <w:tcW w:w="1259" w:type="dxa"/>
          </w:tcPr>
          <w:p w14:paraId="75A8C4D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w:t>
            </w:r>
          </w:p>
        </w:tc>
        <w:tc>
          <w:tcPr>
            <w:tcW w:w="1886" w:type="dxa"/>
          </w:tcPr>
          <w:p w14:paraId="66944545" w14:textId="51BC3794" w:rsidR="00583ABC" w:rsidRPr="001C458B" w:rsidRDefault="002F412C" w:rsidP="001626FB">
            <w:pPr>
              <w:jc w:val="both"/>
              <w:rPr>
                <w:rFonts w:ascii="Garamond" w:hAnsi="Garamond"/>
                <w:sz w:val="24"/>
                <w:szCs w:val="24"/>
                <w:lang w:val="sq-AL"/>
              </w:rPr>
            </w:pPr>
            <w:r>
              <w:rPr>
                <w:rFonts w:ascii="Garamond" w:hAnsi="Garamond"/>
                <w:sz w:val="24"/>
                <w:szCs w:val="24"/>
                <w:lang w:val="sq-AL"/>
              </w:rPr>
              <w:t>Vlera sipas nenit 13, parag.6/a/i</w:t>
            </w:r>
          </w:p>
        </w:tc>
        <w:tc>
          <w:tcPr>
            <w:tcW w:w="1350" w:type="dxa"/>
          </w:tcPr>
          <w:p w14:paraId="613247E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w:t>
            </w:r>
          </w:p>
        </w:tc>
        <w:tc>
          <w:tcPr>
            <w:tcW w:w="270" w:type="dxa"/>
          </w:tcPr>
          <w:p w14:paraId="60FD289B" w14:textId="77777777" w:rsidR="00583ABC" w:rsidRPr="001C458B" w:rsidRDefault="00583ABC" w:rsidP="001626FB">
            <w:pPr>
              <w:jc w:val="both"/>
              <w:rPr>
                <w:rFonts w:ascii="Garamond" w:hAnsi="Garamond"/>
                <w:sz w:val="24"/>
                <w:szCs w:val="24"/>
                <w:lang w:val="sq-AL"/>
              </w:rPr>
            </w:pPr>
          </w:p>
        </w:tc>
        <w:tc>
          <w:tcPr>
            <w:tcW w:w="1326" w:type="dxa"/>
          </w:tcPr>
          <w:p w14:paraId="6B0BAB4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w:t>
            </w:r>
          </w:p>
        </w:tc>
        <w:tc>
          <w:tcPr>
            <w:tcW w:w="1842" w:type="dxa"/>
          </w:tcPr>
          <w:p w14:paraId="39B6D55A" w14:textId="675286DD"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 xml:space="preserve">Vlera </w:t>
            </w:r>
            <w:r w:rsidR="002F412C">
              <w:rPr>
                <w:rFonts w:ascii="Garamond" w:hAnsi="Garamond"/>
                <w:sz w:val="24"/>
                <w:szCs w:val="24"/>
                <w:lang w:val="sq-AL"/>
              </w:rPr>
              <w:t>kufi sipas nenit 13, parag. 6/a/ii</w:t>
            </w:r>
          </w:p>
        </w:tc>
        <w:tc>
          <w:tcPr>
            <w:tcW w:w="1417" w:type="dxa"/>
          </w:tcPr>
          <w:p w14:paraId="3623C2A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w:t>
            </w:r>
          </w:p>
        </w:tc>
      </w:tr>
      <w:tr w:rsidR="00583ABC" w:rsidRPr="001C458B" w14:paraId="183D8102" w14:textId="77777777" w:rsidTr="00557377">
        <w:tc>
          <w:tcPr>
            <w:tcW w:w="1259" w:type="dxa"/>
          </w:tcPr>
          <w:p w14:paraId="134C044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9</w:t>
            </w:r>
          </w:p>
        </w:tc>
        <w:tc>
          <w:tcPr>
            <w:tcW w:w="1886" w:type="dxa"/>
          </w:tcPr>
          <w:p w14:paraId="664C3749" w14:textId="676EA1B1"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Nëse nr.7 ≤ nr.8, MUND të vepr</w:t>
            </w:r>
            <w:r w:rsidR="002F412C">
              <w:rPr>
                <w:rFonts w:ascii="Garamond" w:hAnsi="Garamond"/>
                <w:sz w:val="24"/>
                <w:szCs w:val="24"/>
                <w:lang w:val="sq-AL"/>
              </w:rPr>
              <w:t>ohet sipas nenit 13, parag.6/c</w:t>
            </w:r>
          </w:p>
        </w:tc>
        <w:tc>
          <w:tcPr>
            <w:tcW w:w="1350" w:type="dxa"/>
          </w:tcPr>
          <w:p w14:paraId="14F1C72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Nuk ka veprim</w:t>
            </w:r>
          </w:p>
        </w:tc>
        <w:tc>
          <w:tcPr>
            <w:tcW w:w="270" w:type="dxa"/>
          </w:tcPr>
          <w:p w14:paraId="1A7228FE" w14:textId="77777777" w:rsidR="00583ABC" w:rsidRPr="001C458B" w:rsidRDefault="00583ABC" w:rsidP="001626FB">
            <w:pPr>
              <w:jc w:val="both"/>
              <w:rPr>
                <w:rFonts w:ascii="Garamond" w:hAnsi="Garamond"/>
                <w:sz w:val="24"/>
                <w:szCs w:val="24"/>
                <w:lang w:val="sq-AL"/>
              </w:rPr>
            </w:pPr>
          </w:p>
        </w:tc>
        <w:tc>
          <w:tcPr>
            <w:tcW w:w="1326" w:type="dxa"/>
          </w:tcPr>
          <w:p w14:paraId="289B5B7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9</w:t>
            </w:r>
          </w:p>
        </w:tc>
        <w:tc>
          <w:tcPr>
            <w:tcW w:w="1842" w:type="dxa"/>
          </w:tcPr>
          <w:p w14:paraId="6B117B43" w14:textId="7DD31249"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Nëse nr.7 ≤ nr.8, MUND të vepr</w:t>
            </w:r>
            <w:r w:rsidR="002F412C">
              <w:rPr>
                <w:rFonts w:ascii="Garamond" w:hAnsi="Garamond"/>
                <w:sz w:val="24"/>
                <w:szCs w:val="24"/>
                <w:lang w:val="sq-AL"/>
              </w:rPr>
              <w:t>ohet sipas nenit 13, parag.6/c</w:t>
            </w:r>
          </w:p>
        </w:tc>
        <w:tc>
          <w:tcPr>
            <w:tcW w:w="1417" w:type="dxa"/>
          </w:tcPr>
          <w:p w14:paraId="18B2A3AA" w14:textId="01ECF8AE" w:rsidR="00583ABC" w:rsidRPr="001C458B" w:rsidRDefault="00583ABC" w:rsidP="00E877E5">
            <w:pPr>
              <w:jc w:val="both"/>
              <w:rPr>
                <w:rFonts w:ascii="Garamond" w:hAnsi="Garamond"/>
                <w:sz w:val="24"/>
                <w:szCs w:val="24"/>
                <w:lang w:val="sq-AL"/>
              </w:rPr>
            </w:pPr>
            <w:r w:rsidRPr="001C458B">
              <w:rPr>
                <w:rFonts w:ascii="Garamond" w:hAnsi="Garamond"/>
                <w:sz w:val="24"/>
                <w:szCs w:val="24"/>
                <w:lang w:val="sq-AL"/>
              </w:rPr>
              <w:t>Banka zgjedh të përfshijë eksp e derivativit te Shqipëria</w:t>
            </w:r>
          </w:p>
        </w:tc>
      </w:tr>
    </w:tbl>
    <w:p w14:paraId="0A8AF1D0" w14:textId="77777777" w:rsidR="00583ABC" w:rsidRPr="001C458B" w:rsidRDefault="00583ABC" w:rsidP="003D1B12">
      <w:pPr>
        <w:spacing w:after="0" w:line="240" w:lineRule="auto"/>
        <w:ind w:firstLine="284"/>
        <w:jc w:val="both"/>
        <w:rPr>
          <w:rFonts w:ascii="Garamond" w:hAnsi="Garamond"/>
          <w:sz w:val="24"/>
          <w:szCs w:val="24"/>
          <w:lang w:val="sq-AL"/>
        </w:rPr>
      </w:pPr>
    </w:p>
    <w:p w14:paraId="0F6B6200" w14:textId="0F7011AC"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Si rezultat, nuk plotësohet kushti i nenit 13, paragr</w:t>
      </w:r>
      <w:r w:rsidR="002F412C">
        <w:rPr>
          <w:rFonts w:ascii="Garamond" w:hAnsi="Garamond"/>
          <w:sz w:val="24"/>
          <w:szCs w:val="24"/>
          <w:lang w:val="sq-AL"/>
        </w:rPr>
        <w:t>afi 6/a/i</w:t>
      </w:r>
      <w:r w:rsidRPr="001C458B">
        <w:rPr>
          <w:rFonts w:ascii="Garamond" w:hAnsi="Garamond"/>
          <w:sz w:val="24"/>
          <w:szCs w:val="24"/>
          <w:lang w:val="sq-AL"/>
        </w:rPr>
        <w:t>, por plotësohet ai i nenit 13, paragrafi</w:t>
      </w:r>
      <w:r w:rsidRPr="001C458B" w:rsidDel="00441D38">
        <w:rPr>
          <w:rFonts w:ascii="Garamond" w:hAnsi="Garamond"/>
          <w:sz w:val="24"/>
          <w:szCs w:val="24"/>
          <w:lang w:val="sq-AL"/>
        </w:rPr>
        <w:t xml:space="preserve"> </w:t>
      </w:r>
      <w:r w:rsidR="002F412C">
        <w:rPr>
          <w:rFonts w:ascii="Garamond" w:hAnsi="Garamond"/>
          <w:sz w:val="24"/>
          <w:szCs w:val="24"/>
          <w:lang w:val="sq-AL"/>
        </w:rPr>
        <w:t>6/a/ii</w:t>
      </w:r>
      <w:r w:rsidRPr="001C458B">
        <w:rPr>
          <w:rFonts w:ascii="Garamond" w:hAnsi="Garamond"/>
          <w:sz w:val="24"/>
          <w:szCs w:val="24"/>
          <w:lang w:val="sq-AL"/>
        </w:rPr>
        <w:t>. Në vijim, banka zgjedh ta përfshijë vlerën e ekspozimit të Derivativit (50,000 ALL), si ekspozim në juridiksionin e bankës, pra si ekspozim në Shqipëri.</w:t>
      </w:r>
    </w:p>
    <w:p w14:paraId="259B5EA3"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5: Përcaktimi i AKUNC</w:t>
      </w:r>
    </w:p>
    <w:tbl>
      <w:tblPr>
        <w:tblStyle w:val="TableGrid1"/>
        <w:tblW w:w="0" w:type="auto"/>
        <w:tblLook w:val="04A0" w:firstRow="1" w:lastRow="0" w:firstColumn="1" w:lastColumn="0" w:noHBand="0" w:noVBand="1"/>
      </w:tblPr>
      <w:tblGrid>
        <w:gridCol w:w="1967"/>
        <w:gridCol w:w="1855"/>
        <w:gridCol w:w="1582"/>
        <w:gridCol w:w="1670"/>
        <w:gridCol w:w="1449"/>
      </w:tblGrid>
      <w:tr w:rsidR="00583ABC" w:rsidRPr="001C458B" w14:paraId="18E29C88" w14:textId="77777777" w:rsidTr="00557377">
        <w:tc>
          <w:tcPr>
            <w:tcW w:w="1980" w:type="dxa"/>
          </w:tcPr>
          <w:p w14:paraId="548A556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Shteti/Juridiksioni</w:t>
            </w:r>
          </w:p>
        </w:tc>
        <w:tc>
          <w:tcPr>
            <w:tcW w:w="2107" w:type="dxa"/>
          </w:tcPr>
          <w:p w14:paraId="59FA2CA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Autoriteti i vendit</w:t>
            </w:r>
          </w:p>
        </w:tc>
        <w:tc>
          <w:tcPr>
            <w:tcW w:w="1815" w:type="dxa"/>
          </w:tcPr>
          <w:p w14:paraId="6D8ECD6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KUNC</w:t>
            </w:r>
          </w:p>
        </w:tc>
        <w:tc>
          <w:tcPr>
            <w:tcW w:w="1878" w:type="dxa"/>
          </w:tcPr>
          <w:p w14:paraId="1A6B4CCD" w14:textId="062D577D" w:rsidR="00583ABC" w:rsidRPr="001C458B" w:rsidRDefault="002F412C" w:rsidP="001626FB">
            <w:pPr>
              <w:jc w:val="both"/>
              <w:rPr>
                <w:rFonts w:ascii="Garamond" w:hAnsi="Garamond"/>
                <w:sz w:val="24"/>
                <w:szCs w:val="24"/>
                <w:lang w:val="sq-AL"/>
              </w:rPr>
            </w:pPr>
            <w:r>
              <w:rPr>
                <w:rFonts w:ascii="Garamond" w:hAnsi="Garamond"/>
                <w:sz w:val="24"/>
                <w:szCs w:val="24"/>
                <w:lang w:val="sq-AL"/>
              </w:rPr>
              <w:t>AKUNC 2021</w:t>
            </w:r>
          </w:p>
        </w:tc>
        <w:tc>
          <w:tcPr>
            <w:tcW w:w="1570" w:type="dxa"/>
          </w:tcPr>
          <w:p w14:paraId="216E208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Komente</w:t>
            </w:r>
          </w:p>
        </w:tc>
      </w:tr>
      <w:tr w:rsidR="00583ABC" w:rsidRPr="001C458B" w14:paraId="1D061FF0" w14:textId="77777777" w:rsidTr="00557377">
        <w:tc>
          <w:tcPr>
            <w:tcW w:w="1980" w:type="dxa"/>
          </w:tcPr>
          <w:p w14:paraId="489BDDC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2107" w:type="dxa"/>
          </w:tcPr>
          <w:p w14:paraId="1E98FDD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BSH</w:t>
            </w:r>
          </w:p>
        </w:tc>
        <w:tc>
          <w:tcPr>
            <w:tcW w:w="1815" w:type="dxa"/>
          </w:tcPr>
          <w:p w14:paraId="6E4F821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878" w:type="dxa"/>
          </w:tcPr>
          <w:p w14:paraId="7B3F7E4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570" w:type="dxa"/>
          </w:tcPr>
          <w:p w14:paraId="4DDC71C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Shiko Tabelën</w:t>
            </w:r>
          </w:p>
        </w:tc>
      </w:tr>
      <w:tr w:rsidR="00583ABC" w:rsidRPr="001C458B" w14:paraId="11AD907C" w14:textId="77777777" w:rsidTr="00557377">
        <w:tc>
          <w:tcPr>
            <w:tcW w:w="1980" w:type="dxa"/>
          </w:tcPr>
          <w:p w14:paraId="0F03ED9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X</w:t>
            </w:r>
          </w:p>
        </w:tc>
        <w:tc>
          <w:tcPr>
            <w:tcW w:w="2107" w:type="dxa"/>
          </w:tcPr>
          <w:p w14:paraId="24BE849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Alfa</w:t>
            </w:r>
          </w:p>
        </w:tc>
        <w:tc>
          <w:tcPr>
            <w:tcW w:w="1815" w:type="dxa"/>
          </w:tcPr>
          <w:p w14:paraId="3BF03F7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878" w:type="dxa"/>
          </w:tcPr>
          <w:p w14:paraId="0ABF5FB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570" w:type="dxa"/>
          </w:tcPr>
          <w:p w14:paraId="6AC7E51E" w14:textId="77777777" w:rsidR="00583ABC" w:rsidRPr="001C458B" w:rsidRDefault="00583ABC" w:rsidP="001626FB">
            <w:pPr>
              <w:jc w:val="both"/>
              <w:rPr>
                <w:rFonts w:ascii="Garamond" w:hAnsi="Garamond"/>
                <w:sz w:val="24"/>
                <w:szCs w:val="24"/>
                <w:lang w:val="sq-AL"/>
              </w:rPr>
            </w:pPr>
          </w:p>
        </w:tc>
      </w:tr>
      <w:tr w:rsidR="00583ABC" w:rsidRPr="001C458B" w14:paraId="1E91DC83" w14:textId="77777777" w:rsidTr="00557377">
        <w:tc>
          <w:tcPr>
            <w:tcW w:w="1980" w:type="dxa"/>
          </w:tcPr>
          <w:p w14:paraId="4A8C9DC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Y</w:t>
            </w:r>
          </w:p>
        </w:tc>
        <w:tc>
          <w:tcPr>
            <w:tcW w:w="2107" w:type="dxa"/>
          </w:tcPr>
          <w:p w14:paraId="0F8D554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Beta</w:t>
            </w:r>
          </w:p>
        </w:tc>
        <w:tc>
          <w:tcPr>
            <w:tcW w:w="1815" w:type="dxa"/>
          </w:tcPr>
          <w:p w14:paraId="3C0E306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878" w:type="dxa"/>
          </w:tcPr>
          <w:p w14:paraId="0764D46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570" w:type="dxa"/>
          </w:tcPr>
          <w:p w14:paraId="4235A1ED" w14:textId="77777777" w:rsidR="00583ABC" w:rsidRPr="001C458B" w:rsidRDefault="00583ABC" w:rsidP="001626FB">
            <w:pPr>
              <w:jc w:val="both"/>
              <w:rPr>
                <w:rFonts w:ascii="Garamond" w:hAnsi="Garamond"/>
                <w:sz w:val="24"/>
                <w:szCs w:val="24"/>
                <w:lang w:val="sq-AL"/>
              </w:rPr>
            </w:pPr>
          </w:p>
        </w:tc>
      </w:tr>
      <w:tr w:rsidR="00583ABC" w:rsidRPr="001C458B" w14:paraId="41582CED" w14:textId="77777777" w:rsidTr="00557377">
        <w:tc>
          <w:tcPr>
            <w:tcW w:w="1980" w:type="dxa"/>
          </w:tcPr>
          <w:p w14:paraId="5CC5582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Z</w:t>
            </w:r>
          </w:p>
        </w:tc>
        <w:tc>
          <w:tcPr>
            <w:tcW w:w="2107" w:type="dxa"/>
          </w:tcPr>
          <w:p w14:paraId="19D3530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Gama</w:t>
            </w:r>
          </w:p>
        </w:tc>
        <w:tc>
          <w:tcPr>
            <w:tcW w:w="1815" w:type="dxa"/>
          </w:tcPr>
          <w:p w14:paraId="5B24968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878" w:type="dxa"/>
          </w:tcPr>
          <w:p w14:paraId="25B0476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570" w:type="dxa"/>
          </w:tcPr>
          <w:p w14:paraId="76AF6239" w14:textId="77777777" w:rsidR="00583ABC" w:rsidRPr="001C458B" w:rsidRDefault="00583ABC" w:rsidP="001626FB">
            <w:pPr>
              <w:jc w:val="both"/>
              <w:rPr>
                <w:rFonts w:ascii="Garamond" w:hAnsi="Garamond"/>
                <w:sz w:val="24"/>
                <w:szCs w:val="24"/>
                <w:lang w:val="sq-AL"/>
              </w:rPr>
            </w:pPr>
          </w:p>
        </w:tc>
      </w:tr>
    </w:tbl>
    <w:p w14:paraId="6EC062A0" w14:textId="77777777" w:rsidR="00583ABC" w:rsidRPr="001C458B" w:rsidRDefault="00583ABC" w:rsidP="003D1B12">
      <w:pPr>
        <w:spacing w:after="0" w:line="240" w:lineRule="auto"/>
        <w:ind w:firstLine="284"/>
        <w:jc w:val="both"/>
        <w:rPr>
          <w:rFonts w:ascii="Garamond" w:hAnsi="Garamond"/>
          <w:sz w:val="24"/>
          <w:szCs w:val="24"/>
          <w:lang w:val="sq-AL"/>
        </w:rPr>
      </w:pPr>
    </w:p>
    <w:p w14:paraId="259C948D"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6: Përcaktimi i SPEKUNC</w:t>
      </w:r>
      <w:r w:rsidRPr="00685834">
        <w:rPr>
          <w:rFonts w:ascii="Garamond" w:hAnsi="Garamond"/>
          <w:sz w:val="24"/>
          <w:szCs w:val="24"/>
          <w:vertAlign w:val="superscript"/>
          <w:lang w:val="sq-AL"/>
        </w:rPr>
        <w:footnoteReference w:id="3"/>
      </w:r>
    </w:p>
    <w:tbl>
      <w:tblPr>
        <w:tblStyle w:val="TableGrid1"/>
        <w:tblW w:w="0" w:type="auto"/>
        <w:tblLook w:val="04A0" w:firstRow="1" w:lastRow="0" w:firstColumn="1" w:lastColumn="0" w:noHBand="0" w:noVBand="1"/>
      </w:tblPr>
      <w:tblGrid>
        <w:gridCol w:w="2258"/>
        <w:gridCol w:w="2038"/>
        <w:gridCol w:w="2090"/>
        <w:gridCol w:w="2137"/>
      </w:tblGrid>
      <w:tr w:rsidR="00583ABC" w:rsidRPr="001C458B" w14:paraId="3909ED84" w14:textId="77777777" w:rsidTr="00557377">
        <w:tc>
          <w:tcPr>
            <w:tcW w:w="2337" w:type="dxa"/>
          </w:tcPr>
          <w:p w14:paraId="02FBB63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Shteti/Juridiksioni</w:t>
            </w:r>
          </w:p>
        </w:tc>
        <w:tc>
          <w:tcPr>
            <w:tcW w:w="2337" w:type="dxa"/>
          </w:tcPr>
          <w:p w14:paraId="0D8A69C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Në % ndaj totalit të KPK-ve</w:t>
            </w:r>
          </w:p>
        </w:tc>
        <w:tc>
          <w:tcPr>
            <w:tcW w:w="2338" w:type="dxa"/>
          </w:tcPr>
          <w:p w14:paraId="1207915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AKUNC</w:t>
            </w:r>
          </w:p>
        </w:tc>
        <w:tc>
          <w:tcPr>
            <w:tcW w:w="2338" w:type="dxa"/>
          </w:tcPr>
          <w:p w14:paraId="475F95F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SPEKUNC</w:t>
            </w:r>
          </w:p>
        </w:tc>
      </w:tr>
      <w:tr w:rsidR="00583ABC" w:rsidRPr="001C458B" w14:paraId="40BE4ECF" w14:textId="77777777" w:rsidTr="00557377">
        <w:tc>
          <w:tcPr>
            <w:tcW w:w="2337" w:type="dxa"/>
          </w:tcPr>
          <w:p w14:paraId="4CE9BC4A" w14:textId="1C9DEB2E" w:rsidR="00583ABC" w:rsidRPr="001C458B" w:rsidRDefault="002F412C" w:rsidP="001626FB">
            <w:pPr>
              <w:jc w:val="both"/>
              <w:rPr>
                <w:rFonts w:ascii="Garamond" w:hAnsi="Garamond"/>
                <w:sz w:val="24"/>
                <w:szCs w:val="24"/>
                <w:lang w:val="sq-AL"/>
              </w:rPr>
            </w:pPr>
            <w:r>
              <w:rPr>
                <w:rFonts w:ascii="Garamond" w:hAnsi="Garamond"/>
                <w:sz w:val="24"/>
                <w:szCs w:val="24"/>
                <w:lang w:val="sq-AL"/>
              </w:rPr>
              <w:t>1</w:t>
            </w:r>
          </w:p>
        </w:tc>
        <w:tc>
          <w:tcPr>
            <w:tcW w:w="2337" w:type="dxa"/>
          </w:tcPr>
          <w:p w14:paraId="3DE94CD5" w14:textId="66109D30" w:rsidR="00583ABC" w:rsidRPr="001C458B" w:rsidRDefault="002F412C" w:rsidP="001626FB">
            <w:pPr>
              <w:jc w:val="both"/>
              <w:rPr>
                <w:rFonts w:ascii="Garamond" w:hAnsi="Garamond"/>
                <w:sz w:val="24"/>
                <w:szCs w:val="24"/>
                <w:lang w:val="sq-AL"/>
              </w:rPr>
            </w:pPr>
            <w:r>
              <w:rPr>
                <w:rFonts w:ascii="Garamond" w:hAnsi="Garamond"/>
                <w:sz w:val="24"/>
                <w:szCs w:val="24"/>
                <w:lang w:val="sq-AL"/>
              </w:rPr>
              <w:t>2</w:t>
            </w:r>
          </w:p>
        </w:tc>
        <w:tc>
          <w:tcPr>
            <w:tcW w:w="2338" w:type="dxa"/>
          </w:tcPr>
          <w:p w14:paraId="3A355B13" w14:textId="743980B2" w:rsidR="00583ABC" w:rsidRPr="001C458B" w:rsidRDefault="002F412C" w:rsidP="001626FB">
            <w:pPr>
              <w:jc w:val="both"/>
              <w:rPr>
                <w:rFonts w:ascii="Garamond" w:hAnsi="Garamond"/>
                <w:sz w:val="24"/>
                <w:szCs w:val="24"/>
                <w:lang w:val="sq-AL"/>
              </w:rPr>
            </w:pPr>
            <w:r>
              <w:rPr>
                <w:rFonts w:ascii="Garamond" w:hAnsi="Garamond"/>
                <w:sz w:val="24"/>
                <w:szCs w:val="24"/>
                <w:lang w:val="sq-AL"/>
              </w:rPr>
              <w:t>3</w:t>
            </w:r>
          </w:p>
        </w:tc>
        <w:tc>
          <w:tcPr>
            <w:tcW w:w="2338" w:type="dxa"/>
          </w:tcPr>
          <w:p w14:paraId="2BF3BD9F" w14:textId="41CED88F" w:rsidR="00583ABC" w:rsidRPr="001C458B" w:rsidRDefault="002F412C" w:rsidP="001626FB">
            <w:pPr>
              <w:jc w:val="both"/>
              <w:rPr>
                <w:rFonts w:ascii="Garamond" w:hAnsi="Garamond"/>
                <w:sz w:val="24"/>
                <w:szCs w:val="24"/>
                <w:lang w:val="sq-AL"/>
              </w:rPr>
            </w:pPr>
            <w:r>
              <w:rPr>
                <w:rFonts w:ascii="Garamond" w:hAnsi="Garamond"/>
                <w:sz w:val="24"/>
                <w:szCs w:val="24"/>
                <w:lang w:val="sq-AL"/>
              </w:rPr>
              <w:t>4 = 2*3</w:t>
            </w:r>
          </w:p>
        </w:tc>
      </w:tr>
      <w:tr w:rsidR="00583ABC" w:rsidRPr="001C458B" w14:paraId="224C0B4F" w14:textId="77777777" w:rsidTr="00557377">
        <w:tc>
          <w:tcPr>
            <w:tcW w:w="2337" w:type="dxa"/>
          </w:tcPr>
          <w:p w14:paraId="5FE2311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2337" w:type="dxa"/>
          </w:tcPr>
          <w:p w14:paraId="0381392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77%*</w:t>
            </w:r>
          </w:p>
        </w:tc>
        <w:tc>
          <w:tcPr>
            <w:tcW w:w="2338" w:type="dxa"/>
          </w:tcPr>
          <w:p w14:paraId="0F7AA78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2338" w:type="dxa"/>
          </w:tcPr>
          <w:p w14:paraId="6F797A0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0.77%</w:t>
            </w:r>
          </w:p>
        </w:tc>
      </w:tr>
      <w:tr w:rsidR="00583ABC" w:rsidRPr="001C458B" w14:paraId="38BE841A" w14:textId="77777777" w:rsidTr="00557377">
        <w:tc>
          <w:tcPr>
            <w:tcW w:w="2337" w:type="dxa"/>
          </w:tcPr>
          <w:p w14:paraId="5A5A8D5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X</w:t>
            </w:r>
          </w:p>
        </w:tc>
        <w:tc>
          <w:tcPr>
            <w:tcW w:w="2337" w:type="dxa"/>
          </w:tcPr>
          <w:p w14:paraId="5EEE4DC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2.7%</w:t>
            </w:r>
          </w:p>
        </w:tc>
        <w:tc>
          <w:tcPr>
            <w:tcW w:w="2338" w:type="dxa"/>
          </w:tcPr>
          <w:p w14:paraId="772AA414"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2338" w:type="dxa"/>
          </w:tcPr>
          <w:p w14:paraId="39E59CD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0.01%</w:t>
            </w:r>
          </w:p>
        </w:tc>
      </w:tr>
      <w:tr w:rsidR="00583ABC" w:rsidRPr="001C458B" w14:paraId="1FD02C2A" w14:textId="77777777" w:rsidTr="00557377">
        <w:tc>
          <w:tcPr>
            <w:tcW w:w="2337" w:type="dxa"/>
          </w:tcPr>
          <w:p w14:paraId="7FDEA26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Y</w:t>
            </w:r>
          </w:p>
        </w:tc>
        <w:tc>
          <w:tcPr>
            <w:tcW w:w="2337" w:type="dxa"/>
          </w:tcPr>
          <w:p w14:paraId="1B0A064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9.5%</w:t>
            </w:r>
          </w:p>
        </w:tc>
        <w:tc>
          <w:tcPr>
            <w:tcW w:w="2338" w:type="dxa"/>
          </w:tcPr>
          <w:p w14:paraId="6AA024D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2338" w:type="dxa"/>
          </w:tcPr>
          <w:p w14:paraId="1CB3264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0.05%</w:t>
            </w:r>
          </w:p>
        </w:tc>
      </w:tr>
      <w:tr w:rsidR="00583ABC" w:rsidRPr="001C458B" w14:paraId="0B132D48" w14:textId="77777777" w:rsidTr="00557377">
        <w:tc>
          <w:tcPr>
            <w:tcW w:w="2337" w:type="dxa"/>
          </w:tcPr>
          <w:p w14:paraId="103B0DD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Z</w:t>
            </w:r>
          </w:p>
        </w:tc>
        <w:tc>
          <w:tcPr>
            <w:tcW w:w="2337" w:type="dxa"/>
          </w:tcPr>
          <w:p w14:paraId="448ECEF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10.6%</w:t>
            </w:r>
          </w:p>
        </w:tc>
        <w:tc>
          <w:tcPr>
            <w:tcW w:w="2338" w:type="dxa"/>
          </w:tcPr>
          <w:p w14:paraId="35A7B09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2338" w:type="dxa"/>
          </w:tcPr>
          <w:p w14:paraId="7D2EE4F9"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0.05%</w:t>
            </w:r>
          </w:p>
        </w:tc>
      </w:tr>
      <w:tr w:rsidR="00583ABC" w:rsidRPr="001C458B" w14:paraId="709D925E" w14:textId="77777777" w:rsidTr="00557377">
        <w:tc>
          <w:tcPr>
            <w:tcW w:w="2337" w:type="dxa"/>
          </w:tcPr>
          <w:p w14:paraId="79BCCA5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w:t>
            </w:r>
          </w:p>
        </w:tc>
        <w:tc>
          <w:tcPr>
            <w:tcW w:w="2337" w:type="dxa"/>
          </w:tcPr>
          <w:p w14:paraId="5AAB6BB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w:t>
            </w:r>
          </w:p>
        </w:tc>
        <w:tc>
          <w:tcPr>
            <w:tcW w:w="2338" w:type="dxa"/>
          </w:tcPr>
          <w:p w14:paraId="7D50D626" w14:textId="77777777" w:rsidR="00583ABC" w:rsidRPr="001C458B" w:rsidRDefault="00583ABC" w:rsidP="001626FB">
            <w:pPr>
              <w:jc w:val="both"/>
              <w:rPr>
                <w:rFonts w:ascii="Garamond" w:hAnsi="Garamond"/>
                <w:sz w:val="24"/>
                <w:szCs w:val="24"/>
                <w:lang w:val="sq-AL"/>
              </w:rPr>
            </w:pPr>
          </w:p>
        </w:tc>
        <w:tc>
          <w:tcPr>
            <w:tcW w:w="2338" w:type="dxa"/>
          </w:tcPr>
          <w:p w14:paraId="21345B4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0.9%</w:t>
            </w:r>
          </w:p>
        </w:tc>
      </w:tr>
    </w:tbl>
    <w:p w14:paraId="68052478"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 - këtu përfshihet edhe ekspozimi i Derivativit (pesha 2.3%).</w:t>
      </w:r>
    </w:p>
    <w:p w14:paraId="28550768" w14:textId="49FB552F"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këto kushte, vlera absolute e shtesës kundërciklike të kapitalit për Bankën B,</w:t>
      </w:r>
      <w:r w:rsidR="002F412C">
        <w:rPr>
          <w:rFonts w:ascii="Garamond" w:hAnsi="Garamond"/>
          <w:sz w:val="24"/>
          <w:szCs w:val="24"/>
          <w:lang w:val="sq-AL"/>
        </w:rPr>
        <w:t xml:space="preserve"> sipas nenit 11, paragrafi 6/b</w:t>
      </w:r>
      <w:r w:rsidRPr="001C458B">
        <w:rPr>
          <w:rFonts w:ascii="Garamond" w:hAnsi="Garamond"/>
          <w:sz w:val="24"/>
          <w:szCs w:val="24"/>
          <w:lang w:val="sq-AL"/>
        </w:rPr>
        <w:t>, do të jetë: SPEKUNC * EPR = 0.9% * 8,380,000= 75,420 lekë.</w:t>
      </w:r>
    </w:p>
    <w:p w14:paraId="6109E544"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Ndërsa, niveli i SHKOMAK-ut për Bankën B do të je</w:t>
      </w:r>
      <w:bookmarkStart w:id="0" w:name="_GoBack"/>
      <w:bookmarkEnd w:id="0"/>
      <w:r w:rsidRPr="001C458B">
        <w:rPr>
          <w:rFonts w:ascii="Garamond" w:hAnsi="Garamond"/>
          <w:sz w:val="24"/>
          <w:szCs w:val="24"/>
          <w:lang w:val="sq-AL"/>
        </w:rPr>
        <w:t>të:</w:t>
      </w:r>
    </w:p>
    <w:p w14:paraId="53AD3C4A" w14:textId="0CF5CE77" w:rsidR="00583ABC" w:rsidRPr="001C458B" w:rsidRDefault="002F412C" w:rsidP="003D1B12">
      <w:pPr>
        <w:spacing w:after="0" w:line="240" w:lineRule="auto"/>
        <w:ind w:firstLine="284"/>
        <w:jc w:val="both"/>
        <w:rPr>
          <w:rFonts w:ascii="Garamond" w:hAnsi="Garamond"/>
          <w:sz w:val="24"/>
          <w:szCs w:val="24"/>
          <w:lang w:val="sq-AL"/>
        </w:rPr>
      </w:pPr>
      <w:r>
        <w:rPr>
          <w:rFonts w:ascii="Garamond" w:hAnsi="Garamond"/>
          <w:sz w:val="24"/>
          <w:szCs w:val="24"/>
          <w:lang w:val="sq-AL"/>
        </w:rPr>
        <w:t>SHKOMAK B</w:t>
      </w:r>
      <w:r w:rsidR="00583ABC" w:rsidRPr="001C458B">
        <w:rPr>
          <w:rFonts w:ascii="Garamond" w:hAnsi="Garamond"/>
          <w:sz w:val="24"/>
          <w:szCs w:val="24"/>
          <w:lang w:val="sq-AL"/>
        </w:rPr>
        <w:t xml:space="preserve"> = (KONS: 1.0%) + (SPEKUNC: 0.9%) + (ASTRUK: 0%) = 1.9%</w:t>
      </w:r>
    </w:p>
    <w:p w14:paraId="37EED3E0"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Duke llogaritur KNDr për Bankën B dhe duke e vënë në raport me SHMAK-un (sipas paragrafit 1), gjejmë raportin e përmbushjes së SHKOMAK-ut, i cili më pas përcakton edhe mundësinë e bankës për të kryer ose jo një pagesë shpërndarjeje, dhe ndoshta edhe kërkesën për një plan fuqizimi të pozicionit të saj të kapitalit.</w:t>
      </w:r>
    </w:p>
    <w:p w14:paraId="60430EE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vijim, duke qenë se këto tre juridiksione të huaja po përjetojnë rritje të shpejtë ekonomike dhe zgjerim të shpejtë të kreditit, Banka e Shqipërisë i vlerëson rreziqet si të larta ndaj vendos të shpallë që për secilin prej tyre AKUNC-i do të jetë 1.5% (me datë efektive në janar 2022). Këto norma do të shërbejnë tashmë si AKUNC për bankën. Atëherë, në janar 2022, do të kemi të dhënat sipas Tabelës 7.</w:t>
      </w:r>
    </w:p>
    <w:p w14:paraId="11982880" w14:textId="77777777" w:rsidR="001626FB" w:rsidRPr="001C458B" w:rsidRDefault="001626FB" w:rsidP="003D1B12">
      <w:pPr>
        <w:spacing w:after="0" w:line="240" w:lineRule="auto"/>
        <w:ind w:firstLine="284"/>
        <w:jc w:val="both"/>
        <w:rPr>
          <w:rFonts w:ascii="Garamond" w:hAnsi="Garamond"/>
          <w:sz w:val="24"/>
          <w:szCs w:val="24"/>
          <w:lang w:val="sq-AL"/>
        </w:rPr>
      </w:pPr>
    </w:p>
    <w:p w14:paraId="07A01F59"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Tabela 7</w:t>
      </w:r>
    </w:p>
    <w:tbl>
      <w:tblPr>
        <w:tblStyle w:val="TableGrid1"/>
        <w:tblW w:w="0" w:type="auto"/>
        <w:tblLayout w:type="fixed"/>
        <w:tblLook w:val="04A0" w:firstRow="1" w:lastRow="0" w:firstColumn="1" w:lastColumn="0" w:noHBand="0" w:noVBand="1"/>
      </w:tblPr>
      <w:tblGrid>
        <w:gridCol w:w="1271"/>
        <w:gridCol w:w="1276"/>
        <w:gridCol w:w="1588"/>
        <w:gridCol w:w="1080"/>
        <w:gridCol w:w="1080"/>
        <w:gridCol w:w="1440"/>
        <w:gridCol w:w="1615"/>
      </w:tblGrid>
      <w:tr w:rsidR="00583ABC" w:rsidRPr="001C458B" w14:paraId="0884BCB1" w14:textId="77777777" w:rsidTr="00557377">
        <w:tc>
          <w:tcPr>
            <w:tcW w:w="1271" w:type="dxa"/>
          </w:tcPr>
          <w:p w14:paraId="24DF41D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Shteti/Juridiksioni</w:t>
            </w:r>
          </w:p>
        </w:tc>
        <w:tc>
          <w:tcPr>
            <w:tcW w:w="1276" w:type="dxa"/>
          </w:tcPr>
          <w:p w14:paraId="23EEC5C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EPSHK-të</w:t>
            </w:r>
          </w:p>
        </w:tc>
        <w:tc>
          <w:tcPr>
            <w:tcW w:w="1588" w:type="dxa"/>
          </w:tcPr>
          <w:p w14:paraId="1A254A5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Në % ndaj totalit të KPK-ve</w:t>
            </w:r>
          </w:p>
        </w:tc>
        <w:tc>
          <w:tcPr>
            <w:tcW w:w="1080" w:type="dxa"/>
          </w:tcPr>
          <w:p w14:paraId="23A2B60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KUNC</w:t>
            </w:r>
          </w:p>
        </w:tc>
        <w:tc>
          <w:tcPr>
            <w:tcW w:w="1080" w:type="dxa"/>
          </w:tcPr>
          <w:p w14:paraId="342E78D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AKUNC</w:t>
            </w:r>
          </w:p>
        </w:tc>
        <w:tc>
          <w:tcPr>
            <w:tcW w:w="1440" w:type="dxa"/>
          </w:tcPr>
          <w:p w14:paraId="75DDEC4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SPEKUNC</w:t>
            </w:r>
          </w:p>
        </w:tc>
        <w:tc>
          <w:tcPr>
            <w:tcW w:w="1615" w:type="dxa"/>
          </w:tcPr>
          <w:p w14:paraId="5DBF21E8"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Koment</w:t>
            </w:r>
          </w:p>
        </w:tc>
      </w:tr>
      <w:tr w:rsidR="00583ABC" w:rsidRPr="001C458B" w14:paraId="7DABA058" w14:textId="77777777" w:rsidTr="00557377">
        <w:tc>
          <w:tcPr>
            <w:tcW w:w="1271" w:type="dxa"/>
          </w:tcPr>
          <w:p w14:paraId="67478BFE" w14:textId="4E4C72DA" w:rsidR="00583ABC" w:rsidRPr="001C458B" w:rsidRDefault="002F412C" w:rsidP="001626FB">
            <w:pPr>
              <w:jc w:val="both"/>
              <w:rPr>
                <w:rFonts w:ascii="Garamond" w:hAnsi="Garamond"/>
                <w:sz w:val="24"/>
                <w:szCs w:val="24"/>
                <w:lang w:val="sq-AL"/>
              </w:rPr>
            </w:pPr>
            <w:r>
              <w:rPr>
                <w:rFonts w:ascii="Garamond" w:hAnsi="Garamond"/>
                <w:sz w:val="24"/>
                <w:szCs w:val="24"/>
                <w:lang w:val="sq-AL"/>
              </w:rPr>
              <w:t>1</w:t>
            </w:r>
          </w:p>
        </w:tc>
        <w:tc>
          <w:tcPr>
            <w:tcW w:w="1276" w:type="dxa"/>
          </w:tcPr>
          <w:p w14:paraId="3ED28A3B" w14:textId="0F67121B" w:rsidR="00583ABC" w:rsidRPr="001C458B" w:rsidRDefault="002F412C" w:rsidP="001626FB">
            <w:pPr>
              <w:jc w:val="both"/>
              <w:rPr>
                <w:rFonts w:ascii="Garamond" w:hAnsi="Garamond"/>
                <w:sz w:val="24"/>
                <w:szCs w:val="24"/>
                <w:lang w:val="sq-AL"/>
              </w:rPr>
            </w:pPr>
            <w:r>
              <w:rPr>
                <w:rFonts w:ascii="Garamond" w:hAnsi="Garamond"/>
                <w:sz w:val="24"/>
                <w:szCs w:val="24"/>
                <w:lang w:val="sq-AL"/>
              </w:rPr>
              <w:t>2</w:t>
            </w:r>
          </w:p>
        </w:tc>
        <w:tc>
          <w:tcPr>
            <w:tcW w:w="1588" w:type="dxa"/>
          </w:tcPr>
          <w:p w14:paraId="2E0DD60C" w14:textId="6D3CA5B8" w:rsidR="00583ABC" w:rsidRPr="001C458B" w:rsidRDefault="002F412C" w:rsidP="001626FB">
            <w:pPr>
              <w:jc w:val="both"/>
              <w:rPr>
                <w:rFonts w:ascii="Garamond" w:hAnsi="Garamond"/>
                <w:sz w:val="24"/>
                <w:szCs w:val="24"/>
                <w:lang w:val="sq-AL"/>
              </w:rPr>
            </w:pPr>
            <w:r>
              <w:rPr>
                <w:rFonts w:ascii="Garamond" w:hAnsi="Garamond"/>
                <w:sz w:val="24"/>
                <w:szCs w:val="24"/>
                <w:lang w:val="sq-AL"/>
              </w:rPr>
              <w:t>3</w:t>
            </w:r>
          </w:p>
        </w:tc>
        <w:tc>
          <w:tcPr>
            <w:tcW w:w="1080" w:type="dxa"/>
          </w:tcPr>
          <w:p w14:paraId="63D95151" w14:textId="7CB04C50" w:rsidR="00583ABC" w:rsidRPr="001C458B" w:rsidRDefault="002F412C" w:rsidP="001626FB">
            <w:pPr>
              <w:jc w:val="both"/>
              <w:rPr>
                <w:rFonts w:ascii="Garamond" w:hAnsi="Garamond"/>
                <w:sz w:val="24"/>
                <w:szCs w:val="24"/>
                <w:lang w:val="sq-AL"/>
              </w:rPr>
            </w:pPr>
            <w:r>
              <w:rPr>
                <w:rFonts w:ascii="Garamond" w:hAnsi="Garamond"/>
                <w:sz w:val="24"/>
                <w:szCs w:val="24"/>
                <w:lang w:val="sq-AL"/>
              </w:rPr>
              <w:t>4</w:t>
            </w:r>
          </w:p>
        </w:tc>
        <w:tc>
          <w:tcPr>
            <w:tcW w:w="1080" w:type="dxa"/>
          </w:tcPr>
          <w:p w14:paraId="23116ACB" w14:textId="0666D5FF" w:rsidR="00583ABC" w:rsidRPr="001C458B" w:rsidRDefault="002F412C" w:rsidP="001626FB">
            <w:pPr>
              <w:jc w:val="both"/>
              <w:rPr>
                <w:rFonts w:ascii="Garamond" w:hAnsi="Garamond"/>
                <w:sz w:val="24"/>
                <w:szCs w:val="24"/>
                <w:lang w:val="sq-AL"/>
              </w:rPr>
            </w:pPr>
            <w:r>
              <w:rPr>
                <w:rFonts w:ascii="Garamond" w:hAnsi="Garamond"/>
                <w:sz w:val="24"/>
                <w:szCs w:val="24"/>
                <w:lang w:val="sq-AL"/>
              </w:rPr>
              <w:t>5</w:t>
            </w:r>
          </w:p>
        </w:tc>
        <w:tc>
          <w:tcPr>
            <w:tcW w:w="1440" w:type="dxa"/>
          </w:tcPr>
          <w:p w14:paraId="6E3AA378" w14:textId="4D1A1C82" w:rsidR="00583ABC" w:rsidRPr="001C458B" w:rsidRDefault="002F412C" w:rsidP="001626FB">
            <w:pPr>
              <w:jc w:val="both"/>
              <w:rPr>
                <w:rFonts w:ascii="Garamond" w:hAnsi="Garamond"/>
                <w:sz w:val="24"/>
                <w:szCs w:val="24"/>
                <w:lang w:val="sq-AL"/>
              </w:rPr>
            </w:pPr>
            <w:r>
              <w:rPr>
                <w:rFonts w:ascii="Garamond" w:hAnsi="Garamond"/>
                <w:sz w:val="24"/>
                <w:szCs w:val="24"/>
                <w:lang w:val="sq-AL"/>
              </w:rPr>
              <w:t>6 = 3*5</w:t>
            </w:r>
          </w:p>
        </w:tc>
        <w:tc>
          <w:tcPr>
            <w:tcW w:w="1615" w:type="dxa"/>
          </w:tcPr>
          <w:p w14:paraId="5A9E157F" w14:textId="77777777" w:rsidR="00583ABC" w:rsidRPr="001C458B" w:rsidRDefault="00583ABC" w:rsidP="001626FB">
            <w:pPr>
              <w:jc w:val="both"/>
              <w:rPr>
                <w:rFonts w:ascii="Garamond" w:hAnsi="Garamond"/>
                <w:sz w:val="24"/>
                <w:szCs w:val="24"/>
                <w:lang w:val="sq-AL"/>
              </w:rPr>
            </w:pPr>
          </w:p>
        </w:tc>
      </w:tr>
      <w:tr w:rsidR="00583ABC" w:rsidRPr="001C458B" w14:paraId="7166A3EA" w14:textId="77777777" w:rsidTr="00557377">
        <w:tc>
          <w:tcPr>
            <w:tcW w:w="1271" w:type="dxa"/>
          </w:tcPr>
          <w:p w14:paraId="3C334FC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Shqipëri</w:t>
            </w:r>
          </w:p>
        </w:tc>
        <w:tc>
          <w:tcPr>
            <w:tcW w:w="1276" w:type="dxa"/>
          </w:tcPr>
          <w:p w14:paraId="17891A7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4,000,000</w:t>
            </w:r>
          </w:p>
        </w:tc>
        <w:tc>
          <w:tcPr>
            <w:tcW w:w="1588" w:type="dxa"/>
          </w:tcPr>
          <w:p w14:paraId="01C8A9B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68.8%</w:t>
            </w:r>
          </w:p>
        </w:tc>
        <w:tc>
          <w:tcPr>
            <w:tcW w:w="1080" w:type="dxa"/>
          </w:tcPr>
          <w:p w14:paraId="0A236F3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080" w:type="dxa"/>
          </w:tcPr>
          <w:p w14:paraId="0C6EE23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w:t>
            </w:r>
          </w:p>
        </w:tc>
        <w:tc>
          <w:tcPr>
            <w:tcW w:w="1440" w:type="dxa"/>
          </w:tcPr>
          <w:p w14:paraId="14E7F4F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0.7%</w:t>
            </w:r>
          </w:p>
        </w:tc>
        <w:tc>
          <w:tcPr>
            <w:tcW w:w="1615" w:type="dxa"/>
          </w:tcPr>
          <w:p w14:paraId="21AC7DE6"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Gjatë një viti, ekspozimi për Shqipërinë (Kol (2)) nuk ka ndryshuar</w:t>
            </w:r>
          </w:p>
        </w:tc>
      </w:tr>
      <w:tr w:rsidR="00583ABC" w:rsidRPr="001C458B" w14:paraId="5E546AE7" w14:textId="77777777" w:rsidTr="00557377">
        <w:tc>
          <w:tcPr>
            <w:tcW w:w="1271" w:type="dxa"/>
          </w:tcPr>
          <w:p w14:paraId="09AB2D2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X</w:t>
            </w:r>
          </w:p>
        </w:tc>
        <w:tc>
          <w:tcPr>
            <w:tcW w:w="1276" w:type="dxa"/>
          </w:tcPr>
          <w:p w14:paraId="06F06021"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200,000</w:t>
            </w:r>
          </w:p>
        </w:tc>
        <w:tc>
          <w:tcPr>
            <w:tcW w:w="1588" w:type="dxa"/>
          </w:tcPr>
          <w:p w14:paraId="4EA48A7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3.4%</w:t>
            </w:r>
          </w:p>
        </w:tc>
        <w:tc>
          <w:tcPr>
            <w:tcW w:w="1080" w:type="dxa"/>
          </w:tcPr>
          <w:p w14:paraId="19618F3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080" w:type="dxa"/>
          </w:tcPr>
          <w:p w14:paraId="4EC0E8FB"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440" w:type="dxa"/>
          </w:tcPr>
          <w:p w14:paraId="59B6CC8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0.05%</w:t>
            </w:r>
          </w:p>
        </w:tc>
        <w:tc>
          <w:tcPr>
            <w:tcW w:w="1615" w:type="dxa"/>
          </w:tcPr>
          <w:p w14:paraId="54D0839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Gjatë një viti, ekspozimi për X është rritur në këtë vlerë</w:t>
            </w:r>
          </w:p>
        </w:tc>
      </w:tr>
      <w:tr w:rsidR="00583ABC" w:rsidRPr="001C458B" w14:paraId="485F838B" w14:textId="77777777" w:rsidTr="00557377">
        <w:tc>
          <w:tcPr>
            <w:tcW w:w="1271" w:type="dxa"/>
          </w:tcPr>
          <w:p w14:paraId="67960B3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Y</w:t>
            </w:r>
          </w:p>
        </w:tc>
        <w:tc>
          <w:tcPr>
            <w:tcW w:w="1276" w:type="dxa"/>
          </w:tcPr>
          <w:p w14:paraId="02391B05"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810,000</w:t>
            </w:r>
          </w:p>
        </w:tc>
        <w:tc>
          <w:tcPr>
            <w:tcW w:w="1588" w:type="dxa"/>
          </w:tcPr>
          <w:p w14:paraId="63CE40B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13.9%</w:t>
            </w:r>
          </w:p>
        </w:tc>
        <w:tc>
          <w:tcPr>
            <w:tcW w:w="1080" w:type="dxa"/>
          </w:tcPr>
          <w:p w14:paraId="7A95ABA2"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080" w:type="dxa"/>
          </w:tcPr>
          <w:p w14:paraId="5AE6600F"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440" w:type="dxa"/>
          </w:tcPr>
          <w:p w14:paraId="5300032E"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0.2%</w:t>
            </w:r>
          </w:p>
        </w:tc>
        <w:tc>
          <w:tcPr>
            <w:tcW w:w="1615" w:type="dxa"/>
          </w:tcPr>
          <w:p w14:paraId="4286CC7C"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Gjatë një viti, ekspozimi për Y është rritur në këtë vlerë</w:t>
            </w:r>
          </w:p>
        </w:tc>
      </w:tr>
      <w:tr w:rsidR="00583ABC" w:rsidRPr="001C458B" w14:paraId="01ABAD01" w14:textId="77777777" w:rsidTr="00557377">
        <w:tc>
          <w:tcPr>
            <w:tcW w:w="1271" w:type="dxa"/>
          </w:tcPr>
          <w:p w14:paraId="134644D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Z</w:t>
            </w:r>
          </w:p>
        </w:tc>
        <w:tc>
          <w:tcPr>
            <w:tcW w:w="1276" w:type="dxa"/>
          </w:tcPr>
          <w:p w14:paraId="09CAA6D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800,000</w:t>
            </w:r>
          </w:p>
        </w:tc>
        <w:tc>
          <w:tcPr>
            <w:tcW w:w="1588" w:type="dxa"/>
          </w:tcPr>
          <w:p w14:paraId="3E6E962A"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13.8%</w:t>
            </w:r>
          </w:p>
        </w:tc>
        <w:tc>
          <w:tcPr>
            <w:tcW w:w="1080" w:type="dxa"/>
          </w:tcPr>
          <w:p w14:paraId="338394D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0.5%</w:t>
            </w:r>
          </w:p>
        </w:tc>
        <w:tc>
          <w:tcPr>
            <w:tcW w:w="1080" w:type="dxa"/>
          </w:tcPr>
          <w:p w14:paraId="59F2A05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1.5%</w:t>
            </w:r>
          </w:p>
        </w:tc>
        <w:tc>
          <w:tcPr>
            <w:tcW w:w="1440" w:type="dxa"/>
          </w:tcPr>
          <w:p w14:paraId="4BFD794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0.2%</w:t>
            </w:r>
          </w:p>
        </w:tc>
        <w:tc>
          <w:tcPr>
            <w:tcW w:w="1615" w:type="dxa"/>
          </w:tcPr>
          <w:p w14:paraId="56226C9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Gjatë një viti, ekspozimi për Z është rritur në këtë vlerë</w:t>
            </w:r>
          </w:p>
        </w:tc>
      </w:tr>
      <w:tr w:rsidR="00583ABC" w:rsidRPr="001C458B" w14:paraId="2A2DDF11" w14:textId="77777777" w:rsidTr="00557377">
        <w:tc>
          <w:tcPr>
            <w:tcW w:w="1271" w:type="dxa"/>
          </w:tcPr>
          <w:p w14:paraId="3218A6ED"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Totali</w:t>
            </w:r>
          </w:p>
        </w:tc>
        <w:tc>
          <w:tcPr>
            <w:tcW w:w="1276" w:type="dxa"/>
          </w:tcPr>
          <w:p w14:paraId="76C8A857"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5,810,000</w:t>
            </w:r>
          </w:p>
        </w:tc>
        <w:tc>
          <w:tcPr>
            <w:tcW w:w="1588" w:type="dxa"/>
          </w:tcPr>
          <w:p w14:paraId="0AEF0513"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100%</w:t>
            </w:r>
          </w:p>
        </w:tc>
        <w:tc>
          <w:tcPr>
            <w:tcW w:w="1080" w:type="dxa"/>
          </w:tcPr>
          <w:p w14:paraId="0EA259EF" w14:textId="77777777" w:rsidR="00583ABC" w:rsidRPr="001C458B" w:rsidRDefault="00583ABC" w:rsidP="001626FB">
            <w:pPr>
              <w:jc w:val="both"/>
              <w:rPr>
                <w:rFonts w:ascii="Garamond" w:hAnsi="Garamond"/>
                <w:sz w:val="24"/>
                <w:szCs w:val="24"/>
                <w:lang w:val="sq-AL"/>
              </w:rPr>
            </w:pPr>
          </w:p>
        </w:tc>
        <w:tc>
          <w:tcPr>
            <w:tcW w:w="1080" w:type="dxa"/>
          </w:tcPr>
          <w:p w14:paraId="0560E9DD" w14:textId="77777777" w:rsidR="00583ABC" w:rsidRPr="001C458B" w:rsidRDefault="00583ABC" w:rsidP="001626FB">
            <w:pPr>
              <w:jc w:val="both"/>
              <w:rPr>
                <w:rFonts w:ascii="Garamond" w:hAnsi="Garamond"/>
                <w:sz w:val="24"/>
                <w:szCs w:val="24"/>
                <w:lang w:val="sq-AL"/>
              </w:rPr>
            </w:pPr>
          </w:p>
        </w:tc>
        <w:tc>
          <w:tcPr>
            <w:tcW w:w="1440" w:type="dxa"/>
          </w:tcPr>
          <w:p w14:paraId="71F87410" w14:textId="77777777" w:rsidR="00583ABC" w:rsidRPr="001C458B" w:rsidRDefault="00583ABC" w:rsidP="001626FB">
            <w:pPr>
              <w:jc w:val="both"/>
              <w:rPr>
                <w:rFonts w:ascii="Garamond" w:hAnsi="Garamond"/>
                <w:sz w:val="24"/>
                <w:szCs w:val="24"/>
                <w:lang w:val="sq-AL"/>
              </w:rPr>
            </w:pPr>
            <w:r w:rsidRPr="001C458B">
              <w:rPr>
                <w:rFonts w:ascii="Garamond" w:hAnsi="Garamond"/>
                <w:sz w:val="24"/>
                <w:szCs w:val="24"/>
                <w:lang w:val="sq-AL"/>
              </w:rPr>
              <w:t>1.15%</w:t>
            </w:r>
          </w:p>
        </w:tc>
        <w:tc>
          <w:tcPr>
            <w:tcW w:w="1615" w:type="dxa"/>
          </w:tcPr>
          <w:p w14:paraId="63896D2A" w14:textId="77777777" w:rsidR="00583ABC" w:rsidRPr="001C458B" w:rsidRDefault="00583ABC" w:rsidP="001626FB">
            <w:pPr>
              <w:jc w:val="both"/>
              <w:rPr>
                <w:rFonts w:ascii="Garamond" w:hAnsi="Garamond"/>
                <w:sz w:val="24"/>
                <w:szCs w:val="24"/>
                <w:lang w:val="sq-AL"/>
              </w:rPr>
            </w:pPr>
          </w:p>
        </w:tc>
      </w:tr>
    </w:tbl>
    <w:p w14:paraId="3CD35DDA"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*Norma e KUNC-it që ka shpallur BSH-në, është më e lartë se në juridiksionin e huaj.</w:t>
      </w:r>
    </w:p>
    <w:p w14:paraId="13C44366"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Në këto kushte, për Bankën B, niveli i SHKOMAK-ut në janar 2022, do të jetë:</w:t>
      </w:r>
    </w:p>
    <w:p w14:paraId="6B5A534E" w14:textId="3F116E5A" w:rsidR="00583ABC" w:rsidRPr="001C458B" w:rsidRDefault="002F412C" w:rsidP="003D1B12">
      <w:pPr>
        <w:spacing w:after="0" w:line="240" w:lineRule="auto"/>
        <w:ind w:firstLine="284"/>
        <w:jc w:val="both"/>
        <w:rPr>
          <w:rFonts w:ascii="Garamond" w:hAnsi="Garamond"/>
          <w:sz w:val="24"/>
          <w:szCs w:val="24"/>
          <w:lang w:val="sq-AL"/>
        </w:rPr>
      </w:pPr>
      <w:r>
        <w:rPr>
          <w:rFonts w:ascii="Garamond" w:hAnsi="Garamond"/>
          <w:sz w:val="24"/>
          <w:szCs w:val="24"/>
          <w:lang w:val="sq-AL"/>
        </w:rPr>
        <w:t>SHKOMAK B = KONS: 1.5% + SPEKUNC: 1.15% + ASTRUK: 1%</w:t>
      </w:r>
      <w:r w:rsidR="00583ABC" w:rsidRPr="001C458B">
        <w:rPr>
          <w:rFonts w:ascii="Garamond" w:hAnsi="Garamond"/>
          <w:sz w:val="24"/>
          <w:szCs w:val="24"/>
          <w:lang w:val="sq-AL"/>
        </w:rPr>
        <w:t xml:space="preserve"> = 3.65%</w:t>
      </w:r>
    </w:p>
    <w:p w14:paraId="033ABA78" w14:textId="77777777" w:rsidR="00583ABC" w:rsidRPr="001C458B" w:rsidRDefault="00583ABC" w:rsidP="003D1B12">
      <w:pPr>
        <w:spacing w:after="0" w:line="240" w:lineRule="auto"/>
        <w:ind w:firstLine="284"/>
        <w:jc w:val="both"/>
        <w:rPr>
          <w:rFonts w:ascii="Garamond" w:hAnsi="Garamond"/>
          <w:sz w:val="24"/>
          <w:szCs w:val="24"/>
          <w:lang w:val="sq-AL"/>
        </w:rPr>
      </w:pPr>
      <w:r w:rsidRPr="001C458B">
        <w:rPr>
          <w:rFonts w:ascii="Garamond" w:hAnsi="Garamond"/>
          <w:sz w:val="24"/>
          <w:szCs w:val="24"/>
          <w:lang w:val="sq-AL"/>
        </w:rPr>
        <w:t>Duke llogaritur KNDr për Bankën B dhe duke e vënë në raport me SHKOMAK-un (sipas paragrafit 1), gjejmë raportin e përmbushjes së SHKOMAK-ut, i cili më pas përcakton edhe mundësinë e bankës për të kryer ose jo një pagesë shpërndarjeje, dhe ndoshta edhe kërkesën për një plan fuqizimi të pozicionit të saj të kapitalit.</w:t>
      </w:r>
    </w:p>
    <w:p w14:paraId="448ED9D4" w14:textId="77777777" w:rsidR="00583ABC" w:rsidRPr="001C458B" w:rsidRDefault="00583ABC" w:rsidP="003D1B12">
      <w:pPr>
        <w:spacing w:after="0" w:line="240" w:lineRule="auto"/>
        <w:ind w:firstLine="284"/>
        <w:jc w:val="both"/>
        <w:rPr>
          <w:rFonts w:ascii="Garamond" w:hAnsi="Garamond"/>
          <w:sz w:val="24"/>
          <w:szCs w:val="24"/>
          <w:lang w:val="sq-AL"/>
        </w:rPr>
      </w:pPr>
    </w:p>
    <w:p w14:paraId="37478564" w14:textId="77777777" w:rsidR="00583ABC" w:rsidRPr="001C458B" w:rsidRDefault="00583ABC" w:rsidP="003D1B12">
      <w:pPr>
        <w:spacing w:after="0" w:line="240" w:lineRule="auto"/>
        <w:ind w:firstLine="284"/>
        <w:jc w:val="both"/>
        <w:rPr>
          <w:rFonts w:ascii="Garamond" w:hAnsi="Garamond"/>
          <w:sz w:val="24"/>
          <w:szCs w:val="24"/>
          <w:lang w:val="sq-AL"/>
        </w:rPr>
      </w:pPr>
    </w:p>
    <w:p w14:paraId="4DD50BF8" w14:textId="77777777" w:rsidR="00583ABC" w:rsidRPr="001C458B" w:rsidRDefault="00583ABC" w:rsidP="003D1B12">
      <w:pPr>
        <w:spacing w:after="0" w:line="240" w:lineRule="auto"/>
        <w:ind w:firstLine="284"/>
        <w:jc w:val="both"/>
        <w:rPr>
          <w:rFonts w:ascii="Garamond" w:hAnsi="Garamond"/>
          <w:sz w:val="24"/>
          <w:szCs w:val="24"/>
          <w:lang w:val="sq-AL"/>
        </w:rPr>
      </w:pPr>
    </w:p>
    <w:p w14:paraId="0138FD3E" w14:textId="77777777" w:rsidR="00583ABC" w:rsidRPr="001C458B" w:rsidRDefault="00583ABC" w:rsidP="003D1B12">
      <w:pPr>
        <w:spacing w:after="0" w:line="240" w:lineRule="auto"/>
        <w:ind w:firstLine="284"/>
        <w:jc w:val="both"/>
        <w:rPr>
          <w:rFonts w:ascii="Garamond" w:hAnsi="Garamond"/>
          <w:sz w:val="24"/>
          <w:szCs w:val="24"/>
          <w:lang w:val="sq-AL"/>
        </w:rPr>
      </w:pPr>
    </w:p>
    <w:p w14:paraId="0257E654" w14:textId="77777777" w:rsidR="00583ABC" w:rsidRPr="001C458B" w:rsidRDefault="00583ABC" w:rsidP="003D1B12">
      <w:pPr>
        <w:spacing w:after="0" w:line="240" w:lineRule="auto"/>
        <w:ind w:firstLine="284"/>
        <w:jc w:val="both"/>
        <w:rPr>
          <w:rFonts w:ascii="Garamond" w:hAnsi="Garamond"/>
          <w:sz w:val="24"/>
          <w:szCs w:val="24"/>
          <w:lang w:val="sq-AL"/>
        </w:rPr>
      </w:pPr>
    </w:p>
    <w:p w14:paraId="012BDDD7" w14:textId="77777777" w:rsidR="00583ABC" w:rsidRPr="001C458B" w:rsidRDefault="00583ABC" w:rsidP="003D1B12">
      <w:pPr>
        <w:spacing w:after="0" w:line="240" w:lineRule="auto"/>
        <w:ind w:firstLine="284"/>
        <w:jc w:val="both"/>
        <w:rPr>
          <w:rFonts w:ascii="Garamond" w:hAnsi="Garamond"/>
          <w:sz w:val="24"/>
          <w:szCs w:val="24"/>
          <w:lang w:val="sq-AL"/>
        </w:rPr>
      </w:pPr>
    </w:p>
    <w:p w14:paraId="0AEA3E5C" w14:textId="77777777" w:rsidR="00583ABC" w:rsidRPr="001C458B" w:rsidRDefault="00583ABC" w:rsidP="003D1B12">
      <w:pPr>
        <w:spacing w:after="0" w:line="240" w:lineRule="auto"/>
        <w:ind w:firstLine="284"/>
        <w:jc w:val="both"/>
        <w:rPr>
          <w:rFonts w:ascii="Garamond" w:hAnsi="Garamond"/>
          <w:sz w:val="24"/>
          <w:szCs w:val="24"/>
          <w:lang w:val="sq-AL"/>
        </w:rPr>
      </w:pPr>
    </w:p>
    <w:p w14:paraId="576711EE" w14:textId="77777777" w:rsidR="00583ABC" w:rsidRPr="001C458B" w:rsidRDefault="00583ABC" w:rsidP="003D1B12">
      <w:pPr>
        <w:spacing w:after="0" w:line="240" w:lineRule="auto"/>
        <w:ind w:firstLine="284"/>
        <w:jc w:val="both"/>
        <w:rPr>
          <w:rFonts w:ascii="Garamond" w:hAnsi="Garamond"/>
          <w:sz w:val="24"/>
          <w:szCs w:val="24"/>
          <w:lang w:val="sq-AL"/>
        </w:rPr>
      </w:pPr>
    </w:p>
    <w:p w14:paraId="2827A9C8" w14:textId="77777777" w:rsidR="00583ABC" w:rsidRPr="001C458B" w:rsidRDefault="00583ABC" w:rsidP="003D1B12">
      <w:pPr>
        <w:spacing w:after="0" w:line="240" w:lineRule="auto"/>
        <w:ind w:firstLine="284"/>
        <w:jc w:val="both"/>
        <w:rPr>
          <w:rFonts w:ascii="Garamond" w:hAnsi="Garamond"/>
          <w:sz w:val="24"/>
          <w:szCs w:val="24"/>
          <w:lang w:val="sq-AL"/>
        </w:rPr>
      </w:pPr>
    </w:p>
    <w:p w14:paraId="14A9219F" w14:textId="77777777" w:rsidR="00583ABC" w:rsidRPr="001C458B" w:rsidRDefault="00583ABC" w:rsidP="003D1B12">
      <w:pPr>
        <w:spacing w:after="0" w:line="240" w:lineRule="auto"/>
        <w:ind w:firstLine="284"/>
        <w:jc w:val="both"/>
        <w:rPr>
          <w:rFonts w:ascii="Garamond" w:hAnsi="Garamond"/>
          <w:sz w:val="24"/>
          <w:szCs w:val="24"/>
          <w:lang w:val="sq-AL"/>
        </w:rPr>
      </w:pPr>
    </w:p>
    <w:p w14:paraId="377B7A93" w14:textId="77777777" w:rsidR="00583ABC" w:rsidRPr="001C458B" w:rsidRDefault="00583ABC" w:rsidP="003D1B12">
      <w:pPr>
        <w:spacing w:after="0" w:line="240" w:lineRule="auto"/>
        <w:ind w:firstLine="284"/>
        <w:jc w:val="both"/>
        <w:rPr>
          <w:rFonts w:ascii="Garamond" w:hAnsi="Garamond"/>
          <w:sz w:val="24"/>
          <w:szCs w:val="24"/>
          <w:lang w:val="sq-AL"/>
        </w:rPr>
      </w:pPr>
    </w:p>
    <w:p w14:paraId="171A1A85" w14:textId="77777777" w:rsidR="00583ABC" w:rsidRPr="001C458B" w:rsidRDefault="00583ABC" w:rsidP="003D1B12">
      <w:pPr>
        <w:spacing w:after="0" w:line="240" w:lineRule="auto"/>
        <w:ind w:firstLine="284"/>
        <w:jc w:val="both"/>
        <w:rPr>
          <w:rFonts w:ascii="Garamond" w:hAnsi="Garamond"/>
          <w:sz w:val="24"/>
          <w:szCs w:val="24"/>
          <w:lang w:val="sq-AL"/>
        </w:rPr>
      </w:pPr>
    </w:p>
    <w:p w14:paraId="5F780DDF" w14:textId="77777777" w:rsidR="00583ABC" w:rsidRPr="001C458B" w:rsidRDefault="00583ABC" w:rsidP="003D1B12">
      <w:pPr>
        <w:spacing w:after="0" w:line="240" w:lineRule="auto"/>
        <w:ind w:firstLine="284"/>
        <w:jc w:val="both"/>
        <w:rPr>
          <w:rFonts w:ascii="Garamond" w:hAnsi="Garamond"/>
          <w:sz w:val="24"/>
          <w:szCs w:val="24"/>
          <w:lang w:val="sq-AL"/>
        </w:rPr>
      </w:pPr>
    </w:p>
    <w:p w14:paraId="1BB90EA3" w14:textId="77777777" w:rsidR="00583ABC" w:rsidRPr="001C458B" w:rsidRDefault="00583ABC" w:rsidP="003D1B12">
      <w:pPr>
        <w:spacing w:after="0" w:line="240" w:lineRule="auto"/>
        <w:ind w:firstLine="284"/>
        <w:jc w:val="both"/>
        <w:rPr>
          <w:rFonts w:ascii="Garamond" w:hAnsi="Garamond"/>
          <w:sz w:val="24"/>
          <w:szCs w:val="24"/>
          <w:lang w:val="sq-AL"/>
        </w:rPr>
      </w:pPr>
    </w:p>
    <w:p w14:paraId="257348E6" w14:textId="77777777" w:rsidR="00583ABC" w:rsidRPr="001C458B" w:rsidRDefault="00583ABC" w:rsidP="003D1B12">
      <w:pPr>
        <w:spacing w:after="0" w:line="240" w:lineRule="auto"/>
        <w:ind w:firstLine="284"/>
        <w:jc w:val="both"/>
        <w:rPr>
          <w:rFonts w:ascii="Garamond" w:hAnsi="Garamond"/>
          <w:sz w:val="24"/>
          <w:szCs w:val="24"/>
          <w:lang w:val="sq-AL"/>
        </w:rPr>
      </w:pPr>
    </w:p>
    <w:p w14:paraId="52C0768C" w14:textId="77777777" w:rsidR="00583ABC" w:rsidRPr="001C458B" w:rsidRDefault="00583ABC" w:rsidP="003D1B12">
      <w:pPr>
        <w:spacing w:after="0" w:line="240" w:lineRule="auto"/>
        <w:ind w:firstLine="284"/>
        <w:jc w:val="both"/>
        <w:rPr>
          <w:rFonts w:ascii="Garamond" w:hAnsi="Garamond"/>
          <w:sz w:val="24"/>
          <w:szCs w:val="24"/>
          <w:lang w:val="sq-AL"/>
        </w:rPr>
      </w:pPr>
    </w:p>
    <w:p w14:paraId="3C90AE47" w14:textId="77777777" w:rsidR="00583ABC" w:rsidRPr="001C458B" w:rsidRDefault="00583ABC" w:rsidP="003D1B12">
      <w:pPr>
        <w:spacing w:after="0" w:line="240" w:lineRule="auto"/>
        <w:ind w:firstLine="284"/>
        <w:jc w:val="both"/>
        <w:rPr>
          <w:rFonts w:ascii="Garamond" w:hAnsi="Garamond"/>
          <w:sz w:val="24"/>
          <w:szCs w:val="24"/>
          <w:lang w:val="sq-AL"/>
        </w:rPr>
      </w:pPr>
    </w:p>
    <w:p w14:paraId="157AB655" w14:textId="77777777" w:rsidR="00583ABC" w:rsidRPr="001C458B" w:rsidRDefault="00583ABC" w:rsidP="003D1B12">
      <w:pPr>
        <w:spacing w:after="0" w:line="240" w:lineRule="auto"/>
        <w:ind w:firstLine="284"/>
        <w:jc w:val="both"/>
        <w:rPr>
          <w:rFonts w:ascii="Garamond" w:hAnsi="Garamond"/>
          <w:sz w:val="24"/>
          <w:szCs w:val="24"/>
          <w:lang w:val="sq-AL"/>
        </w:rPr>
      </w:pPr>
    </w:p>
    <w:p w14:paraId="1FB19ADF" w14:textId="77777777" w:rsidR="00583ABC" w:rsidRPr="001C458B" w:rsidRDefault="00583ABC" w:rsidP="003D1B12">
      <w:pPr>
        <w:spacing w:after="0" w:line="240" w:lineRule="auto"/>
        <w:ind w:firstLine="284"/>
        <w:jc w:val="both"/>
        <w:rPr>
          <w:rFonts w:ascii="Garamond" w:hAnsi="Garamond"/>
          <w:sz w:val="24"/>
          <w:szCs w:val="24"/>
          <w:lang w:val="sq-AL"/>
        </w:rPr>
      </w:pPr>
    </w:p>
    <w:p w14:paraId="7B8F1521" w14:textId="77777777" w:rsidR="00583ABC" w:rsidRPr="001C458B" w:rsidRDefault="00583ABC" w:rsidP="003D1B12">
      <w:pPr>
        <w:spacing w:after="0" w:line="240" w:lineRule="auto"/>
        <w:ind w:firstLine="284"/>
        <w:jc w:val="both"/>
        <w:rPr>
          <w:rFonts w:ascii="Garamond" w:hAnsi="Garamond"/>
          <w:sz w:val="24"/>
          <w:szCs w:val="24"/>
          <w:lang w:val="sq-AL"/>
        </w:rPr>
      </w:pPr>
    </w:p>
    <w:p w14:paraId="3B2A9510" w14:textId="77777777" w:rsidR="00583ABC" w:rsidRPr="001C458B" w:rsidRDefault="00583ABC" w:rsidP="003D1B12">
      <w:pPr>
        <w:spacing w:after="0" w:line="240" w:lineRule="auto"/>
        <w:ind w:firstLine="284"/>
        <w:jc w:val="both"/>
        <w:rPr>
          <w:rFonts w:ascii="Garamond" w:hAnsi="Garamond"/>
          <w:sz w:val="24"/>
          <w:szCs w:val="24"/>
          <w:lang w:val="sq-AL"/>
        </w:rPr>
      </w:pPr>
    </w:p>
    <w:p w14:paraId="6BA56D3D" w14:textId="77777777" w:rsidR="00583ABC" w:rsidRPr="001C458B" w:rsidRDefault="00583ABC" w:rsidP="003D1B12">
      <w:pPr>
        <w:spacing w:after="0" w:line="240" w:lineRule="auto"/>
        <w:ind w:firstLine="284"/>
        <w:jc w:val="both"/>
        <w:rPr>
          <w:rFonts w:ascii="Garamond" w:hAnsi="Garamond"/>
          <w:sz w:val="24"/>
          <w:szCs w:val="24"/>
          <w:lang w:val="sq-AL"/>
        </w:rPr>
      </w:pPr>
    </w:p>
    <w:p w14:paraId="445CA29D" w14:textId="77777777" w:rsidR="00583ABC" w:rsidRPr="001C458B" w:rsidRDefault="00583ABC" w:rsidP="003D1B12">
      <w:pPr>
        <w:spacing w:after="0" w:line="240" w:lineRule="auto"/>
        <w:ind w:firstLine="284"/>
        <w:jc w:val="both"/>
        <w:rPr>
          <w:rFonts w:ascii="Garamond" w:hAnsi="Garamond"/>
          <w:sz w:val="24"/>
          <w:szCs w:val="24"/>
          <w:lang w:val="sq-AL"/>
        </w:rPr>
      </w:pPr>
    </w:p>
    <w:p w14:paraId="30D738C7" w14:textId="77777777" w:rsidR="00583ABC" w:rsidRPr="001C458B" w:rsidRDefault="00583ABC" w:rsidP="003D1B12">
      <w:pPr>
        <w:spacing w:after="0" w:line="240" w:lineRule="auto"/>
        <w:ind w:firstLine="284"/>
        <w:jc w:val="both"/>
        <w:rPr>
          <w:rFonts w:ascii="Garamond" w:hAnsi="Garamond"/>
          <w:sz w:val="24"/>
          <w:szCs w:val="24"/>
          <w:lang w:val="sq-AL"/>
        </w:rPr>
      </w:pPr>
    </w:p>
    <w:p w14:paraId="4BA9F8AB" w14:textId="77777777" w:rsidR="00583ABC" w:rsidRPr="001C458B" w:rsidRDefault="00583ABC" w:rsidP="003D1B12">
      <w:pPr>
        <w:spacing w:after="0" w:line="240" w:lineRule="auto"/>
        <w:ind w:firstLine="284"/>
        <w:jc w:val="both"/>
        <w:rPr>
          <w:rFonts w:ascii="Garamond" w:hAnsi="Garamond"/>
          <w:sz w:val="24"/>
          <w:szCs w:val="24"/>
          <w:lang w:val="sq-AL"/>
        </w:rPr>
      </w:pPr>
    </w:p>
    <w:p w14:paraId="52B591CF" w14:textId="77777777" w:rsidR="00583ABC" w:rsidRPr="001C458B" w:rsidRDefault="00583ABC" w:rsidP="003D1B12">
      <w:pPr>
        <w:spacing w:after="0" w:line="240" w:lineRule="auto"/>
        <w:ind w:firstLine="284"/>
        <w:jc w:val="both"/>
        <w:rPr>
          <w:rFonts w:ascii="Garamond" w:hAnsi="Garamond"/>
          <w:sz w:val="24"/>
          <w:szCs w:val="24"/>
          <w:lang w:val="sq-AL"/>
        </w:rPr>
      </w:pPr>
    </w:p>
    <w:p w14:paraId="1AA79C4D" w14:textId="77777777" w:rsidR="00583ABC" w:rsidRPr="001C458B" w:rsidRDefault="00583ABC" w:rsidP="003D1B12">
      <w:pPr>
        <w:spacing w:after="0" w:line="240" w:lineRule="auto"/>
        <w:ind w:firstLine="284"/>
        <w:jc w:val="both"/>
        <w:rPr>
          <w:rFonts w:ascii="Garamond" w:hAnsi="Garamond"/>
          <w:sz w:val="24"/>
          <w:szCs w:val="24"/>
          <w:lang w:val="sq-AL"/>
        </w:rPr>
      </w:pPr>
    </w:p>
    <w:p w14:paraId="2B23F13E" w14:textId="77777777" w:rsidR="00583ABC" w:rsidRPr="001C458B" w:rsidRDefault="00583ABC" w:rsidP="003D1B12">
      <w:pPr>
        <w:spacing w:after="0" w:line="240" w:lineRule="auto"/>
        <w:ind w:firstLine="284"/>
        <w:jc w:val="both"/>
        <w:rPr>
          <w:rFonts w:ascii="Garamond" w:hAnsi="Garamond"/>
          <w:sz w:val="24"/>
          <w:szCs w:val="24"/>
          <w:lang w:val="sq-AL"/>
        </w:rPr>
      </w:pPr>
    </w:p>
    <w:p w14:paraId="1CEAA500" w14:textId="77777777" w:rsidR="00583ABC" w:rsidRPr="001C458B" w:rsidRDefault="00583ABC" w:rsidP="003D1B12">
      <w:pPr>
        <w:spacing w:after="0" w:line="240" w:lineRule="auto"/>
        <w:ind w:firstLine="284"/>
        <w:jc w:val="both"/>
        <w:rPr>
          <w:rFonts w:ascii="Garamond" w:hAnsi="Garamond"/>
          <w:sz w:val="24"/>
          <w:szCs w:val="24"/>
          <w:lang w:val="sq-AL"/>
        </w:rPr>
      </w:pPr>
    </w:p>
    <w:p w14:paraId="70C8C3CB" w14:textId="77777777" w:rsidR="00583ABC" w:rsidRPr="001C458B" w:rsidRDefault="00583ABC" w:rsidP="003D1B12">
      <w:pPr>
        <w:spacing w:after="0" w:line="240" w:lineRule="auto"/>
        <w:ind w:firstLine="284"/>
        <w:jc w:val="both"/>
        <w:rPr>
          <w:rFonts w:ascii="Garamond" w:hAnsi="Garamond"/>
          <w:sz w:val="24"/>
          <w:szCs w:val="24"/>
          <w:lang w:val="sq-AL"/>
        </w:rPr>
      </w:pPr>
    </w:p>
    <w:p w14:paraId="610C37EF" w14:textId="77777777" w:rsidR="00583ABC" w:rsidRPr="001C458B" w:rsidRDefault="00583ABC" w:rsidP="003D1B12">
      <w:pPr>
        <w:spacing w:after="0" w:line="240" w:lineRule="auto"/>
        <w:ind w:firstLine="284"/>
        <w:jc w:val="both"/>
        <w:rPr>
          <w:rFonts w:ascii="Garamond" w:hAnsi="Garamond"/>
          <w:sz w:val="24"/>
          <w:szCs w:val="24"/>
          <w:lang w:val="sq-AL"/>
        </w:rPr>
      </w:pPr>
    </w:p>
    <w:p w14:paraId="2CCAA8F6" w14:textId="77777777" w:rsidR="00583ABC" w:rsidRPr="001C458B" w:rsidRDefault="00583ABC" w:rsidP="003D1B12">
      <w:pPr>
        <w:spacing w:after="0" w:line="240" w:lineRule="auto"/>
        <w:ind w:firstLine="284"/>
        <w:jc w:val="both"/>
        <w:rPr>
          <w:rFonts w:ascii="Garamond" w:hAnsi="Garamond"/>
          <w:sz w:val="24"/>
          <w:szCs w:val="24"/>
          <w:lang w:val="sq-AL"/>
        </w:rPr>
      </w:pPr>
    </w:p>
    <w:p w14:paraId="75C0B6BD" w14:textId="77777777" w:rsidR="00583ABC" w:rsidRPr="001C458B" w:rsidRDefault="00583ABC" w:rsidP="003D1B12">
      <w:pPr>
        <w:spacing w:after="0" w:line="240" w:lineRule="auto"/>
        <w:ind w:firstLine="284"/>
        <w:jc w:val="both"/>
        <w:rPr>
          <w:rFonts w:ascii="Garamond" w:hAnsi="Garamond"/>
          <w:sz w:val="24"/>
          <w:szCs w:val="24"/>
          <w:lang w:val="sq-AL"/>
        </w:rPr>
      </w:pPr>
    </w:p>
    <w:p w14:paraId="7D2F5489" w14:textId="77777777" w:rsidR="00583ABC" w:rsidRPr="001C458B" w:rsidRDefault="00583ABC" w:rsidP="003D1B12">
      <w:pPr>
        <w:spacing w:after="0" w:line="240" w:lineRule="auto"/>
        <w:ind w:firstLine="284"/>
        <w:jc w:val="both"/>
        <w:rPr>
          <w:rFonts w:ascii="Garamond" w:hAnsi="Garamond"/>
          <w:sz w:val="24"/>
          <w:szCs w:val="24"/>
          <w:lang w:val="sq-AL"/>
        </w:rPr>
      </w:pPr>
    </w:p>
    <w:p w14:paraId="1BCB10EB" w14:textId="77777777" w:rsidR="00583ABC" w:rsidRPr="001C458B" w:rsidRDefault="00583ABC" w:rsidP="003D1B12">
      <w:pPr>
        <w:spacing w:after="0" w:line="240" w:lineRule="auto"/>
        <w:ind w:firstLine="284"/>
        <w:jc w:val="both"/>
        <w:rPr>
          <w:rFonts w:ascii="Garamond" w:hAnsi="Garamond"/>
          <w:sz w:val="24"/>
          <w:szCs w:val="24"/>
          <w:lang w:val="sq-AL"/>
        </w:rPr>
      </w:pPr>
    </w:p>
    <w:p w14:paraId="425CFDB8" w14:textId="77777777" w:rsidR="00583ABC" w:rsidRPr="001C458B" w:rsidRDefault="00583ABC" w:rsidP="003D1B12">
      <w:pPr>
        <w:spacing w:after="0" w:line="240" w:lineRule="auto"/>
        <w:ind w:firstLine="284"/>
        <w:jc w:val="both"/>
        <w:rPr>
          <w:rFonts w:ascii="Garamond" w:hAnsi="Garamond"/>
          <w:sz w:val="24"/>
          <w:szCs w:val="24"/>
          <w:lang w:val="sq-AL"/>
        </w:rPr>
      </w:pPr>
    </w:p>
    <w:sectPr w:rsidR="00583ABC" w:rsidRPr="001C458B" w:rsidSect="00605919">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4ACE2" w14:textId="77777777" w:rsidR="001E1203" w:rsidRDefault="001E1203" w:rsidP="007E4EA2">
      <w:pPr>
        <w:spacing w:after="0" w:line="240" w:lineRule="auto"/>
      </w:pPr>
      <w:r>
        <w:separator/>
      </w:r>
    </w:p>
  </w:endnote>
  <w:endnote w:type="continuationSeparator" w:id="0">
    <w:p w14:paraId="087CA9F5" w14:textId="77777777" w:rsidR="001E1203" w:rsidRDefault="001E1203" w:rsidP="007E4EA2">
      <w:pPr>
        <w:spacing w:after="0" w:line="240" w:lineRule="auto"/>
      </w:pPr>
      <w:r>
        <w:continuationSeparator/>
      </w:r>
    </w:p>
  </w:endnote>
  <w:endnote w:type="continuationNotice" w:id="1">
    <w:p w14:paraId="1B353634" w14:textId="77777777" w:rsidR="001E1203" w:rsidRDefault="001E12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020483"/>
      <w:docPartObj>
        <w:docPartGallery w:val="Page Numbers (Bottom of Page)"/>
        <w:docPartUnique/>
      </w:docPartObj>
    </w:sdtPr>
    <w:sdtEndPr>
      <w:rPr>
        <w:noProof/>
      </w:rPr>
    </w:sdtEndPr>
    <w:sdtContent>
      <w:p w14:paraId="2A768FD8" w14:textId="77777777" w:rsidR="001E1203" w:rsidRDefault="001E1203">
        <w:pPr>
          <w:pStyle w:val="Footer"/>
          <w:jc w:val="right"/>
        </w:pPr>
        <w:r>
          <w:fldChar w:fldCharType="begin"/>
        </w:r>
        <w:r>
          <w:instrText xml:space="preserve"> PAGE   \* MERGEFORMAT </w:instrText>
        </w:r>
        <w:r>
          <w:fldChar w:fldCharType="separate"/>
        </w:r>
        <w:r w:rsidR="00685834">
          <w:rPr>
            <w:noProof/>
          </w:rPr>
          <w:t>25</w:t>
        </w:r>
        <w:r>
          <w:rPr>
            <w:noProof/>
          </w:rPr>
          <w:fldChar w:fldCharType="end"/>
        </w:r>
      </w:p>
    </w:sdtContent>
  </w:sdt>
  <w:p w14:paraId="21790CBD" w14:textId="77777777" w:rsidR="001E1203" w:rsidRDefault="001E12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54B1F" w14:textId="77777777" w:rsidR="001E1203" w:rsidRDefault="001E1203" w:rsidP="007E4EA2">
      <w:pPr>
        <w:spacing w:after="0" w:line="240" w:lineRule="auto"/>
      </w:pPr>
      <w:r>
        <w:separator/>
      </w:r>
    </w:p>
  </w:footnote>
  <w:footnote w:type="continuationSeparator" w:id="0">
    <w:p w14:paraId="602F0166" w14:textId="77777777" w:rsidR="001E1203" w:rsidRDefault="001E1203" w:rsidP="007E4EA2">
      <w:pPr>
        <w:spacing w:after="0" w:line="240" w:lineRule="auto"/>
      </w:pPr>
      <w:r>
        <w:continuationSeparator/>
      </w:r>
    </w:p>
  </w:footnote>
  <w:footnote w:type="continuationNotice" w:id="1">
    <w:p w14:paraId="1D2E96CB" w14:textId="77777777" w:rsidR="001E1203" w:rsidRDefault="001E1203">
      <w:pPr>
        <w:spacing w:after="0" w:line="240" w:lineRule="auto"/>
      </w:pPr>
    </w:p>
  </w:footnote>
  <w:footnote w:id="2">
    <w:p w14:paraId="561D395E" w14:textId="77777777" w:rsidR="001E1203" w:rsidRDefault="001E1203" w:rsidP="00583ABC">
      <w:pPr>
        <w:pStyle w:val="FootnoteText1"/>
      </w:pPr>
    </w:p>
  </w:footnote>
  <w:footnote w:id="3">
    <w:p w14:paraId="3A2EA4D7" w14:textId="77777777" w:rsidR="001E1203" w:rsidRPr="008A2E11" w:rsidRDefault="001E1203" w:rsidP="00583ABC">
      <w:pPr>
        <w:pStyle w:val="FootnoteText1"/>
        <w:rPr>
          <w:lang w:val="sq-AL"/>
        </w:rPr>
      </w:pPr>
      <w:r w:rsidRPr="008A2E11">
        <w:rPr>
          <w:rStyle w:val="FootnoteReference"/>
          <w:lang w:val="sq-AL"/>
        </w:rPr>
        <w:footnoteRef/>
      </w:r>
      <w:r w:rsidRPr="008A2E11">
        <w:rPr>
          <w:lang w:val="sq-AL"/>
        </w:rPr>
        <w:t xml:space="preserve"> Për më shumë, </w:t>
      </w:r>
      <w:r w:rsidRPr="008A2E11">
        <w:rPr>
          <w:lang w:val="sq-AL"/>
        </w:rPr>
        <w:t xml:space="preserve">referojuni sqarimeve të EBA, në adresën: </w:t>
      </w:r>
      <w:hyperlink r:id="rId1" w:history="1">
        <w:r w:rsidRPr="008A2E11">
          <w:rPr>
            <w:rStyle w:val="Hyperlink1"/>
            <w:lang w:val="sq-AL"/>
          </w:rPr>
          <w:t>http://www.eba.europa.eu/single-rule-book-qa/-/qna/view/publicId/2016_3055</w:t>
        </w:r>
      </w:hyperlink>
      <w:r w:rsidRPr="008A2E11">
        <w:rPr>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146AC"/>
    <w:multiLevelType w:val="hybridMultilevel"/>
    <w:tmpl w:val="5B3094AA"/>
    <w:lvl w:ilvl="0" w:tplc="417CBB3A">
      <w:start w:val="1"/>
      <w:numFmt w:val="lowerRoman"/>
      <w:lvlText w:val="(%1)"/>
      <w:lvlJc w:val="right"/>
      <w:pPr>
        <w:ind w:left="1440" w:hanging="360"/>
      </w:pPr>
      <w:rPr>
        <w:rFonts w:ascii="Times New Roman" w:eastAsiaTheme="minorHAnsi" w:hAnsi="Times New Roman" w:cs="Times New Roman"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993F5B"/>
    <w:multiLevelType w:val="hybridMultilevel"/>
    <w:tmpl w:val="616241C8"/>
    <w:lvl w:ilvl="0" w:tplc="030AD0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ED6E11"/>
    <w:multiLevelType w:val="hybridMultilevel"/>
    <w:tmpl w:val="24145FCA"/>
    <w:lvl w:ilvl="0" w:tplc="3C329C28">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101C417D"/>
    <w:multiLevelType w:val="hybridMultilevel"/>
    <w:tmpl w:val="52D29A2E"/>
    <w:lvl w:ilvl="0" w:tplc="04090019">
      <w:start w:val="1"/>
      <w:numFmt w:val="lowerLetter"/>
      <w:lvlText w:val="%1."/>
      <w:lvlJc w:val="left"/>
      <w:pPr>
        <w:ind w:left="1080" w:hanging="360"/>
      </w:pPr>
      <w:rPr>
        <w:rFonts w:hint="default"/>
      </w:rPr>
    </w:lvl>
    <w:lvl w:ilvl="1" w:tplc="704A2EDE">
      <w:start w:val="1"/>
      <w:numFmt w:val="lowerLetter"/>
      <w:lvlText w:val="(%2)"/>
      <w:lvlJc w:val="left"/>
      <w:pPr>
        <w:ind w:left="1800" w:hanging="360"/>
      </w:pPr>
      <w:rPr>
        <w:rFonts w:ascii="Times New Roman" w:eastAsiaTheme="minorHAnsi" w:hAnsi="Times New Roman" w:cs="Times New Roman"/>
      </w:rPr>
    </w:lvl>
    <w:lvl w:ilvl="2" w:tplc="747E86BA">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39188D"/>
    <w:multiLevelType w:val="hybridMultilevel"/>
    <w:tmpl w:val="F582FD30"/>
    <w:lvl w:ilvl="0" w:tplc="BEE00E4E">
      <w:start w:val="1"/>
      <w:numFmt w:val="lowerLetter"/>
      <w:lvlText w:val="%1)"/>
      <w:lvlJc w:val="left"/>
      <w:pPr>
        <w:tabs>
          <w:tab w:val="num" w:pos="720"/>
        </w:tabs>
        <w:ind w:left="720" w:hanging="360"/>
      </w:pPr>
      <w:rPr>
        <w:rFonts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3B30B3"/>
    <w:multiLevelType w:val="hybridMultilevel"/>
    <w:tmpl w:val="ABDC884A"/>
    <w:lvl w:ilvl="0" w:tplc="7F8246E8">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4A071C"/>
    <w:multiLevelType w:val="hybridMultilevel"/>
    <w:tmpl w:val="F4B8F972"/>
    <w:lvl w:ilvl="0" w:tplc="EE60A09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3B48B652">
      <w:start w:val="1"/>
      <w:numFmt w:val="lowerRoman"/>
      <w:lvlText w:val="(%4)"/>
      <w:lvlJc w:val="left"/>
      <w:pPr>
        <w:ind w:left="3240" w:hanging="360"/>
      </w:pPr>
      <w:rPr>
        <w:rFonts w:ascii="Times New Roman" w:eastAsiaTheme="minorHAnsi" w:hAnsi="Times New Roman" w:cs="Times New Roman"/>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7E615D"/>
    <w:multiLevelType w:val="hybridMultilevel"/>
    <w:tmpl w:val="B71661C8"/>
    <w:lvl w:ilvl="0" w:tplc="8E2A7AF6">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18B9368B"/>
    <w:multiLevelType w:val="hybridMultilevel"/>
    <w:tmpl w:val="B06244E4"/>
    <w:lvl w:ilvl="0" w:tplc="F210DCA8">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1BF8241C"/>
    <w:multiLevelType w:val="hybridMultilevel"/>
    <w:tmpl w:val="2294FBCC"/>
    <w:lvl w:ilvl="0" w:tplc="A3CC603C">
      <w:start w:val="2"/>
      <w:numFmt w:val="decimal"/>
      <w:lvlText w:val="%1."/>
      <w:lvlJc w:val="left"/>
      <w:pPr>
        <w:ind w:left="720" w:hanging="360"/>
      </w:pPr>
      <w:rPr>
        <w:rFonts w:eastAsiaTheme="minorHAnsi" w:hint="default"/>
        <w:i w:val="0"/>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0782F77"/>
    <w:multiLevelType w:val="hybridMultilevel"/>
    <w:tmpl w:val="4C78FD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31B80AD2"/>
    <w:multiLevelType w:val="hybridMultilevel"/>
    <w:tmpl w:val="A2CCF7D0"/>
    <w:lvl w:ilvl="0" w:tplc="B30A2FC2">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51E2F"/>
    <w:multiLevelType w:val="hybridMultilevel"/>
    <w:tmpl w:val="B6DCB028"/>
    <w:lvl w:ilvl="0" w:tplc="512A2F22">
      <w:start w:val="1"/>
      <w:numFmt w:val="bullet"/>
      <w:lvlText w:val="-"/>
      <w:lvlJc w:val="left"/>
      <w:pPr>
        <w:ind w:left="720" w:hanging="360"/>
      </w:pPr>
      <w:rPr>
        <w:rFonts w:ascii="Times New Roman" w:eastAsiaTheme="minorHAnsi" w:hAnsi="Times New Roman" w:cs="Times New Roman" w:hint="default"/>
        <w:b w:val="0"/>
      </w:rPr>
    </w:lvl>
    <w:lvl w:ilvl="1" w:tplc="67B2AA56">
      <w:start w:val="1"/>
      <w:numFmt w:val="lowerLetter"/>
      <w:lvlText w:val="%2."/>
      <w:lvlJc w:val="left"/>
      <w:pPr>
        <w:ind w:left="1440" w:hanging="360"/>
      </w:pPr>
      <w:rPr>
        <w:b w:val="0"/>
      </w:rPr>
    </w:lvl>
    <w:lvl w:ilvl="2" w:tplc="C0980B36">
      <w:start w:val="1"/>
      <w:numFmt w:val="decimal"/>
      <w:lvlText w:val="(%3)"/>
      <w:lvlJc w:val="right"/>
      <w:pPr>
        <w:ind w:left="2160" w:hanging="180"/>
      </w:pPr>
      <w:rPr>
        <w:rFonts w:ascii="Times New Roman" w:eastAsiaTheme="minorHAnsi" w:hAnsi="Times New Roman" w:cs="Times New Roman"/>
        <w:b w:val="0"/>
      </w:rPr>
    </w:lvl>
    <w:lvl w:ilvl="3" w:tplc="0409000F">
      <w:start w:val="1"/>
      <w:numFmt w:val="decimal"/>
      <w:lvlText w:val="%4."/>
      <w:lvlJc w:val="left"/>
      <w:pPr>
        <w:ind w:left="2880" w:hanging="360"/>
      </w:pPr>
    </w:lvl>
    <w:lvl w:ilvl="4" w:tplc="6EE4789C">
      <w:start w:val="1"/>
      <w:numFmt w:val="lowerRoman"/>
      <w:lvlText w:val="(%5)"/>
      <w:lvlJc w:val="left"/>
      <w:pPr>
        <w:ind w:left="3960" w:hanging="720"/>
      </w:pPr>
      <w:rPr>
        <w:rFonts w:hint="default"/>
      </w:rPr>
    </w:lvl>
    <w:lvl w:ilvl="5" w:tplc="9F6C634E">
      <w:start w:val="1"/>
      <w:numFmt w:val="lowerLetter"/>
      <w:lvlText w:val="(%6)"/>
      <w:lvlJc w:val="left"/>
      <w:pPr>
        <w:ind w:left="4500" w:hanging="360"/>
      </w:pPr>
      <w:rPr>
        <w:rFonts w:ascii="Times New Roman" w:eastAsiaTheme="minorHAnsi" w:hAnsi="Times New Roman" w:cs="Times New Roman"/>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13BD4"/>
    <w:multiLevelType w:val="hybridMultilevel"/>
    <w:tmpl w:val="971C7BE0"/>
    <w:lvl w:ilvl="0" w:tplc="C2E43F42">
      <w:start w:val="1"/>
      <w:numFmt w:val="lowerLetter"/>
      <w:lvlText w:val="%1)"/>
      <w:lvlJc w:val="left"/>
      <w:pPr>
        <w:ind w:left="720" w:hanging="360"/>
      </w:pPr>
      <w:rPr>
        <w:rFonts w:eastAsia="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7D0ECE"/>
    <w:multiLevelType w:val="hybridMultilevel"/>
    <w:tmpl w:val="DC4E386C"/>
    <w:lvl w:ilvl="0" w:tplc="0B669AD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9A81B5E"/>
    <w:multiLevelType w:val="hybridMultilevel"/>
    <w:tmpl w:val="053885DC"/>
    <w:lvl w:ilvl="0" w:tplc="E8C20EB4">
      <w:start w:val="1"/>
      <w:numFmt w:val="lowerLetter"/>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77D6AD7C">
      <w:start w:val="2"/>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AF3FCD"/>
    <w:multiLevelType w:val="hybridMultilevel"/>
    <w:tmpl w:val="D0CE1ED2"/>
    <w:lvl w:ilvl="0" w:tplc="A7EA567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1722BC7A">
      <w:start w:val="1"/>
      <w:numFmt w:val="lowerRoman"/>
      <w:lvlText w:val="(%3)"/>
      <w:lvlJc w:val="right"/>
      <w:pPr>
        <w:ind w:left="2520" w:hanging="180"/>
      </w:pPr>
      <w:rPr>
        <w:rFonts w:ascii="Times New Roman" w:eastAsiaTheme="minorHAnsi" w:hAnsi="Times New Roman" w:cs="Times New Roman"/>
      </w:rPr>
    </w:lvl>
    <w:lvl w:ilvl="3" w:tplc="0409000F">
      <w:start w:val="1"/>
      <w:numFmt w:val="decimal"/>
      <w:lvlText w:val="%4."/>
      <w:lvlJc w:val="left"/>
      <w:pPr>
        <w:ind w:left="3240" w:hanging="360"/>
      </w:pPr>
    </w:lvl>
    <w:lvl w:ilvl="4" w:tplc="C7D268DA">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1034B2"/>
    <w:multiLevelType w:val="hybridMultilevel"/>
    <w:tmpl w:val="90BE5294"/>
    <w:lvl w:ilvl="0" w:tplc="0409000F">
      <w:start w:val="1"/>
      <w:numFmt w:val="decimal"/>
      <w:lvlText w:val="%1."/>
      <w:lvlJc w:val="left"/>
      <w:pPr>
        <w:ind w:left="720" w:hanging="360"/>
      </w:pPr>
      <w:rPr>
        <w:rFonts w:hint="default"/>
      </w:rPr>
    </w:lvl>
    <w:lvl w:ilvl="1" w:tplc="441A1294">
      <w:start w:val="1"/>
      <w:numFmt w:val="lowerLetter"/>
      <w:lvlText w:val="(%2)"/>
      <w:lvlJc w:val="left"/>
      <w:pPr>
        <w:ind w:left="1440" w:hanging="360"/>
      </w:pPr>
      <w:rPr>
        <w:rFonts w:ascii="Times New Roman" w:eastAsiaTheme="minorHAnsi" w:hAnsi="Times New Roman" w:cs="Times New Roman"/>
        <w:b w:val="0"/>
      </w:rPr>
    </w:lvl>
    <w:lvl w:ilvl="2" w:tplc="417CBB3A">
      <w:start w:val="1"/>
      <w:numFmt w:val="lowerRoman"/>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5156D1BE">
      <w:start w:val="1"/>
      <w:numFmt w:val="decimal"/>
      <w:lvlText w:val="(%5)"/>
      <w:lvlJc w:val="left"/>
      <w:pPr>
        <w:ind w:left="3600" w:hanging="360"/>
      </w:pPr>
      <w:rPr>
        <w:rFonts w:hint="default"/>
        <w:color w:val="auto"/>
      </w:rPr>
    </w:lvl>
    <w:lvl w:ilvl="5" w:tplc="0409001B">
      <w:start w:val="1"/>
      <w:numFmt w:val="lowerRoman"/>
      <w:lvlText w:val="%6."/>
      <w:lvlJc w:val="right"/>
      <w:pPr>
        <w:ind w:left="4320" w:hanging="180"/>
      </w:pPr>
    </w:lvl>
    <w:lvl w:ilvl="6" w:tplc="94AE5F86">
      <w:numFmt w:val="bullet"/>
      <w:lvlText w:val=""/>
      <w:lvlJc w:val="left"/>
      <w:pPr>
        <w:ind w:left="5040" w:hanging="360"/>
      </w:pPr>
      <w:rPr>
        <w:rFonts w:ascii="Symbol" w:eastAsiaTheme="minorHAnsi" w:hAnsi="Symbol" w:cs="Times New Roman"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F75EF"/>
    <w:multiLevelType w:val="hybridMultilevel"/>
    <w:tmpl w:val="EE3E48CE"/>
    <w:lvl w:ilvl="0" w:tplc="C84EE07E">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477D3D7D"/>
    <w:multiLevelType w:val="hybridMultilevel"/>
    <w:tmpl w:val="60EEE95E"/>
    <w:lvl w:ilvl="0" w:tplc="6930C93C">
      <w:start w:val="1"/>
      <w:numFmt w:val="lowerLetter"/>
      <w:lvlText w:val="(%1)"/>
      <w:lvlJc w:val="left"/>
      <w:pPr>
        <w:ind w:left="2636" w:hanging="360"/>
      </w:pPr>
      <w:rPr>
        <w:rFonts w:ascii="Times New Roman" w:eastAsiaTheme="minorHAnsi" w:hAnsi="Times New Roman" w:cs="Times New Roman"/>
        <w:color w:val="auto"/>
      </w:rPr>
    </w:lvl>
    <w:lvl w:ilvl="1" w:tplc="04090019" w:tentative="1">
      <w:start w:val="1"/>
      <w:numFmt w:val="lowerLetter"/>
      <w:lvlText w:val="%2."/>
      <w:lvlJc w:val="left"/>
      <w:pPr>
        <w:ind w:left="3356" w:hanging="360"/>
      </w:pPr>
    </w:lvl>
    <w:lvl w:ilvl="2" w:tplc="0409001B" w:tentative="1">
      <w:start w:val="1"/>
      <w:numFmt w:val="lowerRoman"/>
      <w:lvlText w:val="%3."/>
      <w:lvlJc w:val="right"/>
      <w:pPr>
        <w:ind w:left="4076" w:hanging="180"/>
      </w:pPr>
    </w:lvl>
    <w:lvl w:ilvl="3" w:tplc="0409000F" w:tentative="1">
      <w:start w:val="1"/>
      <w:numFmt w:val="decimal"/>
      <w:lvlText w:val="%4."/>
      <w:lvlJc w:val="left"/>
      <w:pPr>
        <w:ind w:left="4796" w:hanging="360"/>
      </w:pPr>
    </w:lvl>
    <w:lvl w:ilvl="4" w:tplc="04090019" w:tentative="1">
      <w:start w:val="1"/>
      <w:numFmt w:val="lowerLetter"/>
      <w:lvlText w:val="%5."/>
      <w:lvlJc w:val="left"/>
      <w:pPr>
        <w:ind w:left="5516" w:hanging="360"/>
      </w:pPr>
    </w:lvl>
    <w:lvl w:ilvl="5" w:tplc="0409001B" w:tentative="1">
      <w:start w:val="1"/>
      <w:numFmt w:val="lowerRoman"/>
      <w:lvlText w:val="%6."/>
      <w:lvlJc w:val="right"/>
      <w:pPr>
        <w:ind w:left="6236" w:hanging="180"/>
      </w:pPr>
    </w:lvl>
    <w:lvl w:ilvl="6" w:tplc="0409000F" w:tentative="1">
      <w:start w:val="1"/>
      <w:numFmt w:val="decimal"/>
      <w:lvlText w:val="%7."/>
      <w:lvlJc w:val="left"/>
      <w:pPr>
        <w:ind w:left="6956" w:hanging="360"/>
      </w:pPr>
    </w:lvl>
    <w:lvl w:ilvl="7" w:tplc="04090019" w:tentative="1">
      <w:start w:val="1"/>
      <w:numFmt w:val="lowerLetter"/>
      <w:lvlText w:val="%8."/>
      <w:lvlJc w:val="left"/>
      <w:pPr>
        <w:ind w:left="7676" w:hanging="360"/>
      </w:pPr>
    </w:lvl>
    <w:lvl w:ilvl="8" w:tplc="0409001B" w:tentative="1">
      <w:start w:val="1"/>
      <w:numFmt w:val="lowerRoman"/>
      <w:lvlText w:val="%9."/>
      <w:lvlJc w:val="right"/>
      <w:pPr>
        <w:ind w:left="8396" w:hanging="180"/>
      </w:pPr>
    </w:lvl>
  </w:abstractNum>
  <w:abstractNum w:abstractNumId="20" w15:restartNumberingAfterBreak="0">
    <w:nsid w:val="488F4A4F"/>
    <w:multiLevelType w:val="hybridMultilevel"/>
    <w:tmpl w:val="1A7434B0"/>
    <w:lvl w:ilvl="0" w:tplc="A478048E">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61580A"/>
    <w:multiLevelType w:val="hybridMultilevel"/>
    <w:tmpl w:val="1EFE4B80"/>
    <w:lvl w:ilvl="0" w:tplc="0AF23B8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9731821"/>
    <w:multiLevelType w:val="hybridMultilevel"/>
    <w:tmpl w:val="2B5232A0"/>
    <w:lvl w:ilvl="0" w:tplc="5BF664EE">
      <w:start w:val="1"/>
      <w:numFmt w:val="lowerRoman"/>
      <w:lvlText w:val="%1)"/>
      <w:lvlJc w:val="right"/>
      <w:pPr>
        <w:ind w:left="786"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315390"/>
    <w:multiLevelType w:val="hybridMultilevel"/>
    <w:tmpl w:val="9EAA7894"/>
    <w:lvl w:ilvl="0" w:tplc="B304337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B4E3DCF"/>
    <w:multiLevelType w:val="hybridMultilevel"/>
    <w:tmpl w:val="9970F4AA"/>
    <w:lvl w:ilvl="0" w:tplc="B4EE96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BB341F"/>
    <w:multiLevelType w:val="hybridMultilevel"/>
    <w:tmpl w:val="8562659A"/>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6" w15:restartNumberingAfterBreak="0">
    <w:nsid w:val="557F3A41"/>
    <w:multiLevelType w:val="hybridMultilevel"/>
    <w:tmpl w:val="99944A5C"/>
    <w:lvl w:ilvl="0" w:tplc="78B08D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6800FF"/>
    <w:multiLevelType w:val="hybridMultilevel"/>
    <w:tmpl w:val="B2FA91F6"/>
    <w:lvl w:ilvl="0" w:tplc="E6C0F1C4">
      <w:start w:val="1"/>
      <w:numFmt w:val="decimal"/>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8811F45"/>
    <w:multiLevelType w:val="hybridMultilevel"/>
    <w:tmpl w:val="05D2CA5E"/>
    <w:lvl w:ilvl="0" w:tplc="11008ED2">
      <w:start w:val="1"/>
      <w:numFmt w:val="decimal"/>
      <w:lvlText w:val="(%1)"/>
      <w:lvlJc w:val="left"/>
      <w:pPr>
        <w:ind w:left="720" w:hanging="360"/>
      </w:pPr>
      <w:rPr>
        <w:rFonts w:hint="default"/>
      </w:rPr>
    </w:lvl>
    <w:lvl w:ilvl="1" w:tplc="36EC5AFA">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D75D4"/>
    <w:multiLevelType w:val="hybridMultilevel"/>
    <w:tmpl w:val="C1487276"/>
    <w:lvl w:ilvl="0" w:tplc="B3D8E954">
      <w:start w:val="1"/>
      <w:numFmt w:val="decimal"/>
      <w:lvlText w:val="%1."/>
      <w:lvlJc w:val="left"/>
      <w:pPr>
        <w:ind w:left="1080" w:hanging="360"/>
      </w:pPr>
      <w:rPr>
        <w:rFonts w:ascii="Times New Roman" w:eastAsiaTheme="minorHAnsi" w:hAnsi="Times New Roman" w:cs="Times New Roman"/>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15:restartNumberingAfterBreak="0">
    <w:nsid w:val="607B179C"/>
    <w:multiLevelType w:val="hybridMultilevel"/>
    <w:tmpl w:val="07824CE2"/>
    <w:lvl w:ilvl="0" w:tplc="ECA28FB4">
      <w:start w:val="1"/>
      <w:numFmt w:val="decimal"/>
      <w:lvlText w:val="(%1)"/>
      <w:lvlJc w:val="left"/>
      <w:pPr>
        <w:ind w:left="720" w:hanging="360"/>
      </w:pPr>
      <w:rPr>
        <w:rFonts w:hint="default"/>
        <w:b w:val="0"/>
      </w:rPr>
    </w:lvl>
    <w:lvl w:ilvl="1" w:tplc="E6EEEB0A">
      <w:start w:val="1"/>
      <w:numFmt w:val="lowerLetter"/>
      <w:lvlText w:val="(%2)"/>
      <w:lvlJc w:val="left"/>
      <w:pPr>
        <w:ind w:left="1440" w:hanging="360"/>
      </w:pPr>
      <w:rPr>
        <w:rFonts w:ascii="Times New Roman" w:eastAsiaTheme="minorHAnsi" w:hAnsi="Times New Roman" w:cs="Times New Roman"/>
        <w:b w:val="0"/>
        <w:color w:val="auto"/>
      </w:rPr>
    </w:lvl>
    <w:lvl w:ilvl="2" w:tplc="ED6A7B52">
      <w:start w:val="1"/>
      <w:numFmt w:val="lowerLetter"/>
      <w:lvlText w:val="(%3)"/>
      <w:lvlJc w:val="right"/>
      <w:pPr>
        <w:ind w:left="2160" w:hanging="180"/>
      </w:pPr>
      <w:rPr>
        <w:rFonts w:ascii="Times New Roman" w:eastAsiaTheme="minorHAnsi" w:hAnsi="Times New Roman" w:cs="Times New Roman"/>
        <w:b w:val="0"/>
      </w:rPr>
    </w:lvl>
    <w:lvl w:ilvl="3" w:tplc="718C69A2">
      <w:start w:val="1"/>
      <w:numFmt w:val="decimal"/>
      <w:lvlText w:val="(%4)"/>
      <w:lvlJc w:val="left"/>
      <w:pPr>
        <w:ind w:left="2880" w:hanging="360"/>
      </w:pPr>
      <w:rPr>
        <w:rFonts w:ascii="Times New Roman" w:eastAsiaTheme="minorHAnsi" w:hAnsi="Times New Roman" w:cs="Times New Roman"/>
      </w:rPr>
    </w:lvl>
    <w:lvl w:ilvl="4" w:tplc="4F22204C">
      <w:start w:val="1"/>
      <w:numFmt w:val="lowerLetter"/>
      <w:lvlText w:val="(%5)"/>
      <w:lvlJc w:val="left"/>
      <w:pPr>
        <w:ind w:left="3600" w:hanging="360"/>
      </w:pPr>
      <w:rPr>
        <w:rFonts w:ascii="Times New Roman" w:eastAsiaTheme="minorHAnsi" w:hAnsi="Times New Roman" w:cs="Times New Roman"/>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B94079"/>
    <w:multiLevelType w:val="hybridMultilevel"/>
    <w:tmpl w:val="6478F072"/>
    <w:lvl w:ilvl="0" w:tplc="D52476AA">
      <w:start w:val="1"/>
      <w:numFmt w:val="lowerLetter"/>
      <w:lvlText w:val="(%1)"/>
      <w:lvlJc w:val="left"/>
      <w:pPr>
        <w:ind w:left="1440" w:hanging="360"/>
      </w:pPr>
      <w:rPr>
        <w:rFonts w:ascii="Times New Roman" w:eastAsiaTheme="minorHAnsi" w:hAnsi="Times New Roman" w:cs="Times New Roman"/>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7D0E1D"/>
    <w:multiLevelType w:val="hybridMultilevel"/>
    <w:tmpl w:val="66B6F01A"/>
    <w:lvl w:ilvl="0" w:tplc="A7EA567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713A38"/>
    <w:multiLevelType w:val="hybridMultilevel"/>
    <w:tmpl w:val="4926A62A"/>
    <w:lvl w:ilvl="0" w:tplc="E642FE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4EF0343"/>
    <w:multiLevelType w:val="hybridMultilevel"/>
    <w:tmpl w:val="EA0693B6"/>
    <w:lvl w:ilvl="0" w:tplc="322630BE">
      <w:start w:val="1"/>
      <w:numFmt w:val="lowerLetter"/>
      <w:lvlText w:val="(%1)"/>
      <w:lvlJc w:val="left"/>
      <w:pPr>
        <w:ind w:left="2160" w:hanging="360"/>
      </w:pPr>
      <w:rPr>
        <w:rFonts w:ascii="Times New Roman" w:eastAsiaTheme="minorHAnsi" w:hAnsi="Times New Roman" w:cs="Times New Roman"/>
        <w:b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63006E6"/>
    <w:multiLevelType w:val="hybridMultilevel"/>
    <w:tmpl w:val="B77CBD24"/>
    <w:lvl w:ilvl="0" w:tplc="B304337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B480524"/>
    <w:multiLevelType w:val="hybridMultilevel"/>
    <w:tmpl w:val="307EC924"/>
    <w:lvl w:ilvl="0" w:tplc="037E31D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E6A3484"/>
    <w:multiLevelType w:val="hybridMultilevel"/>
    <w:tmpl w:val="B8C873C8"/>
    <w:lvl w:ilvl="0" w:tplc="512A2F22">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FAD1320"/>
    <w:multiLevelType w:val="hybridMultilevel"/>
    <w:tmpl w:val="92040EBE"/>
    <w:lvl w:ilvl="0" w:tplc="3258BF6E">
      <w:start w:val="9"/>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0" w15:restartNumberingAfterBreak="0">
    <w:nsid w:val="71966414"/>
    <w:multiLevelType w:val="hybridMultilevel"/>
    <w:tmpl w:val="0F4892C4"/>
    <w:lvl w:ilvl="0" w:tplc="9774B22A">
      <w:start w:val="1"/>
      <w:numFmt w:val="decimal"/>
      <w:lvlText w:val="(%1)"/>
      <w:lvlJc w:val="left"/>
      <w:pPr>
        <w:ind w:left="720" w:hanging="360"/>
      </w:pPr>
      <w:rPr>
        <w:rFonts w:hint="default"/>
      </w:rPr>
    </w:lvl>
    <w:lvl w:ilvl="1" w:tplc="9F0296E8">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DAC65DC0">
      <w:start w:val="1"/>
      <w:numFmt w:val="bullet"/>
      <w:lvlText w:val=""/>
      <w:lvlJc w:val="left"/>
      <w:pPr>
        <w:ind w:left="2880" w:hanging="360"/>
      </w:pPr>
      <w:rPr>
        <w:rFonts w:ascii="Symbol" w:eastAsiaTheme="minorHAnsi" w:hAnsi="Symbol" w:cs="Times New Roman" w:hint="default"/>
      </w:rPr>
    </w:lvl>
    <w:lvl w:ilvl="4" w:tplc="490258DC">
      <w:start w:val="1"/>
      <w:numFmt w:val="lowerLetter"/>
      <w:lvlText w:val="(%5)"/>
      <w:lvlJc w:val="left"/>
      <w:pPr>
        <w:ind w:left="3600" w:hanging="360"/>
      </w:pPr>
      <w:rPr>
        <w:rFonts w:ascii="Times New Roman" w:eastAsiaTheme="minorHAnsi" w:hAnsi="Times New Roman" w:cs="Times New Roman"/>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26735B"/>
    <w:multiLevelType w:val="hybridMultilevel"/>
    <w:tmpl w:val="4C78FD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2" w15:restartNumberingAfterBreak="0">
    <w:nsid w:val="7ABE3123"/>
    <w:multiLevelType w:val="hybridMultilevel"/>
    <w:tmpl w:val="5D46A6A8"/>
    <w:lvl w:ilvl="0" w:tplc="B4EE9638">
      <w:start w:val="1"/>
      <w:numFmt w:val="decimal"/>
      <w:lvlText w:val="(%1)"/>
      <w:lvlJc w:val="left"/>
      <w:pPr>
        <w:ind w:left="720" w:hanging="360"/>
      </w:pPr>
      <w:rPr>
        <w:rFonts w:hint="default"/>
      </w:rPr>
    </w:lvl>
    <w:lvl w:ilvl="1" w:tplc="D16831EC">
      <w:start w:val="1"/>
      <w:numFmt w:val="lowerLetter"/>
      <w:lvlText w:val="(%2)"/>
      <w:lvlJc w:val="left"/>
      <w:pPr>
        <w:ind w:left="1440" w:hanging="360"/>
      </w:pPr>
      <w:rPr>
        <w:rFonts w:ascii="Times New Roman" w:eastAsiaTheme="minorHAnsi" w:hAnsi="Times New Roman" w:cs="Times New Roman"/>
      </w:rPr>
    </w:lvl>
    <w:lvl w:ilvl="2" w:tplc="08C6FEFA">
      <w:start w:val="1"/>
      <w:numFmt w:val="lowerRoman"/>
      <w:lvlText w:val="(%3)"/>
      <w:lvlJc w:val="right"/>
      <w:pPr>
        <w:ind w:left="2160" w:hanging="180"/>
      </w:pPr>
      <w:rPr>
        <w:rFonts w:ascii="Times New Roman" w:eastAsiaTheme="minorHAnsi" w:hAnsi="Times New Roman" w:cs="Times New Roman"/>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A83F2B"/>
    <w:multiLevelType w:val="hybridMultilevel"/>
    <w:tmpl w:val="ECF4F222"/>
    <w:lvl w:ilvl="0" w:tplc="87564D9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1"/>
  </w:num>
  <w:num w:numId="4">
    <w:abstractNumId w:val="34"/>
  </w:num>
  <w:num w:numId="5">
    <w:abstractNumId w:val="13"/>
  </w:num>
  <w:num w:numId="6">
    <w:abstractNumId w:val="9"/>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4"/>
  </w:num>
  <w:num w:numId="12">
    <w:abstractNumId w:val="20"/>
  </w:num>
  <w:num w:numId="13">
    <w:abstractNumId w:val="33"/>
  </w:num>
  <w:num w:numId="14">
    <w:abstractNumId w:val="22"/>
  </w:num>
  <w:num w:numId="15">
    <w:abstractNumId w:val="31"/>
  </w:num>
  <w:num w:numId="16">
    <w:abstractNumId w:val="42"/>
  </w:num>
  <w:num w:numId="17">
    <w:abstractNumId w:val="15"/>
  </w:num>
  <w:num w:numId="18">
    <w:abstractNumId w:val="35"/>
  </w:num>
  <w:num w:numId="19">
    <w:abstractNumId w:val="3"/>
  </w:num>
  <w:num w:numId="20">
    <w:abstractNumId w:val="28"/>
  </w:num>
  <w:num w:numId="21">
    <w:abstractNumId w:val="30"/>
  </w:num>
  <w:num w:numId="22">
    <w:abstractNumId w:val="11"/>
  </w:num>
  <w:num w:numId="23">
    <w:abstractNumId w:val="17"/>
  </w:num>
  <w:num w:numId="24">
    <w:abstractNumId w:val="19"/>
  </w:num>
  <w:num w:numId="25">
    <w:abstractNumId w:val="38"/>
  </w:num>
  <w:num w:numId="26">
    <w:abstractNumId w:val="40"/>
  </w:num>
  <w:num w:numId="27">
    <w:abstractNumId w:val="26"/>
  </w:num>
  <w:num w:numId="28">
    <w:abstractNumId w:val="16"/>
  </w:num>
  <w:num w:numId="29">
    <w:abstractNumId w:val="6"/>
  </w:num>
  <w:num w:numId="30">
    <w:abstractNumId w:val="12"/>
  </w:num>
  <w:num w:numId="31">
    <w:abstractNumId w:val="43"/>
  </w:num>
  <w:num w:numId="32">
    <w:abstractNumId w:val="5"/>
  </w:num>
  <w:num w:numId="33">
    <w:abstractNumId w:val="32"/>
  </w:num>
  <w:num w:numId="34">
    <w:abstractNumId w:val="0"/>
  </w:num>
  <w:num w:numId="35">
    <w:abstractNumId w:val="24"/>
  </w:num>
  <w:num w:numId="36">
    <w:abstractNumId w:val="7"/>
  </w:num>
  <w:num w:numId="37">
    <w:abstractNumId w:val="1"/>
  </w:num>
  <w:num w:numId="38">
    <w:abstractNumId w:val="8"/>
  </w:num>
  <w:num w:numId="39">
    <w:abstractNumId w:val="27"/>
  </w:num>
  <w:num w:numId="40">
    <w:abstractNumId w:val="29"/>
  </w:num>
  <w:num w:numId="41">
    <w:abstractNumId w:val="39"/>
  </w:num>
  <w:num w:numId="42">
    <w:abstractNumId w:val="2"/>
  </w:num>
  <w:num w:numId="43">
    <w:abstractNumId w:val="21"/>
  </w:num>
  <w:num w:numId="44">
    <w:abstractNumId w:val="14"/>
  </w:num>
  <w:num w:numId="45">
    <w:abstractNumId w:val="36"/>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4AE7"/>
    <w:rsid w:val="000232C7"/>
    <w:rsid w:val="00035320"/>
    <w:rsid w:val="00054491"/>
    <w:rsid w:val="00070856"/>
    <w:rsid w:val="000C241D"/>
    <w:rsid w:val="000C3D0E"/>
    <w:rsid w:val="000C6128"/>
    <w:rsid w:val="000D723A"/>
    <w:rsid w:val="000E35ED"/>
    <w:rsid w:val="000E3810"/>
    <w:rsid w:val="001057D6"/>
    <w:rsid w:val="0011574C"/>
    <w:rsid w:val="00126BF8"/>
    <w:rsid w:val="00147541"/>
    <w:rsid w:val="001626FB"/>
    <w:rsid w:val="0016666D"/>
    <w:rsid w:val="00176BA9"/>
    <w:rsid w:val="001B3900"/>
    <w:rsid w:val="001B49D5"/>
    <w:rsid w:val="001C0D14"/>
    <w:rsid w:val="001C458B"/>
    <w:rsid w:val="001C4FCA"/>
    <w:rsid w:val="001D7491"/>
    <w:rsid w:val="001E1203"/>
    <w:rsid w:val="001E23BD"/>
    <w:rsid w:val="001F12FA"/>
    <w:rsid w:val="001F59F5"/>
    <w:rsid w:val="00217566"/>
    <w:rsid w:val="002525D9"/>
    <w:rsid w:val="00284A81"/>
    <w:rsid w:val="002A0843"/>
    <w:rsid w:val="002B7B50"/>
    <w:rsid w:val="002C54D6"/>
    <w:rsid w:val="002C5850"/>
    <w:rsid w:val="002D4BB6"/>
    <w:rsid w:val="002D7D2F"/>
    <w:rsid w:val="002E3C13"/>
    <w:rsid w:val="002F412C"/>
    <w:rsid w:val="00304696"/>
    <w:rsid w:val="00323F13"/>
    <w:rsid w:val="0032799A"/>
    <w:rsid w:val="003322A4"/>
    <w:rsid w:val="0033707C"/>
    <w:rsid w:val="00352E9C"/>
    <w:rsid w:val="00354C6E"/>
    <w:rsid w:val="0036060F"/>
    <w:rsid w:val="00394520"/>
    <w:rsid w:val="00395488"/>
    <w:rsid w:val="003B6E3E"/>
    <w:rsid w:val="003C410A"/>
    <w:rsid w:val="003D1B12"/>
    <w:rsid w:val="0040672A"/>
    <w:rsid w:val="004148DE"/>
    <w:rsid w:val="00415D29"/>
    <w:rsid w:val="004259CD"/>
    <w:rsid w:val="004417C7"/>
    <w:rsid w:val="00485781"/>
    <w:rsid w:val="004944A7"/>
    <w:rsid w:val="004A6145"/>
    <w:rsid w:val="004A7AF7"/>
    <w:rsid w:val="004B2711"/>
    <w:rsid w:val="004B4466"/>
    <w:rsid w:val="004C621D"/>
    <w:rsid w:val="004C7798"/>
    <w:rsid w:val="004D3B08"/>
    <w:rsid w:val="004D465E"/>
    <w:rsid w:val="004E23A9"/>
    <w:rsid w:val="00535A97"/>
    <w:rsid w:val="0053674E"/>
    <w:rsid w:val="0054017B"/>
    <w:rsid w:val="00540FE0"/>
    <w:rsid w:val="0054537B"/>
    <w:rsid w:val="00547961"/>
    <w:rsid w:val="00557377"/>
    <w:rsid w:val="00560CB7"/>
    <w:rsid w:val="0056399C"/>
    <w:rsid w:val="00583ABC"/>
    <w:rsid w:val="00585086"/>
    <w:rsid w:val="00591903"/>
    <w:rsid w:val="005A3E4D"/>
    <w:rsid w:val="005A4204"/>
    <w:rsid w:val="005C2403"/>
    <w:rsid w:val="00605919"/>
    <w:rsid w:val="00626251"/>
    <w:rsid w:val="0063571E"/>
    <w:rsid w:val="00637F0A"/>
    <w:rsid w:val="00645FA8"/>
    <w:rsid w:val="00650BA1"/>
    <w:rsid w:val="006601B7"/>
    <w:rsid w:val="00685834"/>
    <w:rsid w:val="006B7C42"/>
    <w:rsid w:val="006F27A3"/>
    <w:rsid w:val="007018E7"/>
    <w:rsid w:val="00701BAA"/>
    <w:rsid w:val="007272C0"/>
    <w:rsid w:val="00740501"/>
    <w:rsid w:val="00753424"/>
    <w:rsid w:val="007668D2"/>
    <w:rsid w:val="00791A22"/>
    <w:rsid w:val="007B09C8"/>
    <w:rsid w:val="007E4EA2"/>
    <w:rsid w:val="007F3954"/>
    <w:rsid w:val="00807716"/>
    <w:rsid w:val="00815CAB"/>
    <w:rsid w:val="00817BDA"/>
    <w:rsid w:val="00857DFB"/>
    <w:rsid w:val="00862194"/>
    <w:rsid w:val="00863B96"/>
    <w:rsid w:val="0087069B"/>
    <w:rsid w:val="00872F91"/>
    <w:rsid w:val="00881CD9"/>
    <w:rsid w:val="00890C65"/>
    <w:rsid w:val="008A5A39"/>
    <w:rsid w:val="008B2A9E"/>
    <w:rsid w:val="008B2C7D"/>
    <w:rsid w:val="008F0CFA"/>
    <w:rsid w:val="008F12AF"/>
    <w:rsid w:val="00911CA4"/>
    <w:rsid w:val="00924ABB"/>
    <w:rsid w:val="00925364"/>
    <w:rsid w:val="00937734"/>
    <w:rsid w:val="009461E4"/>
    <w:rsid w:val="0097672A"/>
    <w:rsid w:val="00995149"/>
    <w:rsid w:val="0099553B"/>
    <w:rsid w:val="00996143"/>
    <w:rsid w:val="009A16BE"/>
    <w:rsid w:val="009A4D40"/>
    <w:rsid w:val="009A5157"/>
    <w:rsid w:val="009B199D"/>
    <w:rsid w:val="009C0A97"/>
    <w:rsid w:val="009D25B2"/>
    <w:rsid w:val="00A002CE"/>
    <w:rsid w:val="00A21416"/>
    <w:rsid w:val="00A32027"/>
    <w:rsid w:val="00A41CAC"/>
    <w:rsid w:val="00A75EFD"/>
    <w:rsid w:val="00A81A7D"/>
    <w:rsid w:val="00A926B9"/>
    <w:rsid w:val="00AB0AFC"/>
    <w:rsid w:val="00AE06C5"/>
    <w:rsid w:val="00AE5F8D"/>
    <w:rsid w:val="00AF3098"/>
    <w:rsid w:val="00AF435F"/>
    <w:rsid w:val="00AF6816"/>
    <w:rsid w:val="00B05E3A"/>
    <w:rsid w:val="00B07489"/>
    <w:rsid w:val="00B3461F"/>
    <w:rsid w:val="00B51DFA"/>
    <w:rsid w:val="00B6025A"/>
    <w:rsid w:val="00B6428C"/>
    <w:rsid w:val="00B95F61"/>
    <w:rsid w:val="00BB7007"/>
    <w:rsid w:val="00BD6131"/>
    <w:rsid w:val="00C016C5"/>
    <w:rsid w:val="00C024BF"/>
    <w:rsid w:val="00C038C6"/>
    <w:rsid w:val="00C11B0D"/>
    <w:rsid w:val="00C145A5"/>
    <w:rsid w:val="00C17B76"/>
    <w:rsid w:val="00C25296"/>
    <w:rsid w:val="00C41525"/>
    <w:rsid w:val="00C42C15"/>
    <w:rsid w:val="00C476D1"/>
    <w:rsid w:val="00C50BE4"/>
    <w:rsid w:val="00C72B1B"/>
    <w:rsid w:val="00C759B3"/>
    <w:rsid w:val="00C858FC"/>
    <w:rsid w:val="00C86E1B"/>
    <w:rsid w:val="00C963D2"/>
    <w:rsid w:val="00CB388E"/>
    <w:rsid w:val="00CC6FC3"/>
    <w:rsid w:val="00CD246D"/>
    <w:rsid w:val="00CD4250"/>
    <w:rsid w:val="00CE6062"/>
    <w:rsid w:val="00CF24E9"/>
    <w:rsid w:val="00D1064B"/>
    <w:rsid w:val="00D1611F"/>
    <w:rsid w:val="00D21136"/>
    <w:rsid w:val="00D24D64"/>
    <w:rsid w:val="00D24E68"/>
    <w:rsid w:val="00D3216F"/>
    <w:rsid w:val="00D4421D"/>
    <w:rsid w:val="00D95F4B"/>
    <w:rsid w:val="00DC5395"/>
    <w:rsid w:val="00DD4BBD"/>
    <w:rsid w:val="00DE07AA"/>
    <w:rsid w:val="00DE7468"/>
    <w:rsid w:val="00E0405E"/>
    <w:rsid w:val="00E05187"/>
    <w:rsid w:val="00E20624"/>
    <w:rsid w:val="00E22238"/>
    <w:rsid w:val="00E561AF"/>
    <w:rsid w:val="00E61BFE"/>
    <w:rsid w:val="00E64D27"/>
    <w:rsid w:val="00E71791"/>
    <w:rsid w:val="00E76F91"/>
    <w:rsid w:val="00E82866"/>
    <w:rsid w:val="00E867AE"/>
    <w:rsid w:val="00E877E5"/>
    <w:rsid w:val="00E975B7"/>
    <w:rsid w:val="00EA6347"/>
    <w:rsid w:val="00EC236A"/>
    <w:rsid w:val="00ED574E"/>
    <w:rsid w:val="00EE0B92"/>
    <w:rsid w:val="00EE30AA"/>
    <w:rsid w:val="00F166A9"/>
    <w:rsid w:val="00F30E85"/>
    <w:rsid w:val="00F34858"/>
    <w:rsid w:val="00F60E99"/>
    <w:rsid w:val="00F749EC"/>
    <w:rsid w:val="00F85E12"/>
    <w:rsid w:val="00FB6924"/>
    <w:rsid w:val="00FE2C1C"/>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4AD600"/>
  <w15:docId w15:val="{B078BC65-050A-4E29-AE4A-99EACCBA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semiHidden/>
    <w:unhideWhenUsed/>
    <w:rsid w:val="006601B7"/>
    <w:rPr>
      <w:sz w:val="16"/>
      <w:szCs w:val="16"/>
    </w:rPr>
  </w:style>
  <w:style w:type="paragraph" w:styleId="CommentText">
    <w:name w:val="annotation text"/>
    <w:basedOn w:val="Normal"/>
    <w:link w:val="CommentTextChar"/>
    <w:uiPriority w:val="99"/>
    <w:semiHidden/>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semiHidden/>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numbering" w:customStyle="1" w:styleId="NoList1">
    <w:name w:val="No List1"/>
    <w:next w:val="NoList"/>
    <w:uiPriority w:val="99"/>
    <w:semiHidden/>
    <w:unhideWhenUsed/>
    <w:rsid w:val="00583ABC"/>
  </w:style>
  <w:style w:type="table" w:customStyle="1" w:styleId="TableGrid1">
    <w:name w:val="Table Grid1"/>
    <w:basedOn w:val="TableNormal"/>
    <w:next w:val="TableGrid"/>
    <w:uiPriority w:val="39"/>
    <w:rsid w:val="00583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583ABC"/>
    <w:rPr>
      <w:color w:val="0563C1"/>
      <w:u w:val="single"/>
    </w:rPr>
  </w:style>
  <w:style w:type="paragraph" w:customStyle="1" w:styleId="FootnoteText1">
    <w:name w:val="Footnote Text1"/>
    <w:basedOn w:val="Normal"/>
    <w:next w:val="FootnoteText"/>
    <w:link w:val="FootnoteTextChar"/>
    <w:uiPriority w:val="99"/>
    <w:semiHidden/>
    <w:unhideWhenUsed/>
    <w:rsid w:val="00583ABC"/>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583ABC"/>
    <w:rPr>
      <w:sz w:val="20"/>
      <w:szCs w:val="20"/>
    </w:rPr>
  </w:style>
  <w:style w:type="character" w:styleId="FootnoteReference">
    <w:name w:val="footnote reference"/>
    <w:basedOn w:val="DefaultParagraphFont"/>
    <w:uiPriority w:val="99"/>
    <w:semiHidden/>
    <w:unhideWhenUsed/>
    <w:rsid w:val="00583ABC"/>
    <w:rPr>
      <w:vertAlign w:val="superscript"/>
    </w:rPr>
  </w:style>
  <w:style w:type="paragraph" w:customStyle="1" w:styleId="len">
    <w:name w:val="Člen"/>
    <w:basedOn w:val="Normal"/>
    <w:next w:val="Normal"/>
    <w:uiPriority w:val="99"/>
    <w:rsid w:val="00583ABC"/>
    <w:pPr>
      <w:autoSpaceDE w:val="0"/>
      <w:autoSpaceDN w:val="0"/>
      <w:adjustRightInd w:val="0"/>
      <w:spacing w:after="0" w:line="240" w:lineRule="auto"/>
    </w:pPr>
    <w:rPr>
      <w:rFonts w:ascii="Times New Roman" w:eastAsia="Calibri" w:hAnsi="Times New Roman" w:cs="Times New Roman"/>
      <w:sz w:val="24"/>
      <w:szCs w:val="24"/>
    </w:rPr>
  </w:style>
  <w:style w:type="character" w:styleId="Hyperlink">
    <w:name w:val="Hyperlink"/>
    <w:basedOn w:val="DefaultParagraphFont"/>
    <w:uiPriority w:val="99"/>
    <w:unhideWhenUsed/>
    <w:rsid w:val="00583ABC"/>
    <w:rPr>
      <w:color w:val="0000FF" w:themeColor="hyperlink"/>
      <w:u w:val="single"/>
    </w:rPr>
  </w:style>
  <w:style w:type="paragraph" w:styleId="FootnoteText">
    <w:name w:val="footnote text"/>
    <w:basedOn w:val="Normal"/>
    <w:link w:val="FootnoteTextChar1"/>
    <w:uiPriority w:val="99"/>
    <w:semiHidden/>
    <w:unhideWhenUsed/>
    <w:rsid w:val="00583ABC"/>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583AB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02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HMAK@bankofalbani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eba.europa.eu/single-rule-book-qa/-/qna/view/publicId/2016_3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9DA0D2EDFE34BF7ABB36D637412F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2019-06-11T07:27:56Z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2019-06-09T22:00:00Z</Date_x0020_protokolli>
    <Titulli xmlns="0e656187-b300-4fb0-8bf4-3a50f872073c">Për miratimin e rregullores "Për shtesat makroproceduriale të kapitalit"</Titulli>
    <Modifikuesi xmlns="0e656187-b300-4fb0-8bf4-3a50f872073c">Fjora.Korita</Modifikuesi>
    <Nr_x002e__x0020_prot_x0020_QBZ xmlns="0e656187-b300-4fb0-8bf4-3a50f872073c">894/4</Nr_x002e__x0020_prot_x0020_QBZ>
    <Data_x0020_e_x0020_Modifikimit xmlns="0e656187-b300-4fb0-8bf4-3a50f872073c">2019-06-11T08:47:58Z</Data_x0020_e_x0020_Modifikimit>
    <Dekretuar xmlns="0e656187-b300-4fb0-8bf4-3a50f872073c">false</Dekretuar>
    <Data xmlns="0e656187-b300-4fb0-8bf4-3a50f872073c">2019-06-04T22:00:00Z</Data>
    <Nr_x002e__x0020_protokolli_x0020_i_x0020_aktit xmlns="0e656187-b300-4fb0-8bf4-3a50f872073c">2976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9DA0D2EDFE34BF7ABB36D637412F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3FF3A-DFB8-40A2-902A-71075B06F2A5}">
  <ds:schemaRefs>
    <ds:schemaRef ds:uri="http://schemas.microsoft.com/sharepoint/v3/contenttype/forms"/>
  </ds:schemaRefs>
</ds:datastoreItem>
</file>

<file path=customXml/itemProps2.xml><?xml version="1.0" encoding="utf-8"?>
<ds:datastoreItem xmlns:ds="http://schemas.openxmlformats.org/officeDocument/2006/customXml" ds:itemID="{EFA801A9-D08F-4BE0-87BB-28DA32998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03A24C-FB08-48C8-A3B3-561E1F8488CB}">
  <ds:schemaRefs>
    <ds:schemaRef ds:uri="http://purl.org/dc/elements/1.1/"/>
    <ds:schemaRef ds:uri="http://schemas.microsoft.com/office/2006/metadata/properties"/>
    <ds:schemaRef ds:uri="http://schemas.openxmlformats.org/package/2006/metadata/core-properties"/>
    <ds:schemaRef ds:uri="http://www.w3.org/XML/1998/namespace"/>
    <ds:schemaRef ds:uri="0e656187-b300-4fb0-8bf4-3a50f872073c"/>
    <ds:schemaRef ds:uri="http://purl.org/dc/terms/"/>
    <ds:schemaRef ds:uri="http://purl.org/dc/dcmitype/"/>
    <ds:schemaRef ds:uri="http://schemas.microsoft.com/office/2006/documentManagement/types"/>
  </ds:schemaRefs>
</ds:datastoreItem>
</file>

<file path=customXml/itemProps4.xml><?xml version="1.0" encoding="utf-8"?>
<ds:datastoreItem xmlns:ds="http://schemas.openxmlformats.org/officeDocument/2006/customXml" ds:itemID="{B6A2688E-F80B-41B4-A459-3AED4B47B892}">
  <ds:schemaRefs>
    <ds:schemaRef ds:uri="http://schemas.microsoft.com/sharepoint/v3/contenttype/forms"/>
  </ds:schemaRefs>
</ds:datastoreItem>
</file>

<file path=customXml/itemProps5.xml><?xml version="1.0" encoding="utf-8"?>
<ds:datastoreItem xmlns:ds="http://schemas.openxmlformats.org/officeDocument/2006/customXml" ds:itemID="{E974466A-1BE0-4A2B-9C08-281FB2A16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15C75FF-2D06-4125-9547-0C6F3772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26</Pages>
  <Words>8497</Words>
  <Characters>48435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Për miratimin e rregullores "Për shtesat makroproceduriale të kapitalit"</vt:lpstr>
    </vt:vector>
  </TitlesOfParts>
  <Company> </Company>
  <LinksUpToDate>false</LinksUpToDate>
  <CharactersWithSpaces>56819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shtesat makroproceduriale të kapitalit"</dc:title>
  <dc:creator>Gerond Ziu</dc:creator>
  <cp:lastModifiedBy>Amarilda Halilaj</cp:lastModifiedBy>
  <cp:revision>22</cp:revision>
  <cp:lastPrinted>2019-01-09T11:17:00Z</cp:lastPrinted>
  <dcterms:created xsi:type="dcterms:W3CDTF">2019-06-06T07:51:00Z</dcterms:created>
  <dcterms:modified xsi:type="dcterms:W3CDTF">2019-06-11T09:26:00Z</dcterms:modified>
</cp:coreProperties>
</file>