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E2B46" w14:textId="45D6F78A"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VENDIM</w:t>
      </w:r>
    </w:p>
    <w:p w14:paraId="1A8EC784" w14:textId="3F811992"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Nr. 53, datë 2.9.2020</w:t>
      </w:r>
    </w:p>
    <w:p w14:paraId="1B2F0218" w14:textId="77777777" w:rsidR="003529E5" w:rsidRPr="00BD09CC" w:rsidRDefault="003529E5" w:rsidP="00E23659">
      <w:pPr>
        <w:spacing w:after="0" w:line="240" w:lineRule="auto"/>
        <w:ind w:firstLine="284"/>
        <w:jc w:val="center"/>
        <w:rPr>
          <w:rFonts w:ascii="Garamond" w:hAnsi="Garamond"/>
          <w:b/>
          <w:sz w:val="24"/>
          <w:szCs w:val="24"/>
        </w:rPr>
      </w:pPr>
    </w:p>
    <w:p w14:paraId="06BDC9C8" w14:textId="34D81486"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 xml:space="preserve">PËR DISA NDRYSHIME NË RREGULLOREN </w:t>
      </w:r>
      <w:r w:rsidR="001D22EC">
        <w:rPr>
          <w:rFonts w:ascii="Garamond" w:hAnsi="Garamond"/>
          <w:b/>
          <w:sz w:val="24"/>
          <w:szCs w:val="24"/>
        </w:rPr>
        <w:t>“</w:t>
      </w:r>
      <w:r w:rsidRPr="00BD09CC">
        <w:rPr>
          <w:rFonts w:ascii="Garamond" w:hAnsi="Garamond"/>
          <w:b/>
          <w:sz w:val="24"/>
          <w:szCs w:val="24"/>
        </w:rPr>
        <w:t>PËR ADMINISTRIMIN E RREZIKUT NGA EKSPOZIMET E MËDHA TË BANKAVE</w:t>
      </w:r>
      <w:r w:rsidR="001D22EC">
        <w:rPr>
          <w:rFonts w:ascii="Garamond" w:hAnsi="Garamond"/>
          <w:b/>
          <w:sz w:val="24"/>
          <w:szCs w:val="24"/>
        </w:rPr>
        <w:t>”</w:t>
      </w:r>
    </w:p>
    <w:p w14:paraId="39F2B0AF" w14:textId="77777777" w:rsidR="00FE2C1C" w:rsidRPr="00BD09CC" w:rsidRDefault="00FE2C1C" w:rsidP="00E23659">
      <w:pPr>
        <w:spacing w:after="0" w:line="240" w:lineRule="auto"/>
        <w:ind w:firstLine="284"/>
        <w:jc w:val="both"/>
        <w:rPr>
          <w:rFonts w:ascii="Garamond" w:hAnsi="Garamond"/>
          <w:sz w:val="24"/>
          <w:szCs w:val="24"/>
        </w:rPr>
      </w:pPr>
    </w:p>
    <w:p w14:paraId="2E70F7CD" w14:textId="6E155B31" w:rsidR="00C41525" w:rsidRPr="00BD09CC" w:rsidRDefault="002B46F1"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Në bazë dhe për zbatim të nenit 12, shkronja </w:t>
      </w:r>
      <w:r w:rsidR="001D22EC">
        <w:rPr>
          <w:rFonts w:ascii="Garamond" w:hAnsi="Garamond"/>
          <w:sz w:val="24"/>
          <w:szCs w:val="24"/>
        </w:rPr>
        <w:t>“</w:t>
      </w:r>
      <w:r w:rsidRPr="00BD09CC">
        <w:rPr>
          <w:rFonts w:ascii="Garamond" w:hAnsi="Garamond"/>
          <w:sz w:val="24"/>
          <w:szCs w:val="24"/>
        </w:rPr>
        <w:t>a</w:t>
      </w:r>
      <w:r w:rsidR="001D22EC">
        <w:rPr>
          <w:rFonts w:ascii="Garamond" w:hAnsi="Garamond"/>
          <w:sz w:val="24"/>
          <w:szCs w:val="24"/>
        </w:rPr>
        <w:t>”</w:t>
      </w:r>
      <w:r w:rsidR="00DE12EE" w:rsidRPr="00BD09CC">
        <w:rPr>
          <w:rFonts w:ascii="Garamond" w:hAnsi="Garamond"/>
          <w:sz w:val="24"/>
          <w:szCs w:val="24"/>
        </w:rPr>
        <w:t>,</w:t>
      </w:r>
      <w:r w:rsidRPr="00BD09CC">
        <w:rPr>
          <w:rFonts w:ascii="Garamond" w:hAnsi="Garamond"/>
          <w:sz w:val="24"/>
          <w:szCs w:val="24"/>
        </w:rPr>
        <w:t xml:space="preserve"> dhe të nenit 43, shkronja </w:t>
      </w:r>
      <w:r w:rsidR="001D22EC">
        <w:rPr>
          <w:rFonts w:ascii="Garamond" w:hAnsi="Garamond"/>
          <w:sz w:val="24"/>
          <w:szCs w:val="24"/>
        </w:rPr>
        <w:t>“</w:t>
      </w:r>
      <w:r w:rsidRPr="00BD09CC">
        <w:rPr>
          <w:rFonts w:ascii="Garamond" w:hAnsi="Garamond"/>
          <w:sz w:val="24"/>
          <w:szCs w:val="24"/>
        </w:rPr>
        <w:t>c</w:t>
      </w:r>
      <w:r w:rsidR="001D22EC">
        <w:rPr>
          <w:rFonts w:ascii="Garamond" w:hAnsi="Garamond"/>
          <w:sz w:val="24"/>
          <w:szCs w:val="24"/>
        </w:rPr>
        <w:t>”</w:t>
      </w:r>
      <w:r w:rsidR="00DE12EE" w:rsidRPr="00BD09CC">
        <w:rPr>
          <w:rFonts w:ascii="Garamond" w:hAnsi="Garamond"/>
          <w:sz w:val="24"/>
          <w:szCs w:val="24"/>
        </w:rPr>
        <w:t>,</w:t>
      </w:r>
      <w:r w:rsidRPr="00BD09CC">
        <w:rPr>
          <w:rFonts w:ascii="Garamond" w:hAnsi="Garamond"/>
          <w:sz w:val="24"/>
          <w:szCs w:val="24"/>
        </w:rPr>
        <w:t xml:space="preserve"> të ligjit nr. 8269, datë 23.12.1997</w:t>
      </w:r>
      <w:r w:rsidR="00DE12EE" w:rsidRPr="00BD09CC">
        <w:rPr>
          <w:rFonts w:ascii="Garamond" w:hAnsi="Garamond"/>
          <w:sz w:val="24"/>
          <w:szCs w:val="24"/>
        </w:rPr>
        <w:t>,</w:t>
      </w:r>
      <w:r w:rsidRPr="00BD09CC">
        <w:rPr>
          <w:rFonts w:ascii="Garamond" w:hAnsi="Garamond"/>
          <w:sz w:val="24"/>
          <w:szCs w:val="24"/>
        </w:rPr>
        <w:t xml:space="preserve"> </w:t>
      </w:r>
      <w:r w:rsidR="001D22EC">
        <w:rPr>
          <w:rFonts w:ascii="Garamond" w:hAnsi="Garamond"/>
          <w:sz w:val="24"/>
          <w:szCs w:val="24"/>
        </w:rPr>
        <w:t>“</w:t>
      </w:r>
      <w:r w:rsidRPr="00BD09CC">
        <w:rPr>
          <w:rFonts w:ascii="Garamond" w:hAnsi="Garamond"/>
          <w:sz w:val="24"/>
          <w:szCs w:val="24"/>
        </w:rPr>
        <w:t>Për Bankën e Shqipërisë</w:t>
      </w:r>
      <w:r w:rsidR="001D22EC">
        <w:rPr>
          <w:rFonts w:ascii="Garamond" w:hAnsi="Garamond"/>
          <w:sz w:val="24"/>
          <w:szCs w:val="24"/>
        </w:rPr>
        <w:t>”</w:t>
      </w:r>
      <w:r w:rsidRPr="00BD09CC">
        <w:rPr>
          <w:rFonts w:ascii="Garamond" w:hAnsi="Garamond"/>
          <w:sz w:val="24"/>
          <w:szCs w:val="24"/>
        </w:rPr>
        <w:t xml:space="preserve">, </w:t>
      </w:r>
      <w:r w:rsidR="00BD09CC">
        <w:rPr>
          <w:rFonts w:ascii="Garamond" w:hAnsi="Garamond"/>
          <w:sz w:val="24"/>
          <w:szCs w:val="24"/>
        </w:rPr>
        <w:t>të</w:t>
      </w:r>
      <w:r w:rsidRPr="00BD09CC">
        <w:rPr>
          <w:rFonts w:ascii="Garamond" w:hAnsi="Garamond"/>
          <w:sz w:val="24"/>
          <w:szCs w:val="24"/>
        </w:rPr>
        <w:t xml:space="preserve"> ndryshuar; nenit 57, pika 2, nenit 58, shkronjat </w:t>
      </w:r>
      <w:r w:rsidR="001D22EC">
        <w:rPr>
          <w:rFonts w:ascii="Garamond" w:hAnsi="Garamond"/>
          <w:sz w:val="24"/>
          <w:szCs w:val="24"/>
        </w:rPr>
        <w:t>“</w:t>
      </w:r>
      <w:r w:rsidRPr="00BD09CC">
        <w:rPr>
          <w:rFonts w:ascii="Garamond" w:hAnsi="Garamond"/>
          <w:sz w:val="24"/>
          <w:szCs w:val="24"/>
        </w:rPr>
        <w:t>b</w:t>
      </w:r>
      <w:r w:rsidR="001D22EC">
        <w:rPr>
          <w:rFonts w:ascii="Garamond" w:hAnsi="Garamond"/>
          <w:sz w:val="24"/>
          <w:szCs w:val="24"/>
        </w:rPr>
        <w:t>”</w:t>
      </w:r>
      <w:r w:rsidRPr="00BD09CC">
        <w:rPr>
          <w:rFonts w:ascii="Garamond" w:hAnsi="Garamond"/>
          <w:sz w:val="24"/>
          <w:szCs w:val="24"/>
        </w:rPr>
        <w:t xml:space="preserve"> dhe </w:t>
      </w:r>
      <w:r w:rsidR="001D22EC">
        <w:rPr>
          <w:rFonts w:ascii="Garamond" w:hAnsi="Garamond"/>
          <w:sz w:val="24"/>
          <w:szCs w:val="24"/>
        </w:rPr>
        <w:t>“</w:t>
      </w:r>
      <w:r w:rsidRPr="00BD09CC">
        <w:rPr>
          <w:rFonts w:ascii="Garamond" w:hAnsi="Garamond"/>
          <w:sz w:val="24"/>
          <w:szCs w:val="24"/>
        </w:rPr>
        <w:t>c</w:t>
      </w:r>
      <w:r w:rsidR="001D22EC">
        <w:rPr>
          <w:rFonts w:ascii="Garamond" w:hAnsi="Garamond"/>
          <w:sz w:val="24"/>
          <w:szCs w:val="24"/>
        </w:rPr>
        <w:t>”</w:t>
      </w:r>
      <w:r w:rsidRPr="00BD09CC">
        <w:rPr>
          <w:rFonts w:ascii="Garamond" w:hAnsi="Garamond"/>
          <w:sz w:val="24"/>
          <w:szCs w:val="24"/>
        </w:rPr>
        <w:t>, neneve 60, 62, 63,</w:t>
      </w:r>
      <w:r w:rsidR="00E35C02" w:rsidRPr="00BD09CC">
        <w:rPr>
          <w:rFonts w:ascii="Garamond" w:hAnsi="Garamond"/>
          <w:sz w:val="24"/>
          <w:szCs w:val="24"/>
        </w:rPr>
        <w:t xml:space="preserve"> </w:t>
      </w:r>
      <w:r w:rsidRPr="00BD09CC">
        <w:rPr>
          <w:rFonts w:ascii="Garamond" w:hAnsi="Garamond"/>
          <w:sz w:val="24"/>
          <w:szCs w:val="24"/>
        </w:rPr>
        <w:t>64, 65 dhe 131</w:t>
      </w:r>
      <w:r w:rsidR="00BD09CC">
        <w:rPr>
          <w:rFonts w:ascii="Garamond" w:hAnsi="Garamond"/>
          <w:sz w:val="24"/>
          <w:szCs w:val="24"/>
        </w:rPr>
        <w:t>,</w:t>
      </w:r>
      <w:r w:rsidRPr="00BD09CC">
        <w:rPr>
          <w:rFonts w:ascii="Garamond" w:hAnsi="Garamond"/>
          <w:sz w:val="24"/>
          <w:szCs w:val="24"/>
        </w:rPr>
        <w:t xml:space="preserve"> të ligjit nr.</w:t>
      </w:r>
      <w:r w:rsidR="00BD09CC">
        <w:rPr>
          <w:rFonts w:ascii="Garamond" w:hAnsi="Garamond"/>
          <w:sz w:val="24"/>
          <w:szCs w:val="24"/>
        </w:rPr>
        <w:t xml:space="preserve"> </w:t>
      </w:r>
      <w:r w:rsidRPr="00BD09CC">
        <w:rPr>
          <w:rFonts w:ascii="Garamond" w:hAnsi="Garamond"/>
          <w:sz w:val="24"/>
          <w:szCs w:val="24"/>
        </w:rPr>
        <w:t>9662, datë 18.12.2006</w:t>
      </w:r>
      <w:r w:rsidR="00DE12EE" w:rsidRPr="00BD09CC">
        <w:rPr>
          <w:rFonts w:ascii="Garamond" w:hAnsi="Garamond"/>
          <w:sz w:val="24"/>
          <w:szCs w:val="24"/>
        </w:rPr>
        <w:t>,</w:t>
      </w:r>
      <w:r w:rsidRPr="00BD09CC">
        <w:rPr>
          <w:rFonts w:ascii="Garamond" w:hAnsi="Garamond"/>
          <w:sz w:val="24"/>
          <w:szCs w:val="24"/>
        </w:rPr>
        <w:t xml:space="preserve"> </w:t>
      </w:r>
      <w:r w:rsidR="001D22EC">
        <w:rPr>
          <w:rFonts w:ascii="Garamond" w:hAnsi="Garamond"/>
          <w:sz w:val="24"/>
          <w:szCs w:val="24"/>
        </w:rPr>
        <w:t>“</w:t>
      </w:r>
      <w:r w:rsidRPr="00BD09CC">
        <w:rPr>
          <w:rFonts w:ascii="Garamond" w:hAnsi="Garamond"/>
          <w:sz w:val="24"/>
          <w:szCs w:val="24"/>
        </w:rPr>
        <w:t>Për bankat në Republikën e Shqipërisë</w:t>
      </w:r>
      <w:r w:rsidR="001D22EC">
        <w:rPr>
          <w:rFonts w:ascii="Garamond" w:hAnsi="Garamond"/>
          <w:sz w:val="24"/>
          <w:szCs w:val="24"/>
        </w:rPr>
        <w:t>”</w:t>
      </w:r>
      <w:r w:rsidRPr="00BD09CC">
        <w:rPr>
          <w:rFonts w:ascii="Garamond" w:hAnsi="Garamond"/>
          <w:sz w:val="24"/>
          <w:szCs w:val="24"/>
        </w:rPr>
        <w:t>,</w:t>
      </w:r>
      <w:r w:rsidR="00C41525" w:rsidRPr="00BD09CC">
        <w:rPr>
          <w:rFonts w:ascii="Garamond" w:hAnsi="Garamond"/>
          <w:sz w:val="24"/>
          <w:szCs w:val="24"/>
        </w:rPr>
        <w:t xml:space="preserve"> </w:t>
      </w:r>
      <w:r w:rsidR="00BD09CC">
        <w:rPr>
          <w:rFonts w:ascii="Garamond" w:hAnsi="Garamond"/>
          <w:sz w:val="24"/>
          <w:szCs w:val="24"/>
        </w:rPr>
        <w:t>të</w:t>
      </w:r>
      <w:r w:rsidR="004148DE" w:rsidRPr="00BD09CC">
        <w:rPr>
          <w:rFonts w:ascii="Garamond" w:hAnsi="Garamond"/>
          <w:sz w:val="24"/>
          <w:szCs w:val="24"/>
        </w:rPr>
        <w:t xml:space="preserve"> ndryshuar</w:t>
      </w:r>
      <w:r w:rsidR="00BD09CC">
        <w:rPr>
          <w:rFonts w:ascii="Garamond" w:hAnsi="Garamond"/>
          <w:sz w:val="24"/>
          <w:szCs w:val="24"/>
        </w:rPr>
        <w:t>,</w:t>
      </w:r>
      <w:r w:rsidR="004148DE" w:rsidRPr="00BD09CC">
        <w:rPr>
          <w:rFonts w:ascii="Garamond" w:hAnsi="Garamond"/>
          <w:sz w:val="24"/>
          <w:szCs w:val="24"/>
        </w:rPr>
        <w:t xml:space="preserve"> </w:t>
      </w:r>
      <w:r w:rsidR="00C41525" w:rsidRPr="00BD09CC">
        <w:rPr>
          <w:rFonts w:ascii="Garamond" w:hAnsi="Garamond"/>
          <w:sz w:val="24"/>
          <w:szCs w:val="24"/>
        </w:rPr>
        <w:t>me propozim të Departamentit të Mbikëqyrjes, Këshilli Mbikëqyrës i Bankës së Shqipërisë</w:t>
      </w:r>
    </w:p>
    <w:p w14:paraId="3EDF3F3A" w14:textId="77777777" w:rsidR="00CE6062" w:rsidRPr="00BD09CC" w:rsidRDefault="00CE6062" w:rsidP="00E23659">
      <w:pPr>
        <w:spacing w:after="0" w:line="240" w:lineRule="auto"/>
        <w:ind w:firstLine="284"/>
        <w:jc w:val="both"/>
        <w:rPr>
          <w:rFonts w:ascii="Garamond" w:hAnsi="Garamond"/>
          <w:sz w:val="24"/>
          <w:szCs w:val="24"/>
        </w:rPr>
      </w:pPr>
    </w:p>
    <w:p w14:paraId="52368D3E" w14:textId="77777777" w:rsidR="00CE6062" w:rsidRPr="00BD09CC" w:rsidRDefault="00CE6062" w:rsidP="00E23659">
      <w:pPr>
        <w:spacing w:after="0" w:line="240" w:lineRule="auto"/>
        <w:ind w:firstLine="284"/>
        <w:jc w:val="center"/>
        <w:rPr>
          <w:rFonts w:ascii="Garamond" w:hAnsi="Garamond"/>
          <w:sz w:val="24"/>
          <w:szCs w:val="24"/>
        </w:rPr>
      </w:pPr>
      <w:r w:rsidRPr="00BD09CC">
        <w:rPr>
          <w:rFonts w:ascii="Garamond" w:hAnsi="Garamond"/>
          <w:sz w:val="24"/>
          <w:szCs w:val="24"/>
        </w:rPr>
        <w:t>VENDOSI:</w:t>
      </w:r>
    </w:p>
    <w:p w14:paraId="11D5580C" w14:textId="77777777" w:rsidR="00CE6062" w:rsidRPr="00BD09CC" w:rsidRDefault="00CE6062" w:rsidP="00E23659">
      <w:pPr>
        <w:spacing w:after="0" w:line="240" w:lineRule="auto"/>
        <w:ind w:firstLine="284"/>
        <w:jc w:val="both"/>
        <w:rPr>
          <w:rFonts w:ascii="Garamond" w:hAnsi="Garamond"/>
          <w:sz w:val="24"/>
          <w:szCs w:val="24"/>
        </w:rPr>
      </w:pPr>
    </w:p>
    <w:p w14:paraId="409F73A4" w14:textId="73759AE0" w:rsidR="00CE606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1. </w:t>
      </w:r>
      <w:r w:rsidR="00CE6062" w:rsidRPr="00BD09CC">
        <w:rPr>
          <w:rFonts w:ascii="Garamond" w:hAnsi="Garamond"/>
          <w:sz w:val="24"/>
          <w:szCs w:val="24"/>
        </w:rPr>
        <w:t xml:space="preserve">Në rregulloren </w:t>
      </w:r>
      <w:r w:rsidR="001D22EC">
        <w:rPr>
          <w:rFonts w:ascii="Garamond" w:hAnsi="Garamond"/>
          <w:sz w:val="24"/>
          <w:szCs w:val="24"/>
        </w:rPr>
        <w:t>“</w:t>
      </w:r>
      <w:r w:rsidR="002B46F1" w:rsidRPr="00BD09CC">
        <w:rPr>
          <w:rFonts w:ascii="Garamond" w:hAnsi="Garamond"/>
          <w:sz w:val="24"/>
          <w:szCs w:val="24"/>
        </w:rPr>
        <w:t>Për administrimin e rrezikut nga ekspozimet e mëdha të bankave</w:t>
      </w:r>
      <w:r w:rsidR="001D22EC">
        <w:rPr>
          <w:rFonts w:ascii="Garamond" w:hAnsi="Garamond"/>
          <w:sz w:val="24"/>
          <w:szCs w:val="24"/>
        </w:rPr>
        <w:t>”</w:t>
      </w:r>
      <w:r w:rsidR="00E82866" w:rsidRPr="00BD09CC">
        <w:rPr>
          <w:rFonts w:ascii="Garamond" w:hAnsi="Garamond"/>
          <w:sz w:val="24"/>
          <w:szCs w:val="24"/>
        </w:rPr>
        <w:t>,</w:t>
      </w:r>
      <w:r w:rsidR="00CE6062" w:rsidRPr="00BD09CC">
        <w:rPr>
          <w:rFonts w:ascii="Garamond" w:hAnsi="Garamond"/>
          <w:sz w:val="24"/>
          <w:szCs w:val="24"/>
        </w:rPr>
        <w:t xml:space="preserve"> miratuar me vendimin e Këshillit Mbikëqyrës nr. </w:t>
      </w:r>
      <w:r w:rsidR="002B46F1" w:rsidRPr="00BD09CC">
        <w:rPr>
          <w:rFonts w:ascii="Garamond" w:hAnsi="Garamond"/>
          <w:sz w:val="24"/>
          <w:szCs w:val="24"/>
        </w:rPr>
        <w:t>10</w:t>
      </w:r>
      <w:r w:rsidR="004148DE" w:rsidRPr="00BD09CC">
        <w:rPr>
          <w:rFonts w:ascii="Garamond" w:hAnsi="Garamond"/>
          <w:sz w:val="24"/>
          <w:szCs w:val="24"/>
        </w:rPr>
        <w:t xml:space="preserve">, datë </w:t>
      </w:r>
      <w:r w:rsidR="00387D62" w:rsidRPr="00BD09CC">
        <w:rPr>
          <w:rFonts w:ascii="Garamond" w:hAnsi="Garamond"/>
          <w:sz w:val="24"/>
          <w:szCs w:val="24"/>
        </w:rPr>
        <w:t>26</w:t>
      </w:r>
      <w:r w:rsidR="004148DE" w:rsidRPr="00BD09CC">
        <w:rPr>
          <w:rFonts w:ascii="Garamond" w:hAnsi="Garamond"/>
          <w:sz w:val="24"/>
          <w:szCs w:val="24"/>
        </w:rPr>
        <w:t>.</w:t>
      </w:r>
      <w:r w:rsidR="00387D62" w:rsidRPr="00BD09CC">
        <w:rPr>
          <w:rFonts w:ascii="Garamond" w:hAnsi="Garamond"/>
          <w:sz w:val="24"/>
          <w:szCs w:val="24"/>
        </w:rPr>
        <w:t>2</w:t>
      </w:r>
      <w:r w:rsidR="00CE6062" w:rsidRPr="00BD09CC">
        <w:rPr>
          <w:rFonts w:ascii="Garamond" w:hAnsi="Garamond"/>
          <w:sz w:val="24"/>
          <w:szCs w:val="24"/>
        </w:rPr>
        <w:t>.201</w:t>
      </w:r>
      <w:r w:rsidR="00387D62" w:rsidRPr="00BD09CC">
        <w:rPr>
          <w:rFonts w:ascii="Garamond" w:hAnsi="Garamond"/>
          <w:sz w:val="24"/>
          <w:szCs w:val="24"/>
        </w:rPr>
        <w:t>4</w:t>
      </w:r>
      <w:r w:rsidR="00CE6062" w:rsidRPr="00BD09CC">
        <w:rPr>
          <w:rFonts w:ascii="Garamond" w:hAnsi="Garamond"/>
          <w:sz w:val="24"/>
          <w:szCs w:val="24"/>
        </w:rPr>
        <w:t xml:space="preserve">, e ndryshuar, të </w:t>
      </w:r>
      <w:r w:rsidR="00C41525" w:rsidRPr="00BD09CC">
        <w:rPr>
          <w:rFonts w:ascii="Garamond" w:hAnsi="Garamond"/>
          <w:sz w:val="24"/>
          <w:szCs w:val="24"/>
        </w:rPr>
        <w:t>bëhe</w:t>
      </w:r>
      <w:r w:rsidR="008B2A9E" w:rsidRPr="00BD09CC">
        <w:rPr>
          <w:rFonts w:ascii="Garamond" w:hAnsi="Garamond"/>
          <w:sz w:val="24"/>
          <w:szCs w:val="24"/>
        </w:rPr>
        <w:t>n</w:t>
      </w:r>
      <w:r w:rsidR="00C41525" w:rsidRPr="00BD09CC">
        <w:rPr>
          <w:rFonts w:ascii="Garamond" w:hAnsi="Garamond"/>
          <w:sz w:val="24"/>
          <w:szCs w:val="24"/>
        </w:rPr>
        <w:t xml:space="preserve"> </w:t>
      </w:r>
      <w:r w:rsidR="00CE6062" w:rsidRPr="00BD09CC">
        <w:rPr>
          <w:rFonts w:ascii="Garamond" w:hAnsi="Garamond"/>
          <w:sz w:val="24"/>
          <w:szCs w:val="24"/>
        </w:rPr>
        <w:t>ndryshim</w:t>
      </w:r>
      <w:r w:rsidR="008B2A9E" w:rsidRPr="00BD09CC">
        <w:rPr>
          <w:rFonts w:ascii="Garamond" w:hAnsi="Garamond"/>
          <w:sz w:val="24"/>
          <w:szCs w:val="24"/>
        </w:rPr>
        <w:t>et e</w:t>
      </w:r>
      <w:r w:rsidR="00CE6062" w:rsidRPr="00BD09CC">
        <w:rPr>
          <w:rFonts w:ascii="Garamond" w:hAnsi="Garamond"/>
          <w:sz w:val="24"/>
          <w:szCs w:val="24"/>
        </w:rPr>
        <w:t xml:space="preserve"> mëposhtm</w:t>
      </w:r>
      <w:r w:rsidR="008B2A9E" w:rsidRPr="00BD09CC">
        <w:rPr>
          <w:rFonts w:ascii="Garamond" w:hAnsi="Garamond"/>
          <w:sz w:val="24"/>
          <w:szCs w:val="24"/>
        </w:rPr>
        <w:t>e</w:t>
      </w:r>
      <w:r w:rsidR="00CE6062" w:rsidRPr="00BD09CC">
        <w:rPr>
          <w:rFonts w:ascii="Garamond" w:hAnsi="Garamond"/>
          <w:sz w:val="24"/>
          <w:szCs w:val="24"/>
        </w:rPr>
        <w:t>:</w:t>
      </w:r>
    </w:p>
    <w:p w14:paraId="45C57805" w14:textId="7E1483E6" w:rsidR="00B5746E"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a) </w:t>
      </w:r>
      <w:r w:rsidR="008F4A02" w:rsidRPr="00BD09CC">
        <w:rPr>
          <w:rFonts w:ascii="Garamond" w:hAnsi="Garamond"/>
          <w:sz w:val="24"/>
          <w:szCs w:val="24"/>
        </w:rPr>
        <w:t xml:space="preserve">Në nenin 4, </w:t>
      </w:r>
      <w:r w:rsidR="00387D62" w:rsidRPr="00BD09CC">
        <w:rPr>
          <w:rFonts w:ascii="Garamond" w:hAnsi="Garamond"/>
          <w:sz w:val="24"/>
          <w:szCs w:val="24"/>
        </w:rPr>
        <w:t>pika 2</w:t>
      </w:r>
      <w:r w:rsidR="00BD09CC">
        <w:rPr>
          <w:rFonts w:ascii="Garamond" w:hAnsi="Garamond"/>
          <w:sz w:val="24"/>
          <w:szCs w:val="24"/>
        </w:rPr>
        <w:t>,</w:t>
      </w:r>
      <w:r w:rsidR="00387D62" w:rsidRPr="00BD09CC">
        <w:rPr>
          <w:rFonts w:ascii="Garamond" w:hAnsi="Garamond"/>
          <w:sz w:val="24"/>
          <w:szCs w:val="24"/>
        </w:rPr>
        <w:t xml:space="preserve"> ndryshon me përmbajtjen </w:t>
      </w:r>
      <w:r w:rsidR="00B5746E" w:rsidRPr="00BD09CC">
        <w:rPr>
          <w:rFonts w:ascii="Garamond" w:hAnsi="Garamond"/>
          <w:sz w:val="24"/>
          <w:szCs w:val="24"/>
        </w:rPr>
        <w:t>e mëposhtme:</w:t>
      </w:r>
    </w:p>
    <w:p w14:paraId="0E4D21C0" w14:textId="42E989F7" w:rsidR="00387D62"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387D62" w:rsidRPr="00737451">
        <w:rPr>
          <w:rFonts w:ascii="Garamond" w:hAnsi="Garamond"/>
          <w:i/>
          <w:sz w:val="24"/>
          <w:szCs w:val="24"/>
        </w:rPr>
        <w:t xml:space="preserve">2. Përveç sa parashikohet në pikën 1 të këtij neni, për qëllime të zbatimit të kësaj rregulloreje, termat e mëposhtëm kanë këtë kuptim: </w:t>
      </w:r>
    </w:p>
    <w:p w14:paraId="6A67937E" w14:textId="20B4FA95"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a) </w:t>
      </w:r>
      <w:r w:rsidR="001D22EC" w:rsidRPr="00737451">
        <w:rPr>
          <w:rFonts w:ascii="Garamond" w:hAnsi="Garamond"/>
          <w:i/>
          <w:sz w:val="24"/>
          <w:szCs w:val="24"/>
        </w:rPr>
        <w:t>“</w:t>
      </w:r>
      <w:r w:rsidR="00BD09CC" w:rsidRPr="00737451">
        <w:rPr>
          <w:rFonts w:ascii="Garamond" w:hAnsi="Garamond"/>
          <w:i/>
          <w:sz w:val="24"/>
          <w:szCs w:val="24"/>
        </w:rPr>
        <w:t>ekspozime ndaj një skeme</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janë ekspozimet që klasifikohen, sipas rregullores së mjaftueshmërisë së kapitalit, në klasat e mëposhtme të ekspozimit:</w:t>
      </w:r>
    </w:p>
    <w:p w14:paraId="5E856D55" w14:textId="0AF46B3B"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 </w:t>
      </w:r>
      <w:r w:rsidR="00387D62" w:rsidRPr="00737451">
        <w:rPr>
          <w:rFonts w:ascii="Garamond" w:hAnsi="Garamond"/>
          <w:i/>
          <w:sz w:val="24"/>
          <w:szCs w:val="24"/>
        </w:rPr>
        <w:t xml:space="preserve">ekspozime në pozicione të krijuara nga titullzimi (securitization); </w:t>
      </w:r>
    </w:p>
    <w:p w14:paraId="3FC02D8C" w14:textId="5DC265A3"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ii. </w:t>
      </w:r>
      <w:r w:rsidR="00387D62" w:rsidRPr="00737451">
        <w:rPr>
          <w:rFonts w:ascii="Garamond" w:hAnsi="Garamond"/>
          <w:i/>
          <w:sz w:val="24"/>
          <w:szCs w:val="24"/>
        </w:rPr>
        <w:t xml:space="preserve">ekspozime në formën e kuotave të sipërmarrjeve të investimeve kolektive; </w:t>
      </w:r>
    </w:p>
    <w:p w14:paraId="4AA01B44" w14:textId="05C208B1"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iii. </w:t>
      </w:r>
      <w:r w:rsidR="00387D62" w:rsidRPr="00737451">
        <w:rPr>
          <w:rFonts w:ascii="Garamond" w:hAnsi="Garamond"/>
          <w:i/>
          <w:sz w:val="24"/>
          <w:szCs w:val="24"/>
        </w:rPr>
        <w:t>zëra të tjerë.</w:t>
      </w:r>
    </w:p>
    <w:p w14:paraId="4F38D450" w14:textId="64E6E80D" w:rsidR="00387D62" w:rsidRPr="00737451" w:rsidRDefault="00BD09CC"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b) </w:t>
      </w:r>
      <w:r w:rsidR="001D22EC" w:rsidRPr="00737451">
        <w:rPr>
          <w:rFonts w:ascii="Garamond" w:hAnsi="Garamond"/>
          <w:i/>
          <w:sz w:val="24"/>
          <w:szCs w:val="24"/>
        </w:rPr>
        <w:t>“</w:t>
      </w:r>
      <w:r w:rsidRPr="00737451">
        <w:rPr>
          <w:rFonts w:ascii="Garamond" w:hAnsi="Garamond"/>
          <w:i/>
          <w:sz w:val="24"/>
          <w:szCs w:val="24"/>
        </w:rPr>
        <w:t>person i paidentifikuar</w:t>
      </w:r>
      <w:r w:rsidR="001D22EC" w:rsidRPr="00737451">
        <w:rPr>
          <w:rFonts w:ascii="Garamond" w:hAnsi="Garamond"/>
          <w:i/>
          <w:sz w:val="24"/>
          <w:szCs w:val="24"/>
        </w:rPr>
        <w:t>”</w:t>
      </w:r>
      <w:r w:rsidRPr="00737451">
        <w:rPr>
          <w:rFonts w:ascii="Garamond" w:hAnsi="Garamond"/>
          <w:i/>
          <w:sz w:val="24"/>
          <w:szCs w:val="24"/>
        </w:rPr>
        <w:t xml:space="preserve"> </w:t>
      </w:r>
      <w:r w:rsidR="00387D62" w:rsidRPr="00737451">
        <w:rPr>
          <w:rFonts w:ascii="Garamond" w:hAnsi="Garamond"/>
          <w:i/>
          <w:sz w:val="24"/>
          <w:szCs w:val="24"/>
        </w:rPr>
        <w:t xml:space="preserve">është një person i vetëm hipotetik, të cilit banka i cakton të gjitha ekspozimet, për të cilat nuk arrin të identifikojë debitorin, siç parashikohet në </w:t>
      </w:r>
      <w:r w:rsidRPr="00737451">
        <w:rPr>
          <w:rFonts w:ascii="Garamond" w:hAnsi="Garamond"/>
          <w:i/>
          <w:sz w:val="24"/>
          <w:szCs w:val="24"/>
        </w:rPr>
        <w:t xml:space="preserve">aneksin </w:t>
      </w:r>
      <w:r w:rsidR="00387D62" w:rsidRPr="00737451">
        <w:rPr>
          <w:rFonts w:ascii="Garamond" w:hAnsi="Garamond"/>
          <w:i/>
          <w:sz w:val="24"/>
          <w:szCs w:val="24"/>
        </w:rPr>
        <w:t>1 të kësaj rregulloreje;</w:t>
      </w:r>
    </w:p>
    <w:p w14:paraId="78D08DEE" w14:textId="35D003C8"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c) </w:t>
      </w:r>
      <w:r w:rsidR="001D22EC" w:rsidRPr="00737451">
        <w:rPr>
          <w:rFonts w:ascii="Garamond" w:hAnsi="Garamond"/>
          <w:i/>
          <w:sz w:val="24"/>
          <w:szCs w:val="24"/>
        </w:rPr>
        <w:t>“</w:t>
      </w:r>
      <w:r w:rsidRPr="00737451">
        <w:rPr>
          <w:rFonts w:ascii="Garamond" w:hAnsi="Garamond"/>
          <w:i/>
          <w:sz w:val="24"/>
          <w:szCs w:val="24"/>
        </w:rPr>
        <w:t>kundër</w:t>
      </w:r>
      <w:r w:rsidR="00BD09CC" w:rsidRPr="00737451">
        <w:rPr>
          <w:rFonts w:ascii="Garamond" w:hAnsi="Garamond"/>
          <w:i/>
          <w:sz w:val="24"/>
          <w:szCs w:val="24"/>
        </w:rPr>
        <w:t>parti qendrore e kualifikuar</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është një subjekt që është licencuar për të operuar si një kundërparti qendrore, nga autoritetet përkatëse mbikëqyrëse dhe rregullatore. Kundërpartia qendrore e kualifikuar krijohet dhe mbikëqyret në mënyrë të kujdesshme në një juridiksion, ku rregullatori/mbikëqyrësi përkatës ka hartuar dhe zbaton në mënyrë të vazhdueshme për kundërpartinë qendrore, rregulla që janë në përputhje me parimet ndërkombëtare për infrastrukturën e tregjeve financiare;</w:t>
      </w:r>
    </w:p>
    <w:p w14:paraId="39F39902" w14:textId="10EE2A20"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d)</w:t>
      </w:r>
      <w:r w:rsidR="00BD09CC" w:rsidRPr="00737451">
        <w:rPr>
          <w:rFonts w:ascii="Garamond" w:hAnsi="Garamond"/>
          <w:i/>
          <w:sz w:val="24"/>
          <w:szCs w:val="24"/>
        </w:rPr>
        <w:t xml:space="preserve"> </w:t>
      </w:r>
      <w:r w:rsidR="001D22EC" w:rsidRPr="00737451">
        <w:rPr>
          <w:rFonts w:ascii="Garamond" w:hAnsi="Garamond"/>
          <w:i/>
          <w:sz w:val="24"/>
          <w:szCs w:val="24"/>
        </w:rPr>
        <w:t>“</w:t>
      </w:r>
      <w:r w:rsidR="00BD09CC" w:rsidRPr="00737451">
        <w:rPr>
          <w:rFonts w:ascii="Garamond" w:hAnsi="Garamond"/>
          <w:i/>
          <w:sz w:val="24"/>
          <w:szCs w:val="24"/>
        </w:rPr>
        <w:t>banka me rëndësi sistemike</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janë bankat e licencuara dhe që ushtrojnë veprimtari në Republikën e Shqipërisë, të përcaktuara si të tilla, sipas vendimmarrjes së Bankës së Shqipërisë</w:t>
      </w:r>
      <w:r w:rsidR="00802D2B" w:rsidRPr="00737451">
        <w:rPr>
          <w:rFonts w:ascii="Garamond" w:hAnsi="Garamond"/>
          <w:i/>
          <w:sz w:val="24"/>
          <w:szCs w:val="24"/>
        </w:rPr>
        <w:t xml:space="preserve">, bazuar në rregulloren </w:t>
      </w:r>
      <w:r w:rsidR="001D22EC" w:rsidRPr="00737451">
        <w:rPr>
          <w:rFonts w:ascii="Garamond" w:hAnsi="Garamond"/>
          <w:i/>
          <w:sz w:val="24"/>
          <w:szCs w:val="24"/>
        </w:rPr>
        <w:t>“</w:t>
      </w:r>
      <w:r w:rsidR="00802D2B" w:rsidRPr="00737451">
        <w:rPr>
          <w:rFonts w:ascii="Garamond" w:hAnsi="Garamond"/>
          <w:i/>
          <w:sz w:val="24"/>
          <w:szCs w:val="24"/>
        </w:rPr>
        <w:t>Për shtesat makroprudenciale të kapitalit</w:t>
      </w:r>
      <w:r w:rsidR="00BD09CC" w:rsidRPr="00737451">
        <w:rPr>
          <w:rFonts w:ascii="Garamond" w:hAnsi="Garamond"/>
          <w:i/>
          <w:sz w:val="24"/>
          <w:szCs w:val="24"/>
        </w:rPr>
        <w:t>;</w:t>
      </w:r>
      <w:r w:rsidR="001D22EC" w:rsidRPr="00737451">
        <w:rPr>
          <w:rFonts w:ascii="Garamond" w:hAnsi="Garamond"/>
          <w:i/>
          <w:sz w:val="24"/>
          <w:szCs w:val="24"/>
        </w:rPr>
        <w:t>”</w:t>
      </w:r>
      <w:r w:rsidR="00BD09CC" w:rsidRPr="00737451">
        <w:rPr>
          <w:rFonts w:ascii="Garamond" w:hAnsi="Garamond"/>
          <w:i/>
          <w:sz w:val="24"/>
          <w:szCs w:val="24"/>
        </w:rPr>
        <w:t>.</w:t>
      </w:r>
      <w:r w:rsidRPr="00737451">
        <w:rPr>
          <w:rFonts w:ascii="Garamond" w:hAnsi="Garamond"/>
          <w:i/>
          <w:sz w:val="24"/>
          <w:szCs w:val="24"/>
        </w:rPr>
        <w:t xml:space="preserve"> </w:t>
      </w:r>
    </w:p>
    <w:p w14:paraId="60FC4466" w14:textId="0291513D" w:rsidR="00387D6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b) </w:t>
      </w:r>
      <w:r w:rsidR="00D61284" w:rsidRPr="00BD09CC">
        <w:rPr>
          <w:rFonts w:ascii="Garamond" w:hAnsi="Garamond"/>
          <w:sz w:val="24"/>
          <w:szCs w:val="24"/>
        </w:rPr>
        <w:t xml:space="preserve">Në nenin </w:t>
      </w:r>
      <w:r w:rsidR="00387D62" w:rsidRPr="00BD09CC">
        <w:rPr>
          <w:rFonts w:ascii="Garamond" w:hAnsi="Garamond"/>
          <w:sz w:val="24"/>
          <w:szCs w:val="24"/>
        </w:rPr>
        <w:t>5, bëhen ndryshimet e mëposhtme:</w:t>
      </w:r>
    </w:p>
    <w:p w14:paraId="44A43F3D" w14:textId="425E1F1A" w:rsidR="00A0126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584F7A" w:rsidRPr="00BD09CC">
        <w:rPr>
          <w:rFonts w:ascii="Garamond" w:hAnsi="Garamond"/>
          <w:sz w:val="24"/>
          <w:szCs w:val="24"/>
        </w:rPr>
        <w:t xml:space="preserve">Pika </w:t>
      </w:r>
      <w:r w:rsidR="00A0126B" w:rsidRPr="00BD09CC">
        <w:rPr>
          <w:rFonts w:ascii="Garamond" w:hAnsi="Garamond"/>
          <w:sz w:val="24"/>
          <w:szCs w:val="24"/>
        </w:rPr>
        <w:t>2 ndryshon me përmbajtjen e mëposhtme:</w:t>
      </w:r>
    </w:p>
    <w:p w14:paraId="5E8CCACA" w14:textId="7FC26E8D" w:rsidR="00A0126B"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04011B" w:rsidRPr="00737451">
        <w:rPr>
          <w:rFonts w:ascii="Garamond" w:hAnsi="Garamond"/>
          <w:i/>
          <w:sz w:val="24"/>
          <w:szCs w:val="24"/>
        </w:rPr>
        <w:t xml:space="preserve">2. </w:t>
      </w:r>
      <w:r w:rsidR="00A0126B" w:rsidRPr="00737451">
        <w:rPr>
          <w:rFonts w:ascii="Garamond" w:hAnsi="Garamond"/>
          <w:i/>
          <w:sz w:val="24"/>
          <w:szCs w:val="24"/>
        </w:rPr>
        <w:t xml:space="preserve">Bankat, në rastet kur janë të detyruara të llogarisin kërkesën për kapital për rrezikun e tregut, në përputhje me </w:t>
      </w:r>
      <w:r w:rsidRPr="00737451">
        <w:rPr>
          <w:rFonts w:ascii="Garamond" w:hAnsi="Garamond"/>
          <w:i/>
          <w:sz w:val="24"/>
          <w:szCs w:val="24"/>
        </w:rPr>
        <w:t xml:space="preserve">kreun </w:t>
      </w:r>
      <w:r w:rsidR="00A0126B" w:rsidRPr="00737451">
        <w:rPr>
          <w:rFonts w:ascii="Garamond" w:hAnsi="Garamond"/>
          <w:i/>
          <w:sz w:val="24"/>
          <w:szCs w:val="24"/>
        </w:rPr>
        <w:t>VII të rregullores së mjaftueshmërisë së kapitalit, përcaktojnë edhe vlerën e ekspozimeve në zërat e librit të tregtueshëm dhe ekspozimin në tërësi (ekspozimin e përgjithshëm), ndaj një personi ose grupi personash të lidhur, sipas nenit 165 të rregullores së mjaftueshmërisë së kapitalit, duke ndjekur hapat e mëposhtëm:</w:t>
      </w:r>
    </w:p>
    <w:p w14:paraId="486D06AF" w14:textId="485491AA"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a) </w:t>
      </w:r>
      <w:r w:rsidR="00A0126B" w:rsidRPr="00737451">
        <w:rPr>
          <w:rFonts w:ascii="Garamond" w:hAnsi="Garamond"/>
          <w:i/>
          <w:sz w:val="24"/>
          <w:szCs w:val="24"/>
        </w:rPr>
        <w:t xml:space="preserve">bankat netojnë/kompensojnë pozicionet në blerje </w:t>
      </w:r>
      <w:r w:rsidR="001D22EC" w:rsidRPr="00737451">
        <w:rPr>
          <w:rFonts w:ascii="Garamond" w:hAnsi="Garamond"/>
          <w:i/>
          <w:sz w:val="24"/>
          <w:szCs w:val="24"/>
        </w:rPr>
        <w:t>(long)</w:t>
      </w:r>
      <w:r w:rsidR="00A0126B" w:rsidRPr="00737451">
        <w:rPr>
          <w:rFonts w:ascii="Garamond" w:hAnsi="Garamond"/>
          <w:i/>
          <w:sz w:val="24"/>
          <w:szCs w:val="24"/>
        </w:rPr>
        <w:t xml:space="preserve"> dhe në shitje (short) për të njëjtin emetim</w:t>
      </w:r>
      <w:r w:rsidR="00A0126B" w:rsidRPr="00737451">
        <w:rPr>
          <w:rFonts w:ascii="Garamond" w:hAnsi="Garamond"/>
          <w:i/>
          <w:sz w:val="24"/>
          <w:szCs w:val="24"/>
          <w:vertAlign w:val="superscript"/>
        </w:rPr>
        <w:footnoteReference w:id="2"/>
      </w:r>
      <w:r w:rsidR="00A0126B" w:rsidRPr="00737451">
        <w:rPr>
          <w:rFonts w:ascii="Garamond" w:hAnsi="Garamond"/>
          <w:i/>
          <w:sz w:val="24"/>
          <w:szCs w:val="24"/>
        </w:rPr>
        <w:t xml:space="preserve">. </w:t>
      </w:r>
      <w:r w:rsidR="003E5D59" w:rsidRPr="00737451">
        <w:rPr>
          <w:rFonts w:ascii="Garamond" w:hAnsi="Garamond"/>
          <w:i/>
          <w:sz w:val="24"/>
          <w:szCs w:val="24"/>
        </w:rPr>
        <w:t>Në këtë mënyrë</w:t>
      </w:r>
      <w:r w:rsidR="00A0126B" w:rsidRPr="00737451">
        <w:rPr>
          <w:rFonts w:ascii="Garamond" w:hAnsi="Garamond"/>
          <w:i/>
          <w:sz w:val="24"/>
          <w:szCs w:val="24"/>
        </w:rPr>
        <w:t>, bankat do të konsiderojnë pozicionin neto në një emetim specifik, për qëllime të llogaritjes së ekspozimit të bankës ndaj një kundërpartie të veçantë;</w:t>
      </w:r>
    </w:p>
    <w:p w14:paraId="5EFF2E71" w14:textId="09A16838" w:rsidR="00DB7DB7"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lastRenderedPageBreak/>
        <w:t xml:space="preserve">b) </w:t>
      </w:r>
      <w:r w:rsidR="00DB7DB7" w:rsidRPr="00737451">
        <w:rPr>
          <w:rFonts w:ascii="Garamond" w:hAnsi="Garamond"/>
          <w:i/>
          <w:sz w:val="24"/>
          <w:szCs w:val="24"/>
        </w:rPr>
        <w:t xml:space="preserve">bankat netojnë/kompensojnë pozicionet në blerje </w:t>
      </w:r>
      <w:r w:rsidR="001D22EC" w:rsidRPr="00737451">
        <w:rPr>
          <w:rFonts w:ascii="Garamond" w:hAnsi="Garamond"/>
          <w:i/>
          <w:sz w:val="24"/>
          <w:szCs w:val="24"/>
        </w:rPr>
        <w:t>(long)</w:t>
      </w:r>
      <w:r w:rsidR="00DB7DB7" w:rsidRPr="00737451">
        <w:rPr>
          <w:rFonts w:ascii="Garamond" w:hAnsi="Garamond"/>
          <w:i/>
          <w:sz w:val="24"/>
          <w:szCs w:val="24"/>
        </w:rPr>
        <w:t xml:space="preserve"> dhe në shitje (short) në emetime të ndryshme nga e njëjta kundërparti (i njëjti emetues), vetëm nëse pozicioni në shitje ka një nivel më të ulët përparësie (më junior) se pozicioni në blerje ose nëse pozicionet kanë të njëjtën përparësi (senioritet);</w:t>
      </w:r>
    </w:p>
    <w:p w14:paraId="19761933" w14:textId="68210F33"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c) </w:t>
      </w:r>
      <w:r w:rsidR="00A0126B" w:rsidRPr="00737451">
        <w:rPr>
          <w:rFonts w:ascii="Garamond" w:hAnsi="Garamond"/>
          <w:i/>
          <w:sz w:val="24"/>
          <w:szCs w:val="24"/>
        </w:rPr>
        <w:t xml:space="preserve">për pozicionet e mbrojtura nga derivativët e kredisë, </w:t>
      </w:r>
      <w:r w:rsidR="00AB2439" w:rsidRPr="00737451">
        <w:rPr>
          <w:rFonts w:ascii="Garamond" w:hAnsi="Garamond"/>
          <w:i/>
          <w:sz w:val="24"/>
          <w:szCs w:val="24"/>
        </w:rPr>
        <w:t xml:space="preserve">bankat njohin </w:t>
      </w:r>
      <w:r w:rsidR="00A0126B" w:rsidRPr="00737451">
        <w:rPr>
          <w:rFonts w:ascii="Garamond" w:hAnsi="Garamond"/>
          <w:i/>
          <w:sz w:val="24"/>
          <w:szCs w:val="24"/>
        </w:rPr>
        <w:t>mbrojtj</w:t>
      </w:r>
      <w:r w:rsidR="00AB2439" w:rsidRPr="00737451">
        <w:rPr>
          <w:rFonts w:ascii="Garamond" w:hAnsi="Garamond"/>
          <w:i/>
          <w:sz w:val="24"/>
          <w:szCs w:val="24"/>
        </w:rPr>
        <w:t>en</w:t>
      </w:r>
      <w:r w:rsidR="00A0126B" w:rsidRPr="00737451">
        <w:rPr>
          <w:rFonts w:ascii="Garamond" w:hAnsi="Garamond"/>
          <w:i/>
          <w:sz w:val="24"/>
          <w:szCs w:val="24"/>
        </w:rPr>
        <w:t xml:space="preserve"> </w:t>
      </w:r>
      <w:r w:rsidR="00F01A5A" w:rsidRPr="00737451">
        <w:rPr>
          <w:rFonts w:ascii="Garamond" w:hAnsi="Garamond"/>
          <w:i/>
          <w:sz w:val="24"/>
          <w:szCs w:val="24"/>
        </w:rPr>
        <w:t>vetëm nëse</w:t>
      </w:r>
      <w:r w:rsidR="00A0126B" w:rsidRPr="00737451">
        <w:rPr>
          <w:rFonts w:ascii="Garamond" w:hAnsi="Garamond"/>
          <w:i/>
          <w:sz w:val="24"/>
          <w:szCs w:val="24"/>
        </w:rPr>
        <w:t xml:space="preserve"> mbrojtja dhe pozicioni i mbrojtur përmbushin kushtin e shkronjës </w:t>
      </w:r>
      <w:r w:rsidR="001D22EC" w:rsidRPr="00737451">
        <w:rPr>
          <w:rFonts w:ascii="Garamond" w:hAnsi="Garamond"/>
          <w:i/>
          <w:sz w:val="24"/>
          <w:szCs w:val="24"/>
        </w:rPr>
        <w:t>“</w:t>
      </w:r>
      <w:r w:rsidR="00A0126B" w:rsidRPr="00737451">
        <w:rPr>
          <w:rFonts w:ascii="Garamond" w:hAnsi="Garamond"/>
          <w:i/>
          <w:sz w:val="24"/>
          <w:szCs w:val="24"/>
        </w:rPr>
        <w:t>b</w:t>
      </w:r>
      <w:r w:rsidR="001D22EC" w:rsidRPr="00737451">
        <w:rPr>
          <w:rFonts w:ascii="Garamond" w:hAnsi="Garamond"/>
          <w:i/>
          <w:sz w:val="24"/>
          <w:szCs w:val="24"/>
        </w:rPr>
        <w:t>”</w:t>
      </w:r>
      <w:r w:rsidR="00A0126B" w:rsidRPr="00737451">
        <w:rPr>
          <w:rFonts w:ascii="Garamond" w:hAnsi="Garamond"/>
          <w:i/>
          <w:sz w:val="24"/>
          <w:szCs w:val="24"/>
        </w:rPr>
        <w:t>;</w:t>
      </w:r>
    </w:p>
    <w:p w14:paraId="62B185E1" w14:textId="4166C925"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d) </w:t>
      </w:r>
      <w:r w:rsidR="00A0126B" w:rsidRPr="00737451">
        <w:rPr>
          <w:rFonts w:ascii="Garamond" w:hAnsi="Garamond"/>
          <w:i/>
          <w:sz w:val="24"/>
          <w:szCs w:val="24"/>
        </w:rPr>
        <w:t>për të përcaktuar përparësinë (senioritetin) relative të pozicioneve, banka</w:t>
      </w:r>
      <w:r w:rsidR="00AB2439" w:rsidRPr="00737451">
        <w:rPr>
          <w:rFonts w:ascii="Garamond" w:hAnsi="Garamond"/>
          <w:i/>
          <w:sz w:val="24"/>
          <w:szCs w:val="24"/>
        </w:rPr>
        <w:t>t</w:t>
      </w:r>
      <w:r w:rsidR="00A0126B" w:rsidRPr="00737451">
        <w:rPr>
          <w:rFonts w:ascii="Garamond" w:hAnsi="Garamond"/>
          <w:i/>
          <w:sz w:val="24"/>
          <w:szCs w:val="24"/>
        </w:rPr>
        <w:t xml:space="preserve"> i kategorizo</w:t>
      </w:r>
      <w:r w:rsidR="00AB2439" w:rsidRPr="00737451">
        <w:rPr>
          <w:rFonts w:ascii="Garamond" w:hAnsi="Garamond"/>
          <w:i/>
          <w:sz w:val="24"/>
          <w:szCs w:val="24"/>
        </w:rPr>
        <w:t>j</w:t>
      </w:r>
      <w:r w:rsidR="00A0126B" w:rsidRPr="00737451">
        <w:rPr>
          <w:rFonts w:ascii="Garamond" w:hAnsi="Garamond"/>
          <w:i/>
          <w:sz w:val="24"/>
          <w:szCs w:val="24"/>
        </w:rPr>
        <w:t>n</w:t>
      </w:r>
      <w:r w:rsidR="00AB2439" w:rsidRPr="00737451">
        <w:rPr>
          <w:rFonts w:ascii="Garamond" w:hAnsi="Garamond"/>
          <w:i/>
          <w:sz w:val="24"/>
          <w:szCs w:val="24"/>
        </w:rPr>
        <w:t>ë</w:t>
      </w:r>
      <w:r w:rsidR="00A0126B" w:rsidRPr="00737451">
        <w:rPr>
          <w:rFonts w:ascii="Garamond" w:hAnsi="Garamond"/>
          <w:i/>
          <w:sz w:val="24"/>
          <w:szCs w:val="24"/>
        </w:rPr>
        <w:t xml:space="preserve"> titujt në shporta </w:t>
      </w:r>
      <w:r w:rsidR="001D22EC" w:rsidRPr="00737451">
        <w:rPr>
          <w:rFonts w:ascii="Garamond" w:hAnsi="Garamond"/>
          <w:i/>
          <w:sz w:val="24"/>
          <w:szCs w:val="24"/>
        </w:rPr>
        <w:t>(buckets)</w:t>
      </w:r>
      <w:r w:rsidR="00A0126B" w:rsidRPr="00737451">
        <w:rPr>
          <w:rFonts w:ascii="Garamond" w:hAnsi="Garamond"/>
          <w:i/>
          <w:sz w:val="24"/>
          <w:szCs w:val="24"/>
        </w:rPr>
        <w:t xml:space="preserve"> më të gjera, sipas nivelit të përparësisë (për shembull: </w:t>
      </w:r>
      <w:r w:rsidR="001D22EC" w:rsidRPr="00737451">
        <w:rPr>
          <w:rFonts w:ascii="Garamond" w:hAnsi="Garamond"/>
          <w:i/>
          <w:sz w:val="24"/>
          <w:szCs w:val="24"/>
        </w:rPr>
        <w:t>“</w:t>
      </w:r>
      <w:r w:rsidR="00A0126B" w:rsidRPr="00737451">
        <w:rPr>
          <w:rFonts w:ascii="Garamond" w:hAnsi="Garamond"/>
          <w:i/>
          <w:sz w:val="24"/>
          <w:szCs w:val="24"/>
        </w:rPr>
        <w:t>Kapital</w:t>
      </w:r>
      <w:r w:rsidR="001D22EC" w:rsidRPr="00737451">
        <w:rPr>
          <w:rFonts w:ascii="Garamond" w:hAnsi="Garamond"/>
          <w:i/>
          <w:sz w:val="24"/>
          <w:szCs w:val="24"/>
        </w:rPr>
        <w:t>”</w:t>
      </w:r>
      <w:r w:rsidR="00A0126B" w:rsidRPr="00737451">
        <w:rPr>
          <w:rFonts w:ascii="Garamond" w:hAnsi="Garamond"/>
          <w:i/>
          <w:sz w:val="24"/>
          <w:szCs w:val="24"/>
        </w:rPr>
        <w:t xml:space="preserve">, </w:t>
      </w:r>
      <w:r w:rsidR="001D22EC" w:rsidRPr="00737451">
        <w:rPr>
          <w:rFonts w:ascii="Garamond" w:hAnsi="Garamond"/>
          <w:i/>
          <w:sz w:val="24"/>
          <w:szCs w:val="24"/>
        </w:rPr>
        <w:t>“</w:t>
      </w:r>
      <w:r w:rsidR="00A0126B" w:rsidRPr="00737451">
        <w:rPr>
          <w:rFonts w:ascii="Garamond" w:hAnsi="Garamond"/>
          <w:i/>
          <w:sz w:val="24"/>
          <w:szCs w:val="24"/>
        </w:rPr>
        <w:t>Borxh i varur</w:t>
      </w:r>
      <w:r w:rsidR="001D22EC" w:rsidRPr="00737451">
        <w:rPr>
          <w:rFonts w:ascii="Garamond" w:hAnsi="Garamond"/>
          <w:i/>
          <w:sz w:val="24"/>
          <w:szCs w:val="24"/>
        </w:rPr>
        <w:t>”</w:t>
      </w:r>
      <w:r w:rsidR="00A0126B" w:rsidRPr="00737451">
        <w:rPr>
          <w:rFonts w:ascii="Garamond" w:hAnsi="Garamond"/>
          <w:i/>
          <w:sz w:val="24"/>
          <w:szCs w:val="24"/>
        </w:rPr>
        <w:t xml:space="preserve"> dhe </w:t>
      </w:r>
      <w:r w:rsidR="001D22EC" w:rsidRPr="00737451">
        <w:rPr>
          <w:rFonts w:ascii="Garamond" w:hAnsi="Garamond"/>
          <w:i/>
          <w:sz w:val="24"/>
          <w:szCs w:val="24"/>
        </w:rPr>
        <w:t>“</w:t>
      </w:r>
      <w:r w:rsidR="00A0126B" w:rsidRPr="00737451">
        <w:rPr>
          <w:rFonts w:ascii="Garamond" w:hAnsi="Garamond"/>
          <w:i/>
          <w:sz w:val="24"/>
          <w:szCs w:val="24"/>
        </w:rPr>
        <w:t>Borxh me përparësi të lartë (senior)</w:t>
      </w:r>
      <w:r w:rsidR="001D22EC" w:rsidRPr="00737451">
        <w:rPr>
          <w:rFonts w:ascii="Garamond" w:hAnsi="Garamond"/>
          <w:i/>
          <w:sz w:val="24"/>
          <w:szCs w:val="24"/>
        </w:rPr>
        <w:t>”</w:t>
      </w:r>
      <w:r w:rsidR="00A0126B" w:rsidRPr="00737451">
        <w:rPr>
          <w:rFonts w:ascii="Garamond" w:hAnsi="Garamond"/>
          <w:i/>
          <w:sz w:val="24"/>
          <w:szCs w:val="24"/>
        </w:rPr>
        <w:t xml:space="preserve">). Nëse bankat e kanë të vështirë ndarjen e titujve në shporta </w:t>
      </w:r>
      <w:r w:rsidR="001D22EC" w:rsidRPr="00737451">
        <w:rPr>
          <w:rFonts w:ascii="Garamond" w:hAnsi="Garamond"/>
          <w:i/>
          <w:sz w:val="24"/>
          <w:szCs w:val="24"/>
        </w:rPr>
        <w:t>(buckets)</w:t>
      </w:r>
      <w:r w:rsidR="00A0126B" w:rsidRPr="00737451">
        <w:rPr>
          <w:rFonts w:ascii="Garamond" w:hAnsi="Garamond"/>
          <w:i/>
          <w:sz w:val="24"/>
          <w:szCs w:val="24"/>
        </w:rPr>
        <w:t xml:space="preserve"> të ndryshme bazuar në përparësinë relative, ato nuk i netojnë/kompensojnë pozicionet në blerje dhe në shitje në emetime të ndryshme që lidhen me të njëjtën kundërparti, për qëllime të llogaritjes së ekspozimeve;</w:t>
      </w:r>
    </w:p>
    <w:p w14:paraId="4F69E619" w14:textId="691997D6"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e) </w:t>
      </w:r>
      <w:r w:rsidR="00A0126B" w:rsidRPr="00737451">
        <w:rPr>
          <w:rFonts w:ascii="Garamond" w:hAnsi="Garamond"/>
          <w:i/>
          <w:sz w:val="24"/>
          <w:szCs w:val="24"/>
        </w:rPr>
        <w:t>në rastin e pozicioneve të mbrojtura nga derivativët e kredisë, për çdo reduktim të njohur nga banka në ekspozimin ndaj kundërpartisë origjinale, si pasojë e një teknike të pranueshme të zbutjes së rrezikut të kredisë, banka</w:t>
      </w:r>
      <w:r w:rsidR="00AB2439" w:rsidRPr="00737451">
        <w:rPr>
          <w:rFonts w:ascii="Garamond" w:hAnsi="Garamond"/>
          <w:i/>
          <w:sz w:val="24"/>
          <w:szCs w:val="24"/>
        </w:rPr>
        <w:t>t</w:t>
      </w:r>
      <w:r w:rsidR="00A0126B" w:rsidRPr="00737451">
        <w:rPr>
          <w:rFonts w:ascii="Garamond" w:hAnsi="Garamond"/>
          <w:i/>
          <w:sz w:val="24"/>
          <w:szCs w:val="24"/>
        </w:rPr>
        <w:t xml:space="preserve"> nj</w:t>
      </w:r>
      <w:r w:rsidR="00AB2439" w:rsidRPr="00737451">
        <w:rPr>
          <w:rFonts w:ascii="Garamond" w:hAnsi="Garamond"/>
          <w:i/>
          <w:sz w:val="24"/>
          <w:szCs w:val="24"/>
        </w:rPr>
        <w:t>o</w:t>
      </w:r>
      <w:r w:rsidR="00A0126B" w:rsidRPr="00737451">
        <w:rPr>
          <w:rFonts w:ascii="Garamond" w:hAnsi="Garamond"/>
          <w:i/>
          <w:sz w:val="24"/>
          <w:szCs w:val="24"/>
        </w:rPr>
        <w:t>h</w:t>
      </w:r>
      <w:r w:rsidR="00AB2439" w:rsidRPr="00737451">
        <w:rPr>
          <w:rFonts w:ascii="Garamond" w:hAnsi="Garamond"/>
          <w:i/>
          <w:sz w:val="24"/>
          <w:szCs w:val="24"/>
        </w:rPr>
        <w:t>in</w:t>
      </w:r>
      <w:r w:rsidR="00A0126B" w:rsidRPr="00737451">
        <w:rPr>
          <w:rFonts w:ascii="Garamond" w:hAnsi="Garamond"/>
          <w:i/>
          <w:sz w:val="24"/>
          <w:szCs w:val="24"/>
        </w:rPr>
        <w:t xml:space="preserve"> një ekspozim të ri ndaj ofruesit të mbrojtjes së kredisë. Shuma e ekspozimit të caktuar për ofruesin e mbrojtjes së rrezikut të kredisë është sa shuma me të cilën reduktohet ekspozimi ndaj kundërpartisë origjinale (përveç rasteve të përcaktuara në shkronjën </w:t>
      </w:r>
      <w:r w:rsidR="001D22EC" w:rsidRPr="00737451">
        <w:rPr>
          <w:rFonts w:ascii="Garamond" w:hAnsi="Garamond"/>
          <w:i/>
          <w:sz w:val="24"/>
          <w:szCs w:val="24"/>
        </w:rPr>
        <w:t>“</w:t>
      </w:r>
      <w:r w:rsidR="00A0126B" w:rsidRPr="00737451">
        <w:rPr>
          <w:rFonts w:ascii="Garamond" w:hAnsi="Garamond"/>
          <w:i/>
          <w:sz w:val="24"/>
          <w:szCs w:val="24"/>
        </w:rPr>
        <w:t>f</w:t>
      </w:r>
      <w:r w:rsidR="001D22EC" w:rsidRPr="00737451">
        <w:rPr>
          <w:rFonts w:ascii="Garamond" w:hAnsi="Garamond"/>
          <w:i/>
          <w:sz w:val="24"/>
          <w:szCs w:val="24"/>
        </w:rPr>
        <w:t>”</w:t>
      </w:r>
      <w:r w:rsidR="00A0126B" w:rsidRPr="00737451">
        <w:rPr>
          <w:rFonts w:ascii="Garamond" w:hAnsi="Garamond"/>
          <w:i/>
          <w:sz w:val="24"/>
          <w:szCs w:val="24"/>
        </w:rPr>
        <w:t xml:space="preserve"> të kësaj pike);</w:t>
      </w:r>
    </w:p>
    <w:p w14:paraId="2CAD335C" w14:textId="1984A02E" w:rsidR="00A0126B" w:rsidRPr="00737451" w:rsidRDefault="00B34B8B" w:rsidP="00E23659">
      <w:pPr>
        <w:spacing w:after="0" w:line="240" w:lineRule="auto"/>
        <w:ind w:firstLine="284"/>
        <w:jc w:val="both"/>
        <w:rPr>
          <w:rFonts w:ascii="Garamond" w:hAnsi="Garamond"/>
          <w:i/>
          <w:sz w:val="24"/>
          <w:szCs w:val="24"/>
        </w:rPr>
      </w:pPr>
      <w:r w:rsidRPr="00B34B8B">
        <w:rPr>
          <w:rFonts w:ascii="Garamond" w:hAnsi="Garamond"/>
          <w:i/>
          <w:sz w:val="24"/>
          <w:szCs w:val="24"/>
        </w:rPr>
        <w:t xml:space="preserve">f) </w:t>
      </w:r>
      <w:r w:rsidR="00A0126B" w:rsidRPr="00B34B8B">
        <w:rPr>
          <w:rFonts w:ascii="Garamond" w:hAnsi="Garamond"/>
          <w:i/>
          <w:sz w:val="24"/>
          <w:szCs w:val="24"/>
        </w:rPr>
        <w:t>nëse</w:t>
      </w:r>
      <w:r w:rsidR="00A0126B" w:rsidRPr="00737451">
        <w:rPr>
          <w:rFonts w:ascii="Garamond" w:hAnsi="Garamond"/>
          <w:i/>
          <w:sz w:val="24"/>
          <w:szCs w:val="24"/>
        </w:rPr>
        <w:t xml:space="preserve"> mbrojtja e kredisë merr formën e një credit default swap dhe ofruesi i mbrojtjes ose subjekti referencë nuk është një institucion financiar, shuma që do t</w:t>
      </w:r>
      <w:r w:rsidR="00EB14A4" w:rsidRPr="00737451">
        <w:rPr>
          <w:rFonts w:ascii="Garamond" w:hAnsi="Garamond"/>
          <w:i/>
          <w:sz w:val="24"/>
          <w:szCs w:val="24"/>
        </w:rPr>
        <w:t>’</w:t>
      </w:r>
      <w:r w:rsidR="00A0126B" w:rsidRPr="00737451">
        <w:rPr>
          <w:rFonts w:ascii="Garamond" w:hAnsi="Garamond"/>
          <w:i/>
          <w:sz w:val="24"/>
          <w:szCs w:val="24"/>
        </w:rPr>
        <w:t>i caktohet ofruesit të mbrojtjes së kredisë nuk është shuma me të cilën reduktohet ekspozimi ndaj kundërpartisë origjinale, por është vlera e ekspozimit të rrezikut të kredisë së kundërpartisë</w:t>
      </w:r>
      <w:r w:rsidR="00DE12EE" w:rsidRPr="00737451">
        <w:rPr>
          <w:rFonts w:ascii="Garamond" w:hAnsi="Garamond"/>
          <w:i/>
          <w:sz w:val="24"/>
          <w:szCs w:val="24"/>
        </w:rPr>
        <w:t>,</w:t>
      </w:r>
      <w:r w:rsidR="00A0126B" w:rsidRPr="00737451">
        <w:rPr>
          <w:rFonts w:ascii="Garamond" w:hAnsi="Garamond"/>
          <w:i/>
          <w:sz w:val="24"/>
          <w:szCs w:val="24"/>
        </w:rPr>
        <w:t xml:space="preserve"> e llogaritur sipas </w:t>
      </w:r>
      <w:r w:rsidR="00EB14A4" w:rsidRPr="00737451">
        <w:rPr>
          <w:rFonts w:ascii="Garamond" w:hAnsi="Garamond"/>
          <w:i/>
          <w:sz w:val="24"/>
          <w:szCs w:val="24"/>
        </w:rPr>
        <w:t xml:space="preserve">kreut </w:t>
      </w:r>
      <w:r w:rsidR="00A0126B" w:rsidRPr="00737451">
        <w:rPr>
          <w:rFonts w:ascii="Garamond" w:hAnsi="Garamond"/>
          <w:i/>
          <w:sz w:val="24"/>
          <w:szCs w:val="24"/>
        </w:rPr>
        <w:t xml:space="preserve">VI të rregullores së mjaftueshmërisë së kapitalit. Për qëllime të kësaj shkronje, në institucionet financiare përfshihen: </w:t>
      </w:r>
    </w:p>
    <w:p w14:paraId="67410205" w14:textId="2B83BB62" w:rsidR="00A0126B" w:rsidRPr="00737451" w:rsidRDefault="000E007F" w:rsidP="00E23659">
      <w:pPr>
        <w:spacing w:after="0" w:line="240" w:lineRule="auto"/>
        <w:ind w:firstLine="284"/>
        <w:jc w:val="both"/>
        <w:rPr>
          <w:rFonts w:ascii="Garamond" w:hAnsi="Garamond"/>
          <w:i/>
          <w:sz w:val="24"/>
          <w:szCs w:val="24"/>
        </w:rPr>
      </w:pPr>
      <w:r>
        <w:rPr>
          <w:rFonts w:ascii="Garamond" w:hAnsi="Garamond"/>
          <w:i/>
          <w:sz w:val="24"/>
          <w:szCs w:val="24"/>
        </w:rPr>
        <w:t>i.</w:t>
      </w:r>
      <w:r w:rsidR="00E23659" w:rsidRPr="00737451">
        <w:rPr>
          <w:rFonts w:ascii="Garamond" w:hAnsi="Garamond"/>
          <w:i/>
          <w:sz w:val="24"/>
          <w:szCs w:val="24"/>
        </w:rPr>
        <w:t xml:space="preserve">) </w:t>
      </w:r>
      <w:r w:rsidR="00A0126B" w:rsidRPr="00737451">
        <w:rPr>
          <w:rFonts w:ascii="Garamond" w:hAnsi="Garamond"/>
          <w:i/>
          <w:sz w:val="24"/>
          <w:szCs w:val="24"/>
        </w:rPr>
        <w:t xml:space="preserve">institucionet e mbikëqyrura, siç përcaktohen në </w:t>
      </w:r>
      <w:r w:rsidR="00A02B52" w:rsidRPr="00737451">
        <w:rPr>
          <w:rFonts w:ascii="Garamond" w:hAnsi="Garamond"/>
          <w:i/>
          <w:sz w:val="24"/>
          <w:szCs w:val="24"/>
        </w:rPr>
        <w:t xml:space="preserve">nenin 4 të </w:t>
      </w:r>
      <w:r w:rsidR="00A0126B" w:rsidRPr="00737451">
        <w:rPr>
          <w:rFonts w:ascii="Garamond" w:hAnsi="Garamond"/>
          <w:i/>
          <w:sz w:val="24"/>
          <w:szCs w:val="24"/>
        </w:rPr>
        <w:t>rregullore</w:t>
      </w:r>
      <w:r w:rsidR="00A02B52" w:rsidRPr="00737451">
        <w:rPr>
          <w:rFonts w:ascii="Garamond" w:hAnsi="Garamond"/>
          <w:i/>
          <w:sz w:val="24"/>
          <w:szCs w:val="24"/>
        </w:rPr>
        <w:t>s</w:t>
      </w:r>
      <w:r w:rsidR="00A0126B" w:rsidRPr="00737451">
        <w:rPr>
          <w:rFonts w:ascii="Garamond" w:hAnsi="Garamond"/>
          <w:i/>
          <w:sz w:val="24"/>
          <w:szCs w:val="24"/>
        </w:rPr>
        <w:t xml:space="preserve"> </w:t>
      </w:r>
      <w:r w:rsidR="00A02B52" w:rsidRPr="00737451">
        <w:rPr>
          <w:rFonts w:ascii="Garamond" w:hAnsi="Garamond"/>
          <w:i/>
          <w:sz w:val="24"/>
          <w:szCs w:val="24"/>
        </w:rPr>
        <w:t>së</w:t>
      </w:r>
      <w:r w:rsidR="00A0126B" w:rsidRPr="00737451">
        <w:rPr>
          <w:rFonts w:ascii="Garamond" w:hAnsi="Garamond"/>
          <w:i/>
          <w:sz w:val="24"/>
          <w:szCs w:val="24"/>
        </w:rPr>
        <w:t xml:space="preserve"> mjaftueshmërisë së kapitalit; dhe</w:t>
      </w:r>
    </w:p>
    <w:p w14:paraId="43F75FDE" w14:textId="77B873CB" w:rsidR="00A0126B" w:rsidRPr="00737451" w:rsidRDefault="000E007F" w:rsidP="00E23659">
      <w:pPr>
        <w:spacing w:after="0" w:line="240" w:lineRule="auto"/>
        <w:ind w:firstLine="284"/>
        <w:jc w:val="both"/>
        <w:rPr>
          <w:rFonts w:ascii="Garamond" w:hAnsi="Garamond"/>
          <w:i/>
          <w:sz w:val="24"/>
          <w:szCs w:val="24"/>
        </w:rPr>
      </w:pPr>
      <w:r>
        <w:rPr>
          <w:rFonts w:ascii="Garamond" w:hAnsi="Garamond"/>
          <w:i/>
          <w:sz w:val="24"/>
          <w:szCs w:val="24"/>
        </w:rPr>
        <w:t>i</w:t>
      </w:r>
      <w:r w:rsidR="00E23659" w:rsidRPr="00737451">
        <w:rPr>
          <w:rFonts w:ascii="Garamond" w:hAnsi="Garamond"/>
          <w:i/>
          <w:sz w:val="24"/>
          <w:szCs w:val="24"/>
        </w:rPr>
        <w:t xml:space="preserve">i. </w:t>
      </w:r>
      <w:r w:rsidR="00A0126B" w:rsidRPr="00737451">
        <w:rPr>
          <w:rFonts w:ascii="Garamond" w:hAnsi="Garamond"/>
          <w:i/>
          <w:sz w:val="24"/>
          <w:szCs w:val="24"/>
        </w:rPr>
        <w:t xml:space="preserve">institucione të tjera financiare, të ndryshme nga ato të parashikuara në nënpikën </w:t>
      </w:r>
      <w:r w:rsidR="001D22EC" w:rsidRPr="00737451">
        <w:rPr>
          <w:rFonts w:ascii="Garamond" w:hAnsi="Garamond"/>
          <w:i/>
          <w:sz w:val="24"/>
          <w:szCs w:val="24"/>
        </w:rPr>
        <w:t>“</w:t>
      </w:r>
      <w:r w:rsidR="00A0126B" w:rsidRPr="00737451">
        <w:rPr>
          <w:rFonts w:ascii="Garamond" w:hAnsi="Garamond"/>
          <w:i/>
          <w:sz w:val="24"/>
          <w:szCs w:val="24"/>
        </w:rPr>
        <w:t>i</w:t>
      </w:r>
      <w:r w:rsidR="001D22EC" w:rsidRPr="00737451">
        <w:rPr>
          <w:rFonts w:ascii="Garamond" w:hAnsi="Garamond"/>
          <w:i/>
          <w:sz w:val="24"/>
          <w:szCs w:val="24"/>
        </w:rPr>
        <w:t>”</w:t>
      </w:r>
      <w:r w:rsidR="00584F7A" w:rsidRPr="00737451">
        <w:rPr>
          <w:rFonts w:ascii="Garamond" w:hAnsi="Garamond"/>
          <w:i/>
          <w:sz w:val="24"/>
          <w:szCs w:val="24"/>
        </w:rPr>
        <w:t>;</w:t>
      </w:r>
      <w:r w:rsidR="001D22EC" w:rsidRPr="00737451">
        <w:rPr>
          <w:rFonts w:ascii="Garamond" w:hAnsi="Garamond"/>
          <w:i/>
          <w:sz w:val="24"/>
          <w:szCs w:val="24"/>
        </w:rPr>
        <w:t>”</w:t>
      </w:r>
      <w:r w:rsidR="00584F7A" w:rsidRPr="00737451">
        <w:rPr>
          <w:rFonts w:ascii="Garamond" w:hAnsi="Garamond"/>
          <w:i/>
          <w:sz w:val="24"/>
          <w:szCs w:val="24"/>
        </w:rPr>
        <w:t>.</w:t>
      </w:r>
    </w:p>
    <w:p w14:paraId="34F5AFF6" w14:textId="25E900D9" w:rsidR="00A0126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584F7A" w:rsidRPr="00BD09CC">
        <w:rPr>
          <w:rFonts w:ascii="Garamond" w:hAnsi="Garamond"/>
          <w:sz w:val="24"/>
          <w:szCs w:val="24"/>
        </w:rPr>
        <w:t xml:space="preserve">Pas </w:t>
      </w:r>
      <w:r w:rsidR="0004011B" w:rsidRPr="00BD09CC">
        <w:rPr>
          <w:rFonts w:ascii="Garamond" w:hAnsi="Garamond"/>
          <w:sz w:val="24"/>
          <w:szCs w:val="24"/>
        </w:rPr>
        <w:t>pikës 2</w:t>
      </w:r>
      <w:r w:rsidR="008C0F9A" w:rsidRPr="00BD09CC">
        <w:rPr>
          <w:rFonts w:ascii="Garamond" w:hAnsi="Garamond"/>
          <w:sz w:val="24"/>
          <w:szCs w:val="24"/>
        </w:rPr>
        <w:t>,</w:t>
      </w:r>
      <w:r w:rsidR="0004011B" w:rsidRPr="00BD09CC">
        <w:rPr>
          <w:rFonts w:ascii="Garamond" w:hAnsi="Garamond"/>
          <w:sz w:val="24"/>
          <w:szCs w:val="24"/>
        </w:rPr>
        <w:t xml:space="preserve"> shtohe</w:t>
      </w:r>
      <w:r w:rsidR="00E054F6" w:rsidRPr="00BD09CC">
        <w:rPr>
          <w:rFonts w:ascii="Garamond" w:hAnsi="Garamond"/>
          <w:sz w:val="24"/>
          <w:szCs w:val="24"/>
        </w:rPr>
        <w:t>n</w:t>
      </w:r>
      <w:r w:rsidR="0004011B" w:rsidRPr="00BD09CC">
        <w:rPr>
          <w:rFonts w:ascii="Garamond" w:hAnsi="Garamond"/>
          <w:sz w:val="24"/>
          <w:szCs w:val="24"/>
        </w:rPr>
        <w:t xml:space="preserve"> pika 2/1 dhe pika 2/2 me përmbajtjen e mëposhtme:</w:t>
      </w:r>
    </w:p>
    <w:p w14:paraId="61515400" w14:textId="2CA8F310" w:rsidR="0004011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 </w:t>
      </w:r>
      <w:r w:rsidR="001D22EC" w:rsidRPr="00737451">
        <w:rPr>
          <w:rFonts w:ascii="Garamond" w:hAnsi="Garamond"/>
          <w:i/>
          <w:sz w:val="24"/>
          <w:szCs w:val="24"/>
        </w:rPr>
        <w:t>“</w:t>
      </w:r>
      <w:r w:rsidR="0004011B" w:rsidRPr="00737451">
        <w:rPr>
          <w:rFonts w:ascii="Garamond" w:hAnsi="Garamond"/>
          <w:i/>
          <w:sz w:val="24"/>
          <w:szCs w:val="24"/>
        </w:rPr>
        <w:t>2/1.</w:t>
      </w:r>
      <w:r w:rsidR="00BD09CC" w:rsidRPr="00737451">
        <w:rPr>
          <w:rFonts w:ascii="Garamond" w:hAnsi="Garamond"/>
          <w:i/>
          <w:sz w:val="24"/>
          <w:szCs w:val="24"/>
        </w:rPr>
        <w:t xml:space="preserve"> </w:t>
      </w:r>
      <w:r w:rsidR="0004011B" w:rsidRPr="00737451">
        <w:rPr>
          <w:rFonts w:ascii="Garamond" w:hAnsi="Garamond"/>
          <w:i/>
          <w:sz w:val="24"/>
          <w:szCs w:val="24"/>
        </w:rPr>
        <w:t xml:space="preserve">Bankat nuk netojnë/kompensojnë </w:t>
      </w:r>
      <w:r w:rsidR="00AB2439" w:rsidRPr="00737451">
        <w:rPr>
          <w:rFonts w:ascii="Garamond" w:hAnsi="Garamond"/>
          <w:i/>
          <w:sz w:val="24"/>
          <w:szCs w:val="24"/>
        </w:rPr>
        <w:t xml:space="preserve">midis pozicioneve në shitje (short) në librin e tregtueshëm dhe pozicioneve në blerje </w:t>
      </w:r>
      <w:r w:rsidR="001D22EC" w:rsidRPr="00737451">
        <w:rPr>
          <w:rFonts w:ascii="Garamond" w:hAnsi="Garamond"/>
          <w:i/>
          <w:sz w:val="24"/>
          <w:szCs w:val="24"/>
        </w:rPr>
        <w:t>(long)</w:t>
      </w:r>
      <w:r w:rsidR="00AB2439" w:rsidRPr="00737451">
        <w:rPr>
          <w:rFonts w:ascii="Garamond" w:hAnsi="Garamond"/>
          <w:i/>
          <w:sz w:val="24"/>
          <w:szCs w:val="24"/>
        </w:rPr>
        <w:t xml:space="preserve"> në librin e bankës</w:t>
      </w:r>
      <w:r w:rsidR="0004011B" w:rsidRPr="00737451">
        <w:rPr>
          <w:rFonts w:ascii="Garamond" w:hAnsi="Garamond"/>
          <w:i/>
          <w:sz w:val="24"/>
          <w:szCs w:val="24"/>
        </w:rPr>
        <w:t>.</w:t>
      </w:r>
    </w:p>
    <w:p w14:paraId="77710CD3" w14:textId="7EB207B9" w:rsidR="0004011B" w:rsidRPr="00737451" w:rsidRDefault="0004011B" w:rsidP="00E23659">
      <w:pPr>
        <w:spacing w:after="0" w:line="240" w:lineRule="auto"/>
        <w:ind w:firstLine="284"/>
        <w:jc w:val="both"/>
        <w:rPr>
          <w:rFonts w:ascii="Garamond" w:hAnsi="Garamond"/>
          <w:i/>
          <w:sz w:val="24"/>
          <w:szCs w:val="24"/>
        </w:rPr>
      </w:pPr>
      <w:r w:rsidRPr="00737451">
        <w:rPr>
          <w:rFonts w:ascii="Garamond" w:hAnsi="Garamond"/>
          <w:i/>
          <w:sz w:val="24"/>
          <w:szCs w:val="24"/>
        </w:rPr>
        <w:t>2/2. Nëse rezultati i netimit/kompensimit është një pozicion neto në shitje me një kundërparti të vetme, kjo vlerë (ky ekspozim) neto nuk duhet të konsiderohet si një ekspozim për qëllime të përllogaritjes së ekspozimeve të mëdha.</w:t>
      </w:r>
      <w:r w:rsidR="001D22EC" w:rsidRPr="00737451">
        <w:rPr>
          <w:rFonts w:ascii="Garamond" w:hAnsi="Garamond"/>
          <w:i/>
          <w:sz w:val="24"/>
          <w:szCs w:val="24"/>
        </w:rPr>
        <w:t>”</w:t>
      </w:r>
      <w:r w:rsidR="00584F7A" w:rsidRPr="00737451">
        <w:rPr>
          <w:rFonts w:ascii="Garamond" w:hAnsi="Garamond"/>
          <w:i/>
          <w:sz w:val="24"/>
          <w:szCs w:val="24"/>
        </w:rPr>
        <w:t>.</w:t>
      </w:r>
    </w:p>
    <w:p w14:paraId="4BBA7233" w14:textId="25F44608" w:rsidR="0004011B" w:rsidRPr="00875A12" w:rsidRDefault="00E23659" w:rsidP="00E23659">
      <w:pPr>
        <w:spacing w:after="0" w:line="240" w:lineRule="auto"/>
        <w:ind w:firstLine="284"/>
        <w:jc w:val="both"/>
        <w:rPr>
          <w:rFonts w:ascii="Garamond" w:hAnsi="Garamond"/>
          <w:sz w:val="24"/>
          <w:szCs w:val="24"/>
        </w:rPr>
      </w:pPr>
      <w:r w:rsidRPr="00875A12">
        <w:rPr>
          <w:rFonts w:ascii="Garamond" w:hAnsi="Garamond"/>
          <w:sz w:val="24"/>
          <w:szCs w:val="24"/>
        </w:rPr>
        <w:t xml:space="preserve">iii. </w:t>
      </w:r>
      <w:r w:rsidR="00584F7A" w:rsidRPr="00875A12">
        <w:rPr>
          <w:rFonts w:ascii="Garamond" w:hAnsi="Garamond"/>
          <w:sz w:val="24"/>
          <w:szCs w:val="24"/>
        </w:rPr>
        <w:t>Pik</w:t>
      </w:r>
      <w:r w:rsidR="00153542" w:rsidRPr="00875A12">
        <w:rPr>
          <w:rFonts w:ascii="Garamond" w:hAnsi="Garamond"/>
          <w:sz w:val="24"/>
          <w:szCs w:val="24"/>
        </w:rPr>
        <w:t>a</w:t>
      </w:r>
      <w:r w:rsidR="0004011B" w:rsidRPr="00875A12">
        <w:rPr>
          <w:rFonts w:ascii="Garamond" w:hAnsi="Garamond"/>
          <w:sz w:val="24"/>
          <w:szCs w:val="24"/>
        </w:rPr>
        <w:t xml:space="preserve"> 7, </w:t>
      </w:r>
      <w:r w:rsidR="00153542" w:rsidRPr="00875A12">
        <w:rPr>
          <w:rFonts w:ascii="Garamond" w:hAnsi="Garamond"/>
          <w:sz w:val="24"/>
          <w:szCs w:val="24"/>
        </w:rPr>
        <w:t>ndryshon sipas përmbajtjes së mëposhtme:</w:t>
      </w:r>
    </w:p>
    <w:p w14:paraId="293528A3" w14:textId="6142FD0D" w:rsidR="00153542"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153542" w:rsidRPr="00737451">
        <w:rPr>
          <w:rFonts w:ascii="Garamond" w:hAnsi="Garamond"/>
          <w:i/>
          <w:sz w:val="24"/>
          <w:szCs w:val="24"/>
        </w:rPr>
        <w:t>7. Bankat, në llogaritjen e vlerës së ekspozimit në librin e bankës</w:t>
      </w:r>
      <w:r w:rsidR="00DE12EE" w:rsidRPr="00737451">
        <w:rPr>
          <w:rFonts w:ascii="Garamond" w:hAnsi="Garamond"/>
          <w:i/>
          <w:sz w:val="24"/>
          <w:szCs w:val="24"/>
        </w:rPr>
        <w:t>,</w:t>
      </w:r>
      <w:r w:rsidR="00153542" w:rsidRPr="00737451">
        <w:rPr>
          <w:rFonts w:ascii="Garamond" w:hAnsi="Garamond"/>
          <w:i/>
          <w:sz w:val="24"/>
          <w:szCs w:val="24"/>
        </w:rPr>
        <w:t xml:space="preserve"> marrin në konsideratë vlerën kontabël për zërat e aktivit (vlerën në bilanc pas zbritjes së fondeve rezervë për mbulimin e humbjeve) dhe vlerën e zërave jashtë bilancit (pas aplikimit të përqindjeve të parashikuara në nenin 9, pika 1 të rregullores së mjaftueshmërisë së kapitalit), përpara ponderimit me peshat e rrezikut.</w:t>
      </w:r>
      <w:r w:rsidRPr="00737451">
        <w:rPr>
          <w:rFonts w:ascii="Garamond" w:hAnsi="Garamond"/>
          <w:i/>
          <w:sz w:val="24"/>
          <w:szCs w:val="24"/>
        </w:rPr>
        <w:t>”</w:t>
      </w:r>
      <w:r w:rsidR="00584F7A" w:rsidRPr="00737451">
        <w:rPr>
          <w:rFonts w:ascii="Garamond" w:hAnsi="Garamond"/>
          <w:i/>
          <w:sz w:val="24"/>
          <w:szCs w:val="24"/>
        </w:rPr>
        <w:t>.</w:t>
      </w:r>
    </w:p>
    <w:p w14:paraId="6E2F22DF" w14:textId="3A81E093" w:rsidR="00A67EDD" w:rsidRPr="00914EDC" w:rsidRDefault="00E23659" w:rsidP="00E23659">
      <w:pPr>
        <w:spacing w:after="0" w:line="240" w:lineRule="auto"/>
        <w:ind w:firstLine="284"/>
        <w:jc w:val="both"/>
        <w:rPr>
          <w:rFonts w:ascii="Garamond" w:hAnsi="Garamond"/>
          <w:sz w:val="24"/>
          <w:szCs w:val="24"/>
        </w:rPr>
      </w:pPr>
      <w:r w:rsidRPr="00914EDC">
        <w:rPr>
          <w:rFonts w:ascii="Garamond" w:hAnsi="Garamond"/>
          <w:sz w:val="24"/>
          <w:szCs w:val="24"/>
        </w:rPr>
        <w:t xml:space="preserve">iv. </w:t>
      </w:r>
      <w:r w:rsidR="00584F7A" w:rsidRPr="00914EDC">
        <w:rPr>
          <w:rFonts w:ascii="Garamond" w:hAnsi="Garamond"/>
          <w:sz w:val="24"/>
          <w:szCs w:val="24"/>
        </w:rPr>
        <w:t xml:space="preserve">Në </w:t>
      </w:r>
      <w:r w:rsidR="00A67EDD" w:rsidRPr="00914EDC">
        <w:rPr>
          <w:rFonts w:ascii="Garamond" w:hAnsi="Garamond"/>
          <w:sz w:val="24"/>
          <w:szCs w:val="24"/>
        </w:rPr>
        <w:t xml:space="preserve">pikën 10, shkronja </w:t>
      </w:r>
      <w:r w:rsidR="001D22EC" w:rsidRPr="00914EDC">
        <w:rPr>
          <w:rFonts w:ascii="Garamond" w:hAnsi="Garamond"/>
          <w:sz w:val="24"/>
          <w:szCs w:val="24"/>
        </w:rPr>
        <w:t>“</w:t>
      </w:r>
      <w:r w:rsidR="00A67EDD" w:rsidRPr="00914EDC">
        <w:rPr>
          <w:rFonts w:ascii="Garamond" w:hAnsi="Garamond"/>
          <w:sz w:val="24"/>
          <w:szCs w:val="24"/>
        </w:rPr>
        <w:t>c</w:t>
      </w:r>
      <w:r w:rsidR="001D22EC" w:rsidRPr="00914EDC">
        <w:rPr>
          <w:rFonts w:ascii="Garamond" w:hAnsi="Garamond"/>
          <w:sz w:val="24"/>
          <w:szCs w:val="24"/>
        </w:rPr>
        <w:t>”</w:t>
      </w:r>
      <w:r w:rsidR="00A67EDD" w:rsidRPr="00914EDC">
        <w:rPr>
          <w:rFonts w:ascii="Garamond" w:hAnsi="Garamond"/>
          <w:sz w:val="24"/>
          <w:szCs w:val="24"/>
        </w:rPr>
        <w:t xml:space="preserve"> ndryshon me përmbajtjen e mëposhtme:</w:t>
      </w:r>
    </w:p>
    <w:p w14:paraId="0AE72CA1" w14:textId="315DFE66" w:rsidR="00A67EDD"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051DC3" w:rsidRPr="00737451">
        <w:rPr>
          <w:rFonts w:ascii="Garamond" w:hAnsi="Garamond"/>
          <w:i/>
          <w:sz w:val="24"/>
          <w:szCs w:val="24"/>
        </w:rPr>
        <w:t xml:space="preserve">c) </w:t>
      </w:r>
      <w:r w:rsidR="00A67EDD" w:rsidRPr="00737451">
        <w:rPr>
          <w:rFonts w:ascii="Garamond" w:hAnsi="Garamond"/>
          <w:i/>
          <w:sz w:val="24"/>
          <w:szCs w:val="24"/>
        </w:rPr>
        <w:t>ekspozimet (pagesat në proces), në rastin e transfertave të parave, përfshirë ekzekutimin e shërbimeve të pagesave, klerimin dhe shlyerjen në monedha të ndryshme dhe banka të ndryshme korrespondente ose klerimin, shlyerjen dhe shërbimet e marrjes në kujdestari të instrumenteve financiare për klientët, faturat e vonuara në financim dhe ekspozime të tjera që krijohen nga veprimtaria e klientëve, që nuk zgjatin më shumë se dita pasuese e punës, si dhe</w:t>
      </w:r>
      <w:r w:rsidRPr="00737451">
        <w:rPr>
          <w:rFonts w:ascii="Garamond" w:hAnsi="Garamond"/>
          <w:i/>
          <w:sz w:val="24"/>
          <w:szCs w:val="24"/>
        </w:rPr>
        <w:t>”</w:t>
      </w:r>
      <w:r w:rsidR="00D224B6">
        <w:rPr>
          <w:rFonts w:ascii="Garamond" w:hAnsi="Garamond"/>
          <w:i/>
          <w:sz w:val="24"/>
          <w:szCs w:val="24"/>
        </w:rPr>
        <w:t>,</w:t>
      </w:r>
    </w:p>
    <w:p w14:paraId="7E2FA4E8" w14:textId="4EEEB12E"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 </w:t>
      </w:r>
      <w:r w:rsidR="00584F7A" w:rsidRPr="00BD09CC">
        <w:rPr>
          <w:rFonts w:ascii="Garamond" w:hAnsi="Garamond"/>
          <w:sz w:val="24"/>
          <w:szCs w:val="24"/>
        </w:rPr>
        <w:t xml:space="preserve">Në </w:t>
      </w:r>
      <w:r w:rsidR="0040781A" w:rsidRPr="00BD09CC">
        <w:rPr>
          <w:rFonts w:ascii="Garamond" w:hAnsi="Garamond"/>
          <w:sz w:val="24"/>
          <w:szCs w:val="24"/>
        </w:rPr>
        <w:t xml:space="preserve">pikën 10, pas shkronjës </w:t>
      </w:r>
      <w:r w:rsidR="001D22EC">
        <w:rPr>
          <w:rFonts w:ascii="Garamond" w:hAnsi="Garamond"/>
          <w:sz w:val="24"/>
          <w:szCs w:val="24"/>
        </w:rPr>
        <w:t>“</w:t>
      </w:r>
      <w:r w:rsidR="0040781A" w:rsidRPr="00BD09CC">
        <w:rPr>
          <w:rFonts w:ascii="Garamond" w:hAnsi="Garamond"/>
          <w:sz w:val="24"/>
          <w:szCs w:val="24"/>
        </w:rPr>
        <w:t>c</w:t>
      </w:r>
      <w:r w:rsidR="001D22EC">
        <w:rPr>
          <w:rFonts w:ascii="Garamond" w:hAnsi="Garamond"/>
          <w:sz w:val="24"/>
          <w:szCs w:val="24"/>
        </w:rPr>
        <w:t>”</w:t>
      </w:r>
      <w:r w:rsidR="0040781A" w:rsidRPr="00BD09CC">
        <w:rPr>
          <w:rFonts w:ascii="Garamond" w:hAnsi="Garamond"/>
          <w:sz w:val="24"/>
          <w:szCs w:val="24"/>
        </w:rPr>
        <w:t xml:space="preserve"> shtohet shkronja </w:t>
      </w:r>
      <w:r w:rsidR="001D22EC">
        <w:rPr>
          <w:rFonts w:ascii="Garamond" w:hAnsi="Garamond"/>
          <w:sz w:val="24"/>
          <w:szCs w:val="24"/>
        </w:rPr>
        <w:t>“</w:t>
      </w:r>
      <w:r w:rsidR="0040781A" w:rsidRPr="00BD09CC">
        <w:rPr>
          <w:rFonts w:ascii="Garamond" w:hAnsi="Garamond"/>
          <w:sz w:val="24"/>
          <w:szCs w:val="24"/>
        </w:rPr>
        <w:t>d</w:t>
      </w:r>
      <w:r w:rsidR="001D22EC">
        <w:rPr>
          <w:rFonts w:ascii="Garamond" w:hAnsi="Garamond"/>
          <w:sz w:val="24"/>
          <w:szCs w:val="24"/>
        </w:rPr>
        <w:t>”</w:t>
      </w:r>
      <w:r w:rsidR="008C0F9A" w:rsidRPr="00BD09CC">
        <w:rPr>
          <w:rFonts w:ascii="Garamond" w:hAnsi="Garamond"/>
          <w:sz w:val="24"/>
          <w:szCs w:val="24"/>
        </w:rPr>
        <w:t>,</w:t>
      </w:r>
      <w:r w:rsidR="0040781A" w:rsidRPr="00BD09CC">
        <w:rPr>
          <w:rFonts w:ascii="Garamond" w:hAnsi="Garamond"/>
          <w:sz w:val="24"/>
          <w:szCs w:val="24"/>
        </w:rPr>
        <w:t xml:space="preserve"> me përmbajtjen e mëposhtme:</w:t>
      </w:r>
    </w:p>
    <w:p w14:paraId="2E8EB8E7" w14:textId="2F088AA3" w:rsidR="0040781A" w:rsidRPr="00BD09CC" w:rsidRDefault="001D22EC" w:rsidP="00E23659">
      <w:pPr>
        <w:spacing w:after="0" w:line="240" w:lineRule="auto"/>
        <w:ind w:firstLine="284"/>
        <w:jc w:val="both"/>
        <w:rPr>
          <w:rFonts w:ascii="Garamond" w:hAnsi="Garamond"/>
          <w:i/>
          <w:sz w:val="24"/>
          <w:szCs w:val="24"/>
        </w:rPr>
      </w:pPr>
      <w:r>
        <w:rPr>
          <w:rFonts w:ascii="Garamond" w:hAnsi="Garamond"/>
          <w:i/>
          <w:sz w:val="24"/>
          <w:szCs w:val="24"/>
        </w:rPr>
        <w:t>“</w:t>
      </w:r>
      <w:r w:rsidR="0040781A" w:rsidRPr="00BD09CC">
        <w:rPr>
          <w:rFonts w:ascii="Garamond" w:hAnsi="Garamond"/>
          <w:i/>
          <w:sz w:val="24"/>
          <w:szCs w:val="24"/>
        </w:rPr>
        <w:t>d) ekspozimet (pagesat në proces), në rastin e transfertave të parave, përfshirë ekzekutimin e shërbimeve të pagesave, klerimin dhe shlyerjen në monedha të ndryshme dhe banka të ndryshme korrespondente, që krijohen brenda ditës ndaj institucioneve që ofrojnë këto shërbime.</w:t>
      </w:r>
      <w:r>
        <w:rPr>
          <w:rFonts w:ascii="Garamond" w:hAnsi="Garamond"/>
          <w:i/>
          <w:sz w:val="24"/>
          <w:szCs w:val="24"/>
        </w:rPr>
        <w:t>”</w:t>
      </w:r>
      <w:r w:rsidR="00737451">
        <w:rPr>
          <w:rFonts w:ascii="Garamond" w:hAnsi="Garamond"/>
          <w:i/>
          <w:sz w:val="24"/>
          <w:szCs w:val="24"/>
        </w:rPr>
        <w:t>.</w:t>
      </w:r>
    </w:p>
    <w:p w14:paraId="361BEF26" w14:textId="2ED750FF"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c) </w:t>
      </w:r>
      <w:r w:rsidR="0040781A" w:rsidRPr="00BD09CC">
        <w:rPr>
          <w:rFonts w:ascii="Garamond" w:hAnsi="Garamond"/>
          <w:sz w:val="24"/>
          <w:szCs w:val="24"/>
        </w:rPr>
        <w:t>Nenet 7 deri në 1</w:t>
      </w:r>
      <w:r w:rsidR="00943A57" w:rsidRPr="00BD09CC">
        <w:rPr>
          <w:rFonts w:ascii="Garamond" w:hAnsi="Garamond"/>
          <w:sz w:val="24"/>
          <w:szCs w:val="24"/>
        </w:rPr>
        <w:t>4</w:t>
      </w:r>
      <w:r w:rsidR="0040781A" w:rsidRPr="00BD09CC">
        <w:rPr>
          <w:rFonts w:ascii="Garamond" w:hAnsi="Garamond"/>
          <w:sz w:val="24"/>
          <w:szCs w:val="24"/>
        </w:rPr>
        <w:t xml:space="preserve"> </w:t>
      </w:r>
      <w:r w:rsidR="00450D14" w:rsidRPr="00BD09CC">
        <w:rPr>
          <w:rFonts w:ascii="Garamond" w:hAnsi="Garamond"/>
          <w:sz w:val="24"/>
          <w:szCs w:val="24"/>
        </w:rPr>
        <w:t>rinumërohen</w:t>
      </w:r>
      <w:r w:rsidR="0040781A" w:rsidRPr="00BD09CC">
        <w:rPr>
          <w:rFonts w:ascii="Garamond" w:hAnsi="Garamond"/>
          <w:sz w:val="24"/>
          <w:szCs w:val="24"/>
        </w:rPr>
        <w:t xml:space="preserve"> </w:t>
      </w:r>
      <w:r w:rsidR="008C0F9A" w:rsidRPr="00BD09CC">
        <w:rPr>
          <w:rFonts w:ascii="Garamond" w:hAnsi="Garamond"/>
          <w:sz w:val="24"/>
          <w:szCs w:val="24"/>
        </w:rPr>
        <w:t>përkat</w:t>
      </w:r>
      <w:r w:rsidR="00C22C9D" w:rsidRPr="00BD09CC">
        <w:rPr>
          <w:rFonts w:ascii="Garamond" w:hAnsi="Garamond"/>
          <w:sz w:val="24"/>
          <w:szCs w:val="24"/>
        </w:rPr>
        <w:t>ësisht</w:t>
      </w:r>
      <w:r w:rsidR="008C0F9A" w:rsidRPr="00BD09CC">
        <w:rPr>
          <w:rFonts w:ascii="Garamond" w:hAnsi="Garamond"/>
          <w:sz w:val="24"/>
          <w:szCs w:val="24"/>
        </w:rPr>
        <w:t xml:space="preserve"> </w:t>
      </w:r>
      <w:r w:rsidR="0040781A" w:rsidRPr="00BD09CC">
        <w:rPr>
          <w:rFonts w:ascii="Garamond" w:hAnsi="Garamond"/>
          <w:sz w:val="24"/>
          <w:szCs w:val="24"/>
        </w:rPr>
        <w:t>në nenet 6 deri në 1</w:t>
      </w:r>
      <w:r w:rsidR="00943A57" w:rsidRPr="00BD09CC">
        <w:rPr>
          <w:rFonts w:ascii="Garamond" w:hAnsi="Garamond"/>
          <w:sz w:val="24"/>
          <w:szCs w:val="24"/>
        </w:rPr>
        <w:t>3</w:t>
      </w:r>
      <w:r w:rsidR="00737451">
        <w:rPr>
          <w:rFonts w:ascii="Garamond" w:hAnsi="Garamond"/>
          <w:sz w:val="24"/>
          <w:szCs w:val="24"/>
        </w:rPr>
        <w:t>.</w:t>
      </w:r>
    </w:p>
    <w:p w14:paraId="1B08B298" w14:textId="7BD994A1"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d) </w:t>
      </w:r>
      <w:r w:rsidR="007D3CA7" w:rsidRPr="00BD09CC">
        <w:rPr>
          <w:rFonts w:ascii="Garamond" w:hAnsi="Garamond"/>
          <w:sz w:val="24"/>
          <w:szCs w:val="24"/>
        </w:rPr>
        <w:t xml:space="preserve">Në nenin 6 të </w:t>
      </w:r>
      <w:r w:rsidR="00450D14" w:rsidRPr="00BD09CC">
        <w:rPr>
          <w:rFonts w:ascii="Garamond" w:hAnsi="Garamond"/>
          <w:sz w:val="24"/>
          <w:szCs w:val="24"/>
        </w:rPr>
        <w:t>rinumëruar</w:t>
      </w:r>
      <w:r w:rsidR="007D3CA7" w:rsidRPr="00BD09CC">
        <w:rPr>
          <w:rFonts w:ascii="Garamond" w:hAnsi="Garamond"/>
          <w:sz w:val="24"/>
          <w:szCs w:val="24"/>
        </w:rPr>
        <w:t xml:space="preserve">, togfjalëshi </w:t>
      </w:r>
      <w:r w:rsidR="001D22EC" w:rsidRPr="00AA5A87">
        <w:rPr>
          <w:rFonts w:ascii="Garamond" w:hAnsi="Garamond"/>
          <w:i/>
          <w:sz w:val="24"/>
          <w:szCs w:val="24"/>
        </w:rPr>
        <w:t>“</w:t>
      </w:r>
      <w:r w:rsidR="007D3CA7" w:rsidRPr="00AA5A87">
        <w:rPr>
          <w:rFonts w:ascii="Garamond" w:hAnsi="Garamond"/>
          <w:i/>
          <w:sz w:val="24"/>
          <w:szCs w:val="24"/>
        </w:rPr>
        <w:t>në nenin 9</w:t>
      </w:r>
      <w:r w:rsidR="001D22EC" w:rsidRPr="00AA5A87">
        <w:rPr>
          <w:rFonts w:ascii="Garamond" w:hAnsi="Garamond"/>
          <w:i/>
          <w:sz w:val="24"/>
          <w:szCs w:val="24"/>
        </w:rPr>
        <w:t>”</w:t>
      </w:r>
      <w:r w:rsidR="00D536BD" w:rsidRPr="00BD09CC">
        <w:rPr>
          <w:rFonts w:ascii="Garamond" w:hAnsi="Garamond"/>
          <w:sz w:val="24"/>
          <w:szCs w:val="24"/>
        </w:rPr>
        <w:t>,</w:t>
      </w:r>
      <w:r w:rsidR="007D3CA7" w:rsidRPr="00BD09CC">
        <w:rPr>
          <w:rFonts w:ascii="Garamond" w:hAnsi="Garamond"/>
          <w:sz w:val="24"/>
          <w:szCs w:val="24"/>
        </w:rPr>
        <w:t xml:space="preserve"> </w:t>
      </w:r>
      <w:r w:rsidR="00A114B7" w:rsidRPr="00BD09CC">
        <w:rPr>
          <w:rFonts w:ascii="Garamond" w:hAnsi="Garamond"/>
          <w:sz w:val="24"/>
          <w:szCs w:val="24"/>
        </w:rPr>
        <w:t>zëvendësohet me</w:t>
      </w:r>
      <w:r w:rsidR="007D3CA7" w:rsidRPr="00BD09CC">
        <w:rPr>
          <w:rFonts w:ascii="Garamond" w:hAnsi="Garamond"/>
          <w:sz w:val="24"/>
          <w:szCs w:val="24"/>
        </w:rPr>
        <w:t xml:space="preserve"> togfjalëshin </w:t>
      </w:r>
      <w:r w:rsidR="001D22EC" w:rsidRPr="00AA5A87">
        <w:rPr>
          <w:rFonts w:ascii="Garamond" w:hAnsi="Garamond"/>
          <w:i/>
          <w:sz w:val="24"/>
          <w:szCs w:val="24"/>
        </w:rPr>
        <w:t>“</w:t>
      </w:r>
      <w:r w:rsidR="00A114B7" w:rsidRPr="00AA5A87">
        <w:rPr>
          <w:rFonts w:ascii="Garamond" w:hAnsi="Garamond"/>
          <w:i/>
          <w:sz w:val="24"/>
          <w:szCs w:val="24"/>
        </w:rPr>
        <w:t>në nenin 8</w:t>
      </w:r>
      <w:r w:rsidR="001D22EC" w:rsidRPr="00AA5A87">
        <w:rPr>
          <w:rFonts w:ascii="Garamond" w:hAnsi="Garamond"/>
          <w:i/>
          <w:sz w:val="24"/>
          <w:szCs w:val="24"/>
        </w:rPr>
        <w:t>”</w:t>
      </w:r>
      <w:r w:rsidR="00737451">
        <w:rPr>
          <w:rFonts w:ascii="Garamond" w:hAnsi="Garamond"/>
          <w:sz w:val="24"/>
          <w:szCs w:val="24"/>
        </w:rPr>
        <w:t>.</w:t>
      </w:r>
    </w:p>
    <w:p w14:paraId="3095191E" w14:textId="2BEF1B1F"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e) </w:t>
      </w:r>
      <w:r w:rsidR="00A114B7" w:rsidRPr="00BD09CC">
        <w:rPr>
          <w:rFonts w:ascii="Garamond" w:hAnsi="Garamond"/>
          <w:sz w:val="24"/>
          <w:szCs w:val="24"/>
        </w:rPr>
        <w:t xml:space="preserve">Në nenin </w:t>
      </w:r>
      <w:r w:rsidR="0056180A" w:rsidRPr="00BD09CC">
        <w:rPr>
          <w:rFonts w:ascii="Garamond" w:hAnsi="Garamond"/>
          <w:sz w:val="24"/>
          <w:szCs w:val="24"/>
        </w:rPr>
        <w:t>7</w:t>
      </w:r>
      <w:r w:rsidR="00A114B7" w:rsidRPr="00BD09CC">
        <w:rPr>
          <w:rFonts w:ascii="Garamond" w:hAnsi="Garamond"/>
          <w:sz w:val="24"/>
          <w:szCs w:val="24"/>
        </w:rPr>
        <w:t xml:space="preserve"> të </w:t>
      </w:r>
      <w:r w:rsidR="00450D14" w:rsidRPr="00BD09CC">
        <w:rPr>
          <w:rFonts w:ascii="Garamond" w:hAnsi="Garamond"/>
          <w:sz w:val="24"/>
          <w:szCs w:val="24"/>
        </w:rPr>
        <w:t>rinumëruar</w:t>
      </w:r>
      <w:r w:rsidR="00A114B7" w:rsidRPr="00BD09CC">
        <w:rPr>
          <w:rFonts w:ascii="Garamond" w:hAnsi="Garamond"/>
          <w:sz w:val="24"/>
          <w:szCs w:val="24"/>
        </w:rPr>
        <w:t xml:space="preserve"> bëhen ndryshimet e mëposhtme:</w:t>
      </w:r>
    </w:p>
    <w:p w14:paraId="63481A9D" w14:textId="73C079B4"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lastRenderedPageBreak/>
        <w:t xml:space="preserve">i. </w:t>
      </w:r>
      <w:r w:rsidR="00AA5A87" w:rsidRPr="00BD09CC">
        <w:rPr>
          <w:rFonts w:ascii="Garamond" w:hAnsi="Garamond"/>
          <w:sz w:val="24"/>
          <w:szCs w:val="24"/>
        </w:rPr>
        <w:t xml:space="preserve">Pas </w:t>
      </w:r>
      <w:r w:rsidR="00A114B7" w:rsidRPr="00BD09CC">
        <w:rPr>
          <w:rFonts w:ascii="Garamond" w:hAnsi="Garamond"/>
          <w:sz w:val="24"/>
          <w:szCs w:val="24"/>
        </w:rPr>
        <w:t>pikës 1</w:t>
      </w:r>
      <w:r w:rsidR="00D536BD" w:rsidRPr="00BD09CC">
        <w:rPr>
          <w:rFonts w:ascii="Garamond" w:hAnsi="Garamond"/>
          <w:sz w:val="24"/>
          <w:szCs w:val="24"/>
        </w:rPr>
        <w:t>,</w:t>
      </w:r>
      <w:r w:rsidR="00A114B7" w:rsidRPr="00BD09CC">
        <w:rPr>
          <w:rFonts w:ascii="Garamond" w:hAnsi="Garamond"/>
          <w:sz w:val="24"/>
          <w:szCs w:val="24"/>
        </w:rPr>
        <w:t xml:space="preserve"> shtohet pika 1/1 me përmbajtjen e mëposhtme:</w:t>
      </w:r>
    </w:p>
    <w:p w14:paraId="76A99C8C" w14:textId="2675789C" w:rsidR="00A114B7" w:rsidRPr="00AA5A87" w:rsidRDefault="001D22EC" w:rsidP="00E23659">
      <w:pPr>
        <w:spacing w:after="0" w:line="240" w:lineRule="auto"/>
        <w:ind w:firstLine="284"/>
        <w:jc w:val="both"/>
        <w:rPr>
          <w:rFonts w:ascii="Garamond" w:hAnsi="Garamond"/>
          <w:i/>
          <w:sz w:val="24"/>
          <w:szCs w:val="24"/>
        </w:rPr>
      </w:pPr>
      <w:r w:rsidRPr="00AA5A87">
        <w:rPr>
          <w:rFonts w:ascii="Garamond" w:hAnsi="Garamond"/>
          <w:i/>
          <w:sz w:val="24"/>
          <w:szCs w:val="24"/>
        </w:rPr>
        <w:t>“</w:t>
      </w:r>
      <w:r w:rsidR="00A114B7" w:rsidRPr="00AA5A87">
        <w:rPr>
          <w:rFonts w:ascii="Garamond" w:hAnsi="Garamond"/>
          <w:i/>
          <w:sz w:val="24"/>
          <w:szCs w:val="24"/>
        </w:rPr>
        <w:t>1/1. Ekspozimi i një banke me rëndësi sistemike ndaj një banke tjetër me rëndësi sistemike</w:t>
      </w:r>
      <w:r w:rsidR="00AB3FD3" w:rsidRPr="00AA5A87">
        <w:rPr>
          <w:rFonts w:ascii="Garamond" w:hAnsi="Garamond"/>
          <w:i/>
          <w:sz w:val="24"/>
          <w:szCs w:val="24"/>
        </w:rPr>
        <w:t xml:space="preserve"> dhe grupit të personave të lidhur me të, subjekt i mbikëqyrjes së konsoliduar të Bankës së Shqipërisë</w:t>
      </w:r>
      <w:r w:rsidR="00A114B7" w:rsidRPr="00AA5A87">
        <w:rPr>
          <w:rFonts w:ascii="Garamond" w:hAnsi="Garamond"/>
          <w:i/>
          <w:sz w:val="24"/>
          <w:szCs w:val="24"/>
        </w:rPr>
        <w:t>, nuk mund të tejkalojë 15 për qind të kapitalit të nivelit të parë të saj</w:t>
      </w:r>
      <w:r w:rsidR="00AB3FD3" w:rsidRPr="00AA5A87">
        <w:rPr>
          <w:rFonts w:ascii="Garamond" w:hAnsi="Garamond"/>
          <w:i/>
          <w:sz w:val="24"/>
          <w:szCs w:val="24"/>
        </w:rPr>
        <w:t xml:space="preserve"> (bankës)</w:t>
      </w:r>
      <w:r w:rsidR="00A114B7" w:rsidRPr="00AA5A87">
        <w:rPr>
          <w:rFonts w:ascii="Garamond" w:hAnsi="Garamond"/>
          <w:i/>
          <w:sz w:val="24"/>
          <w:szCs w:val="24"/>
        </w:rPr>
        <w:t>.</w:t>
      </w:r>
      <w:r w:rsidRPr="00AA5A87">
        <w:rPr>
          <w:rFonts w:ascii="Garamond" w:hAnsi="Garamond"/>
          <w:i/>
          <w:sz w:val="24"/>
          <w:szCs w:val="24"/>
        </w:rPr>
        <w:t>”</w:t>
      </w:r>
      <w:r w:rsidR="00AA5A87" w:rsidRPr="00AA5A87">
        <w:rPr>
          <w:rFonts w:ascii="Garamond" w:hAnsi="Garamond"/>
          <w:i/>
          <w:sz w:val="24"/>
          <w:szCs w:val="24"/>
        </w:rPr>
        <w:t>.</w:t>
      </w:r>
      <w:r w:rsidR="00A114B7" w:rsidRPr="00AA5A87">
        <w:rPr>
          <w:rFonts w:ascii="Garamond" w:hAnsi="Garamond"/>
          <w:i/>
          <w:sz w:val="24"/>
          <w:szCs w:val="24"/>
        </w:rPr>
        <w:t xml:space="preserve"> </w:t>
      </w:r>
    </w:p>
    <w:p w14:paraId="474ED603" w14:textId="1D162739"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AA5A87" w:rsidRPr="00BD09CC">
        <w:rPr>
          <w:rFonts w:ascii="Garamond" w:hAnsi="Garamond"/>
          <w:sz w:val="24"/>
          <w:szCs w:val="24"/>
        </w:rPr>
        <w:t xml:space="preserve">Në </w:t>
      </w:r>
      <w:r w:rsidR="00A114B7" w:rsidRPr="00BD09CC">
        <w:rPr>
          <w:rFonts w:ascii="Garamond" w:hAnsi="Garamond"/>
          <w:sz w:val="24"/>
          <w:szCs w:val="24"/>
        </w:rPr>
        <w:t xml:space="preserve">pikën 2, togfjalëshi </w:t>
      </w:r>
      <w:r w:rsidR="001D22EC" w:rsidRPr="00AA5A87">
        <w:rPr>
          <w:rFonts w:ascii="Garamond" w:hAnsi="Garamond"/>
          <w:i/>
          <w:sz w:val="24"/>
          <w:szCs w:val="24"/>
        </w:rPr>
        <w:t>“</w:t>
      </w:r>
      <w:r w:rsidR="00A114B7" w:rsidRPr="00AA5A87">
        <w:rPr>
          <w:rFonts w:ascii="Garamond" w:hAnsi="Garamond"/>
          <w:i/>
          <w:sz w:val="24"/>
          <w:szCs w:val="24"/>
        </w:rPr>
        <w:t>në nenin 9</w:t>
      </w:r>
      <w:r w:rsidR="001D22EC" w:rsidRPr="00AA5A87">
        <w:rPr>
          <w:rFonts w:ascii="Garamond" w:hAnsi="Garamond"/>
          <w:i/>
          <w:sz w:val="24"/>
          <w:szCs w:val="24"/>
        </w:rPr>
        <w:t>”</w:t>
      </w:r>
      <w:r w:rsidR="00823FA2" w:rsidRPr="00BD09CC">
        <w:rPr>
          <w:rFonts w:ascii="Garamond" w:hAnsi="Garamond"/>
          <w:sz w:val="24"/>
          <w:szCs w:val="24"/>
        </w:rPr>
        <w:t>,</w:t>
      </w:r>
      <w:r w:rsidR="00A114B7" w:rsidRPr="00BD09CC">
        <w:rPr>
          <w:rFonts w:ascii="Garamond" w:hAnsi="Garamond"/>
          <w:sz w:val="24"/>
          <w:szCs w:val="24"/>
        </w:rPr>
        <w:t xml:space="preserve"> zëvendësohet me togfjalëshin </w:t>
      </w:r>
      <w:r w:rsidR="001D22EC" w:rsidRPr="00AA5A87">
        <w:rPr>
          <w:rFonts w:ascii="Garamond" w:hAnsi="Garamond"/>
          <w:i/>
          <w:sz w:val="24"/>
          <w:szCs w:val="24"/>
        </w:rPr>
        <w:t>“</w:t>
      </w:r>
      <w:r w:rsidR="00A114B7" w:rsidRPr="00AA5A87">
        <w:rPr>
          <w:rFonts w:ascii="Garamond" w:hAnsi="Garamond"/>
          <w:i/>
          <w:sz w:val="24"/>
          <w:szCs w:val="24"/>
        </w:rPr>
        <w:t>në nenin 8</w:t>
      </w:r>
      <w:r w:rsidR="001D22EC" w:rsidRPr="00AA5A87">
        <w:rPr>
          <w:rFonts w:ascii="Garamond" w:hAnsi="Garamond"/>
          <w:i/>
          <w:sz w:val="24"/>
          <w:szCs w:val="24"/>
        </w:rPr>
        <w:t>”</w:t>
      </w:r>
      <w:r w:rsidR="00AA5A87">
        <w:rPr>
          <w:rFonts w:ascii="Garamond" w:hAnsi="Garamond"/>
          <w:sz w:val="24"/>
          <w:szCs w:val="24"/>
        </w:rPr>
        <w:t>.</w:t>
      </w:r>
    </w:p>
    <w:p w14:paraId="4464B04C" w14:textId="5234F871"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A87311" w:rsidRPr="00BD09CC">
        <w:rPr>
          <w:rFonts w:ascii="Garamond" w:hAnsi="Garamond"/>
          <w:sz w:val="24"/>
          <w:szCs w:val="24"/>
        </w:rPr>
        <w:t xml:space="preserve">Pika </w:t>
      </w:r>
      <w:r w:rsidR="00A114B7" w:rsidRPr="00BD09CC">
        <w:rPr>
          <w:rFonts w:ascii="Garamond" w:hAnsi="Garamond"/>
          <w:sz w:val="24"/>
          <w:szCs w:val="24"/>
        </w:rPr>
        <w:t>3 ndryshon me përmbajtjen e mëposhtme:</w:t>
      </w:r>
    </w:p>
    <w:p w14:paraId="620FE7F1" w14:textId="117EA40F" w:rsidR="00A114B7" w:rsidRPr="00A87311" w:rsidRDefault="001D22EC" w:rsidP="00E23659">
      <w:pPr>
        <w:spacing w:after="0" w:line="240" w:lineRule="auto"/>
        <w:ind w:firstLine="284"/>
        <w:jc w:val="both"/>
        <w:rPr>
          <w:rFonts w:ascii="Garamond" w:hAnsi="Garamond"/>
          <w:i/>
          <w:sz w:val="24"/>
          <w:szCs w:val="24"/>
        </w:rPr>
      </w:pPr>
      <w:r w:rsidRPr="00A87311">
        <w:rPr>
          <w:rFonts w:ascii="Garamond" w:hAnsi="Garamond"/>
          <w:i/>
          <w:sz w:val="24"/>
          <w:szCs w:val="24"/>
        </w:rPr>
        <w:t>“</w:t>
      </w:r>
      <w:r w:rsidR="00A114B7" w:rsidRPr="00A87311">
        <w:rPr>
          <w:rFonts w:ascii="Garamond" w:hAnsi="Garamond"/>
          <w:i/>
          <w:sz w:val="24"/>
          <w:szCs w:val="24"/>
        </w:rPr>
        <w:t>3. Këshilli Drejtues i bankës përcakton rregulla të veçantë për ekspozimet</w:t>
      </w:r>
      <w:r w:rsidR="001060AB" w:rsidRPr="00A87311">
        <w:rPr>
          <w:rFonts w:ascii="Garamond" w:hAnsi="Garamond"/>
          <w:i/>
          <w:sz w:val="24"/>
          <w:szCs w:val="24"/>
        </w:rPr>
        <w:t xml:space="preserve"> ndaj personave me një marrëdhënie të veçantë me bankën</w:t>
      </w:r>
      <w:r w:rsidR="00A114B7" w:rsidRPr="00A87311">
        <w:rPr>
          <w:rFonts w:ascii="Garamond" w:hAnsi="Garamond"/>
          <w:i/>
          <w:sz w:val="24"/>
          <w:szCs w:val="24"/>
        </w:rPr>
        <w:t>, përfshirë edhe dhënien e kredive, për monitorimin dhe kontrollin e rrezikut të tyre.</w:t>
      </w:r>
      <w:r w:rsidRPr="00A87311">
        <w:rPr>
          <w:rFonts w:ascii="Garamond" w:hAnsi="Garamond"/>
          <w:i/>
          <w:sz w:val="24"/>
          <w:szCs w:val="24"/>
        </w:rPr>
        <w:t>”</w:t>
      </w:r>
      <w:r w:rsidR="00A87311">
        <w:rPr>
          <w:rFonts w:ascii="Garamond" w:hAnsi="Garamond"/>
          <w:i/>
          <w:sz w:val="24"/>
          <w:szCs w:val="24"/>
        </w:rPr>
        <w:t>.</w:t>
      </w:r>
    </w:p>
    <w:p w14:paraId="5A3FD254" w14:textId="5E66195A" w:rsidR="0056180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f) </w:t>
      </w:r>
      <w:r w:rsidR="0056180A" w:rsidRPr="00BD09CC">
        <w:rPr>
          <w:rFonts w:ascii="Garamond" w:hAnsi="Garamond"/>
          <w:sz w:val="24"/>
          <w:szCs w:val="24"/>
        </w:rPr>
        <w:t>Në nenin 8 të rinumëruar bëhen ndryshimet e mëposhtme:</w:t>
      </w:r>
    </w:p>
    <w:p w14:paraId="6476CBB3" w14:textId="642479DB" w:rsidR="00562FEF"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E12299" w:rsidRPr="00BD09CC">
        <w:rPr>
          <w:rFonts w:ascii="Garamond" w:hAnsi="Garamond"/>
          <w:sz w:val="24"/>
          <w:szCs w:val="24"/>
        </w:rPr>
        <w:t xml:space="preserve">Në </w:t>
      </w:r>
      <w:r w:rsidR="00562FEF" w:rsidRPr="00BD09CC">
        <w:rPr>
          <w:rFonts w:ascii="Garamond" w:hAnsi="Garamond"/>
          <w:sz w:val="24"/>
          <w:szCs w:val="24"/>
        </w:rPr>
        <w:t xml:space="preserve">pikën 2, shkronja </w:t>
      </w:r>
      <w:r w:rsidR="001D22EC">
        <w:rPr>
          <w:rFonts w:ascii="Garamond" w:hAnsi="Garamond"/>
          <w:sz w:val="24"/>
          <w:szCs w:val="24"/>
        </w:rPr>
        <w:t>“</w:t>
      </w:r>
      <w:r w:rsidR="00562FEF" w:rsidRPr="00BD09CC">
        <w:rPr>
          <w:rFonts w:ascii="Garamond" w:hAnsi="Garamond"/>
          <w:sz w:val="24"/>
          <w:szCs w:val="24"/>
        </w:rPr>
        <w:t>h</w:t>
      </w:r>
      <w:r w:rsidR="001D22EC">
        <w:rPr>
          <w:rFonts w:ascii="Garamond" w:hAnsi="Garamond"/>
          <w:sz w:val="24"/>
          <w:szCs w:val="24"/>
        </w:rPr>
        <w:t>”</w:t>
      </w:r>
      <w:r w:rsidR="00562FEF" w:rsidRPr="00BD09CC">
        <w:rPr>
          <w:rFonts w:ascii="Garamond" w:hAnsi="Garamond"/>
          <w:sz w:val="24"/>
          <w:szCs w:val="24"/>
        </w:rPr>
        <w:t xml:space="preserve">, togfjalëshi </w:t>
      </w:r>
      <w:r w:rsidR="001D22EC" w:rsidRPr="00E12299">
        <w:rPr>
          <w:rFonts w:ascii="Garamond" w:hAnsi="Garamond"/>
          <w:i/>
          <w:sz w:val="24"/>
          <w:szCs w:val="24"/>
        </w:rPr>
        <w:t>“</w:t>
      </w:r>
      <w:r w:rsidR="00562FEF" w:rsidRPr="00E12299">
        <w:rPr>
          <w:rFonts w:ascii="Garamond" w:hAnsi="Garamond"/>
          <w:i/>
          <w:sz w:val="24"/>
          <w:szCs w:val="24"/>
        </w:rPr>
        <w:t>në nenin 8</w:t>
      </w:r>
      <w:r w:rsidR="001D22EC" w:rsidRPr="00E12299">
        <w:rPr>
          <w:rFonts w:ascii="Garamond" w:hAnsi="Garamond"/>
          <w:i/>
          <w:sz w:val="24"/>
          <w:szCs w:val="24"/>
        </w:rPr>
        <w:t>”</w:t>
      </w:r>
      <w:r w:rsidR="00562FEF" w:rsidRPr="00BD09CC">
        <w:rPr>
          <w:rFonts w:ascii="Garamond" w:hAnsi="Garamond"/>
          <w:sz w:val="24"/>
          <w:szCs w:val="24"/>
        </w:rPr>
        <w:t xml:space="preserve"> zëvendësohet me togfjalëshin </w:t>
      </w:r>
      <w:r w:rsidR="001D22EC" w:rsidRPr="00E12299">
        <w:rPr>
          <w:rFonts w:ascii="Garamond" w:hAnsi="Garamond"/>
          <w:i/>
          <w:sz w:val="24"/>
          <w:szCs w:val="24"/>
        </w:rPr>
        <w:t>“</w:t>
      </w:r>
      <w:r w:rsidR="00562FEF" w:rsidRPr="00E12299">
        <w:rPr>
          <w:rFonts w:ascii="Garamond" w:hAnsi="Garamond"/>
          <w:i/>
          <w:sz w:val="24"/>
          <w:szCs w:val="24"/>
        </w:rPr>
        <w:t>në nenin 7</w:t>
      </w:r>
      <w:r w:rsidR="001D22EC" w:rsidRPr="00E12299">
        <w:rPr>
          <w:rFonts w:ascii="Garamond" w:hAnsi="Garamond"/>
          <w:i/>
          <w:sz w:val="24"/>
          <w:szCs w:val="24"/>
        </w:rPr>
        <w:t>”</w:t>
      </w:r>
      <w:r w:rsidR="00E12299">
        <w:rPr>
          <w:rFonts w:ascii="Garamond" w:hAnsi="Garamond"/>
          <w:sz w:val="24"/>
          <w:szCs w:val="24"/>
        </w:rPr>
        <w:t>.</w:t>
      </w:r>
    </w:p>
    <w:p w14:paraId="695A71C1" w14:textId="1CE00065"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B464BE" w:rsidRPr="00BD09CC">
        <w:rPr>
          <w:rFonts w:ascii="Garamond" w:hAnsi="Garamond"/>
          <w:sz w:val="24"/>
          <w:szCs w:val="24"/>
        </w:rPr>
        <w:t>N</w:t>
      </w:r>
      <w:r w:rsidR="00C2272B" w:rsidRPr="00BD09CC">
        <w:rPr>
          <w:rFonts w:ascii="Garamond" w:hAnsi="Garamond"/>
          <w:sz w:val="24"/>
          <w:szCs w:val="24"/>
        </w:rPr>
        <w:t xml:space="preserve">ë pikën 2, shkronja </w:t>
      </w:r>
      <w:r w:rsidR="001D22EC">
        <w:rPr>
          <w:rFonts w:ascii="Garamond" w:hAnsi="Garamond"/>
          <w:sz w:val="24"/>
          <w:szCs w:val="24"/>
        </w:rPr>
        <w:t>“</w:t>
      </w:r>
      <w:r w:rsidR="00C2272B" w:rsidRPr="00BD09CC">
        <w:rPr>
          <w:rFonts w:ascii="Garamond" w:hAnsi="Garamond"/>
          <w:sz w:val="24"/>
          <w:szCs w:val="24"/>
        </w:rPr>
        <w:t>i</w:t>
      </w:r>
      <w:r w:rsidR="001D22EC">
        <w:rPr>
          <w:rFonts w:ascii="Garamond" w:hAnsi="Garamond"/>
          <w:sz w:val="24"/>
          <w:szCs w:val="24"/>
        </w:rPr>
        <w:t>”</w:t>
      </w:r>
      <w:r w:rsidR="00C2272B" w:rsidRPr="00BD09CC">
        <w:rPr>
          <w:rFonts w:ascii="Garamond" w:hAnsi="Garamond"/>
          <w:sz w:val="24"/>
          <w:szCs w:val="24"/>
        </w:rPr>
        <w:t xml:space="preserve">, togfjalëshi </w:t>
      </w:r>
      <w:r w:rsidR="001D22EC" w:rsidRPr="00B464BE">
        <w:rPr>
          <w:rFonts w:ascii="Garamond" w:hAnsi="Garamond"/>
          <w:i/>
          <w:sz w:val="24"/>
          <w:szCs w:val="24"/>
        </w:rPr>
        <w:t>“</w:t>
      </w:r>
      <w:r w:rsidR="00C2272B" w:rsidRPr="00B464BE">
        <w:rPr>
          <w:rFonts w:ascii="Garamond" w:hAnsi="Garamond"/>
          <w:i/>
          <w:sz w:val="24"/>
          <w:szCs w:val="24"/>
        </w:rPr>
        <w:t>kundërpartive qendrore</w:t>
      </w:r>
      <w:r w:rsidR="001D22EC" w:rsidRPr="00B464BE">
        <w:rPr>
          <w:rFonts w:ascii="Garamond" w:hAnsi="Garamond"/>
          <w:i/>
          <w:sz w:val="24"/>
          <w:szCs w:val="24"/>
        </w:rPr>
        <w:t>”</w:t>
      </w:r>
      <w:r w:rsidR="00C2272B" w:rsidRPr="00BD09CC">
        <w:rPr>
          <w:rFonts w:ascii="Garamond" w:hAnsi="Garamond"/>
          <w:sz w:val="24"/>
          <w:szCs w:val="24"/>
        </w:rPr>
        <w:t xml:space="preserve"> zëvendësohet </w:t>
      </w:r>
      <w:r w:rsidR="00976E1C" w:rsidRPr="00BD09CC">
        <w:rPr>
          <w:rFonts w:ascii="Garamond" w:hAnsi="Garamond"/>
          <w:sz w:val="24"/>
          <w:szCs w:val="24"/>
        </w:rPr>
        <w:t xml:space="preserve">kudo </w:t>
      </w:r>
      <w:r w:rsidR="00C2272B" w:rsidRPr="00BD09CC">
        <w:rPr>
          <w:rFonts w:ascii="Garamond" w:hAnsi="Garamond"/>
          <w:sz w:val="24"/>
          <w:szCs w:val="24"/>
        </w:rPr>
        <w:t xml:space="preserve">me togfjalëshin </w:t>
      </w:r>
      <w:r w:rsidR="001D22EC" w:rsidRPr="00B464BE">
        <w:rPr>
          <w:rFonts w:ascii="Garamond" w:hAnsi="Garamond"/>
          <w:i/>
          <w:sz w:val="24"/>
          <w:szCs w:val="24"/>
        </w:rPr>
        <w:t>“</w:t>
      </w:r>
      <w:r w:rsidR="00C2272B" w:rsidRPr="00B464BE">
        <w:rPr>
          <w:rFonts w:ascii="Garamond" w:hAnsi="Garamond"/>
          <w:i/>
          <w:sz w:val="24"/>
          <w:szCs w:val="24"/>
        </w:rPr>
        <w:t>kundërpartive qendrore të kualifikuara</w:t>
      </w:r>
      <w:r w:rsidR="001D22EC" w:rsidRPr="00B464BE">
        <w:rPr>
          <w:rFonts w:ascii="Garamond" w:hAnsi="Garamond"/>
          <w:i/>
          <w:sz w:val="24"/>
          <w:szCs w:val="24"/>
        </w:rPr>
        <w:t>”</w:t>
      </w:r>
      <w:r w:rsidR="00B464BE">
        <w:rPr>
          <w:rFonts w:ascii="Garamond" w:hAnsi="Garamond"/>
          <w:i/>
          <w:sz w:val="24"/>
          <w:szCs w:val="24"/>
        </w:rPr>
        <w:t>.</w:t>
      </w:r>
    </w:p>
    <w:p w14:paraId="7B9DEEB2" w14:textId="336A8B71"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641A85" w:rsidRPr="00BD09CC">
        <w:rPr>
          <w:rFonts w:ascii="Garamond" w:hAnsi="Garamond"/>
          <w:sz w:val="24"/>
          <w:szCs w:val="24"/>
        </w:rPr>
        <w:t xml:space="preserve">Në </w:t>
      </w:r>
      <w:r w:rsidR="00C2272B" w:rsidRPr="00BD09CC">
        <w:rPr>
          <w:rFonts w:ascii="Garamond" w:hAnsi="Garamond"/>
          <w:sz w:val="24"/>
          <w:szCs w:val="24"/>
        </w:rPr>
        <w:t xml:space="preserve">pikën 2, shkronja </w:t>
      </w:r>
      <w:r w:rsidR="001D22EC">
        <w:rPr>
          <w:rFonts w:ascii="Garamond" w:hAnsi="Garamond"/>
          <w:sz w:val="24"/>
          <w:szCs w:val="24"/>
        </w:rPr>
        <w:t>“</w:t>
      </w:r>
      <w:r w:rsidR="00C2272B" w:rsidRPr="00BD09CC">
        <w:rPr>
          <w:rFonts w:ascii="Garamond" w:hAnsi="Garamond"/>
          <w:sz w:val="24"/>
          <w:szCs w:val="24"/>
        </w:rPr>
        <w:t>j</w:t>
      </w:r>
      <w:r w:rsidR="001D22EC">
        <w:rPr>
          <w:rFonts w:ascii="Garamond" w:hAnsi="Garamond"/>
          <w:sz w:val="24"/>
          <w:szCs w:val="24"/>
        </w:rPr>
        <w:t>”</w:t>
      </w:r>
      <w:r w:rsidR="00C2272B" w:rsidRPr="00BD09CC">
        <w:rPr>
          <w:rFonts w:ascii="Garamond" w:hAnsi="Garamond"/>
          <w:sz w:val="24"/>
          <w:szCs w:val="24"/>
        </w:rPr>
        <w:t xml:space="preserve"> ndryshon me përmbajtjen e mëposhtme:</w:t>
      </w:r>
    </w:p>
    <w:p w14:paraId="1251B8F4" w14:textId="1B67397B" w:rsidR="00C2272B" w:rsidRPr="00BD09CC" w:rsidRDefault="001D22EC" w:rsidP="00E23659">
      <w:pPr>
        <w:spacing w:after="0" w:line="240" w:lineRule="auto"/>
        <w:ind w:firstLine="284"/>
        <w:jc w:val="both"/>
        <w:rPr>
          <w:rFonts w:ascii="Garamond" w:hAnsi="Garamond"/>
          <w:i/>
          <w:sz w:val="24"/>
          <w:szCs w:val="24"/>
        </w:rPr>
      </w:pPr>
      <w:r>
        <w:rPr>
          <w:rFonts w:ascii="Garamond" w:hAnsi="Garamond"/>
          <w:i/>
          <w:sz w:val="24"/>
          <w:szCs w:val="24"/>
        </w:rPr>
        <w:t>“</w:t>
      </w:r>
      <w:r w:rsidR="00C2272B" w:rsidRPr="00BD09CC">
        <w:rPr>
          <w:rFonts w:ascii="Garamond" w:hAnsi="Garamond"/>
          <w:i/>
          <w:sz w:val="24"/>
          <w:szCs w:val="24"/>
        </w:rPr>
        <w:t xml:space="preserve">j) ekspozimet, me jo më shumë se 80% të vlerës së tyre, në formën e obligacioneve të garantuara, të cilat plotësojnë kushtet e përcaktuara në </w:t>
      </w:r>
      <w:r w:rsidR="00A02B52" w:rsidRPr="00BD09CC">
        <w:rPr>
          <w:rFonts w:ascii="Garamond" w:hAnsi="Garamond"/>
          <w:i/>
          <w:sz w:val="24"/>
          <w:szCs w:val="24"/>
        </w:rPr>
        <w:t xml:space="preserve">nenin 26 të </w:t>
      </w:r>
      <w:r w:rsidR="00C2272B" w:rsidRPr="00BD09CC">
        <w:rPr>
          <w:rFonts w:ascii="Garamond" w:hAnsi="Garamond"/>
          <w:i/>
          <w:sz w:val="24"/>
          <w:szCs w:val="24"/>
        </w:rPr>
        <w:t>rregullore</w:t>
      </w:r>
      <w:r w:rsidR="00A02B52" w:rsidRPr="00BD09CC">
        <w:rPr>
          <w:rFonts w:ascii="Garamond" w:hAnsi="Garamond"/>
          <w:i/>
          <w:sz w:val="24"/>
          <w:szCs w:val="24"/>
        </w:rPr>
        <w:t>s</w:t>
      </w:r>
      <w:r w:rsidR="00C2272B" w:rsidRPr="00BD09CC">
        <w:rPr>
          <w:rFonts w:ascii="Garamond" w:hAnsi="Garamond"/>
          <w:i/>
          <w:sz w:val="24"/>
          <w:szCs w:val="24"/>
        </w:rPr>
        <w:t xml:space="preserve"> </w:t>
      </w:r>
      <w:r w:rsidR="00A02B52" w:rsidRPr="00BD09CC">
        <w:rPr>
          <w:rFonts w:ascii="Garamond" w:hAnsi="Garamond"/>
          <w:i/>
          <w:sz w:val="24"/>
          <w:szCs w:val="24"/>
        </w:rPr>
        <w:t>së</w:t>
      </w:r>
      <w:r w:rsidR="00C2272B" w:rsidRPr="00BD09CC">
        <w:rPr>
          <w:rFonts w:ascii="Garamond" w:hAnsi="Garamond"/>
          <w:i/>
          <w:sz w:val="24"/>
          <w:szCs w:val="24"/>
        </w:rPr>
        <w:t xml:space="preserve"> mjaftueshmërisë së kapitalit</w:t>
      </w:r>
      <w:r w:rsidR="00450D14" w:rsidRPr="00BD09CC">
        <w:rPr>
          <w:rFonts w:ascii="Garamond" w:hAnsi="Garamond"/>
          <w:i/>
          <w:sz w:val="24"/>
          <w:szCs w:val="24"/>
        </w:rPr>
        <w:t>;</w:t>
      </w:r>
      <w:r>
        <w:rPr>
          <w:rFonts w:ascii="Garamond" w:hAnsi="Garamond"/>
          <w:i/>
          <w:sz w:val="24"/>
          <w:szCs w:val="24"/>
        </w:rPr>
        <w:t>”</w:t>
      </w:r>
      <w:r w:rsidR="00641A85">
        <w:rPr>
          <w:rFonts w:ascii="Garamond" w:hAnsi="Garamond"/>
          <w:i/>
          <w:sz w:val="24"/>
          <w:szCs w:val="24"/>
        </w:rPr>
        <w:t>.</w:t>
      </w:r>
    </w:p>
    <w:p w14:paraId="4AEDFE1F" w14:textId="06E4D599"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iv. </w:t>
      </w:r>
      <w:r w:rsidR="00C2272B" w:rsidRPr="00BD09CC">
        <w:rPr>
          <w:rFonts w:ascii="Garamond" w:hAnsi="Garamond"/>
          <w:sz w:val="24"/>
          <w:szCs w:val="24"/>
        </w:rPr>
        <w:t xml:space="preserve">në pikën 2, shkronja </w:t>
      </w:r>
      <w:r w:rsidR="001D22EC">
        <w:rPr>
          <w:rFonts w:ascii="Garamond" w:hAnsi="Garamond"/>
          <w:sz w:val="24"/>
          <w:szCs w:val="24"/>
        </w:rPr>
        <w:t>“</w:t>
      </w:r>
      <w:r w:rsidR="00C2272B" w:rsidRPr="00BD09CC">
        <w:rPr>
          <w:rFonts w:ascii="Garamond" w:hAnsi="Garamond"/>
          <w:sz w:val="24"/>
          <w:szCs w:val="24"/>
        </w:rPr>
        <w:t>k</w:t>
      </w:r>
      <w:r w:rsidR="001D22EC">
        <w:rPr>
          <w:rFonts w:ascii="Garamond" w:hAnsi="Garamond"/>
          <w:sz w:val="24"/>
          <w:szCs w:val="24"/>
        </w:rPr>
        <w:t>”</w:t>
      </w:r>
      <w:r w:rsidR="008955A0" w:rsidRPr="00BD09CC">
        <w:rPr>
          <w:rFonts w:ascii="Garamond" w:hAnsi="Garamond"/>
          <w:sz w:val="24"/>
          <w:szCs w:val="24"/>
        </w:rPr>
        <w:t xml:space="preserve"> </w:t>
      </w:r>
      <w:r w:rsidR="00C2272B" w:rsidRPr="00BD09CC">
        <w:rPr>
          <w:rFonts w:ascii="Garamond" w:hAnsi="Garamond"/>
          <w:sz w:val="24"/>
          <w:szCs w:val="24"/>
        </w:rPr>
        <w:t>shfuqizohe</w:t>
      </w:r>
      <w:r w:rsidR="00823FA2" w:rsidRPr="00BD09CC">
        <w:rPr>
          <w:rFonts w:ascii="Garamond" w:hAnsi="Garamond"/>
          <w:sz w:val="24"/>
          <w:szCs w:val="24"/>
        </w:rPr>
        <w:t>t</w:t>
      </w:r>
      <w:r w:rsidR="00450D14" w:rsidRPr="00BD09CC">
        <w:rPr>
          <w:rFonts w:ascii="Garamond" w:hAnsi="Garamond"/>
          <w:sz w:val="24"/>
          <w:szCs w:val="24"/>
        </w:rPr>
        <w:t>,</w:t>
      </w:r>
    </w:p>
    <w:p w14:paraId="164075C1" w14:textId="7EED2E7B"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 </w:t>
      </w:r>
      <w:r w:rsidR="008955A0" w:rsidRPr="00BD09CC">
        <w:rPr>
          <w:rFonts w:ascii="Garamond" w:hAnsi="Garamond"/>
          <w:sz w:val="24"/>
          <w:szCs w:val="24"/>
        </w:rPr>
        <w:t xml:space="preserve">në pikën 2, shkronja </w:t>
      </w:r>
      <w:r w:rsidR="001D22EC">
        <w:rPr>
          <w:rFonts w:ascii="Garamond" w:hAnsi="Garamond"/>
          <w:sz w:val="24"/>
          <w:szCs w:val="24"/>
        </w:rPr>
        <w:t>“</w:t>
      </w:r>
      <w:r w:rsidR="008955A0" w:rsidRPr="00BD09CC">
        <w:rPr>
          <w:rFonts w:ascii="Garamond" w:hAnsi="Garamond"/>
          <w:sz w:val="24"/>
          <w:szCs w:val="24"/>
        </w:rPr>
        <w:t>m</w:t>
      </w:r>
      <w:r w:rsidR="001D22EC">
        <w:rPr>
          <w:rFonts w:ascii="Garamond" w:hAnsi="Garamond"/>
          <w:sz w:val="24"/>
          <w:szCs w:val="24"/>
        </w:rPr>
        <w:t>”</w:t>
      </w:r>
      <w:r w:rsidR="008955A0" w:rsidRPr="00BD09CC">
        <w:rPr>
          <w:rFonts w:ascii="Garamond" w:hAnsi="Garamond"/>
          <w:sz w:val="24"/>
          <w:szCs w:val="24"/>
        </w:rPr>
        <w:t xml:space="preserve"> ndryshon me përmbajtjen e mëposhtme:</w:t>
      </w:r>
    </w:p>
    <w:p w14:paraId="0E47499F" w14:textId="6D9BDB82" w:rsidR="009F76B4" w:rsidRPr="0059443F" w:rsidRDefault="001D22EC" w:rsidP="00E23659">
      <w:pPr>
        <w:spacing w:after="0" w:line="240" w:lineRule="auto"/>
        <w:ind w:firstLine="284"/>
        <w:jc w:val="both"/>
        <w:rPr>
          <w:rFonts w:ascii="Garamond" w:hAnsi="Garamond"/>
          <w:i/>
          <w:sz w:val="24"/>
          <w:szCs w:val="24"/>
        </w:rPr>
      </w:pPr>
      <w:r w:rsidRPr="0059443F">
        <w:rPr>
          <w:rFonts w:ascii="Garamond" w:hAnsi="Garamond"/>
          <w:i/>
          <w:sz w:val="24"/>
          <w:szCs w:val="24"/>
        </w:rPr>
        <w:t>“</w:t>
      </w:r>
      <w:r w:rsidR="008955A0" w:rsidRPr="0059443F">
        <w:rPr>
          <w:rFonts w:ascii="Garamond" w:hAnsi="Garamond"/>
          <w:i/>
          <w:sz w:val="24"/>
          <w:szCs w:val="24"/>
        </w:rPr>
        <w:t>m)</w:t>
      </w:r>
      <w:r w:rsidR="009F76B4" w:rsidRPr="0059443F">
        <w:rPr>
          <w:rFonts w:ascii="Garamond" w:hAnsi="Garamond"/>
          <w:i/>
          <w:sz w:val="24"/>
          <w:szCs w:val="24"/>
        </w:rPr>
        <w:t xml:space="preserve"> kur kundërpartia e bankës është banka e saj mëmë, një filial tjetër i bankës mëmë, filiali i saj (bankës) ose një institucion financiar, ku banka zotëron pjesëmarrje influencuese, banka redukton ekspozimet, bazuar në peshën e rrezikut të caktuar për kundërpartinë, në përputhje me</w:t>
      </w:r>
      <w:r w:rsidR="00A02B52" w:rsidRPr="0059443F">
        <w:rPr>
          <w:rFonts w:ascii="Garamond" w:hAnsi="Garamond"/>
          <w:i/>
          <w:sz w:val="24"/>
          <w:szCs w:val="24"/>
        </w:rPr>
        <w:t xml:space="preserve"> </w:t>
      </w:r>
      <w:r w:rsidR="0059443F" w:rsidRPr="0059443F">
        <w:rPr>
          <w:rFonts w:ascii="Garamond" w:hAnsi="Garamond"/>
          <w:i/>
          <w:sz w:val="24"/>
          <w:szCs w:val="24"/>
        </w:rPr>
        <w:t xml:space="preserve">kreun </w:t>
      </w:r>
      <w:r w:rsidR="00A02B52" w:rsidRPr="0059443F">
        <w:rPr>
          <w:rFonts w:ascii="Garamond" w:hAnsi="Garamond"/>
          <w:i/>
          <w:sz w:val="24"/>
          <w:szCs w:val="24"/>
        </w:rPr>
        <w:t>III të</w:t>
      </w:r>
      <w:r w:rsidR="009F76B4" w:rsidRPr="0059443F">
        <w:rPr>
          <w:rFonts w:ascii="Garamond" w:hAnsi="Garamond"/>
          <w:i/>
          <w:sz w:val="24"/>
          <w:szCs w:val="24"/>
        </w:rPr>
        <w:t xml:space="preserve"> rregullore</w:t>
      </w:r>
      <w:r w:rsidR="00A02B52" w:rsidRPr="0059443F">
        <w:rPr>
          <w:rFonts w:ascii="Garamond" w:hAnsi="Garamond"/>
          <w:i/>
          <w:sz w:val="24"/>
          <w:szCs w:val="24"/>
        </w:rPr>
        <w:t>s</w:t>
      </w:r>
      <w:r w:rsidR="009F76B4" w:rsidRPr="0059443F">
        <w:rPr>
          <w:rFonts w:ascii="Garamond" w:hAnsi="Garamond"/>
          <w:i/>
          <w:sz w:val="24"/>
          <w:szCs w:val="24"/>
        </w:rPr>
        <w:t xml:space="preserve"> </w:t>
      </w:r>
      <w:r w:rsidR="00A02B52" w:rsidRPr="0059443F">
        <w:rPr>
          <w:rFonts w:ascii="Garamond" w:hAnsi="Garamond"/>
          <w:i/>
          <w:sz w:val="24"/>
          <w:szCs w:val="24"/>
        </w:rPr>
        <w:t>së</w:t>
      </w:r>
      <w:r w:rsidR="009F76B4" w:rsidRPr="0059443F">
        <w:rPr>
          <w:rFonts w:ascii="Garamond" w:hAnsi="Garamond"/>
          <w:i/>
          <w:sz w:val="24"/>
          <w:szCs w:val="24"/>
        </w:rPr>
        <w:t xml:space="preserve"> mjaftueshmërisë së kapitalit, sipas përqindjeve të mëposhtme:</w:t>
      </w:r>
    </w:p>
    <w:p w14:paraId="5FE02111" w14:textId="4D428F65"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 </w:t>
      </w:r>
      <w:r w:rsidR="009F76B4" w:rsidRPr="0059443F">
        <w:rPr>
          <w:rFonts w:ascii="Garamond" w:hAnsi="Garamond"/>
          <w:i/>
          <w:sz w:val="24"/>
          <w:szCs w:val="24"/>
        </w:rPr>
        <w:t>me jo më shumë se 80% të vlerës së ekspozimeve, nëse kundërpartisë i caktohet një peshë rreziku 20%</w:t>
      </w:r>
      <w:r w:rsidR="0059443F">
        <w:rPr>
          <w:rFonts w:ascii="Garamond" w:hAnsi="Garamond"/>
          <w:i/>
          <w:sz w:val="24"/>
          <w:szCs w:val="24"/>
        </w:rPr>
        <w:t>;</w:t>
      </w:r>
    </w:p>
    <w:p w14:paraId="34616DE1" w14:textId="19B42424"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ii. </w:t>
      </w:r>
      <w:r w:rsidR="009F76B4" w:rsidRPr="0059443F">
        <w:rPr>
          <w:rFonts w:ascii="Garamond" w:hAnsi="Garamond"/>
          <w:i/>
          <w:sz w:val="24"/>
          <w:szCs w:val="24"/>
        </w:rPr>
        <w:t>me jo më shumë se 60% të vlerës së ekspozimeve, nëse kundërpartisë i caktohet një peshë rreziku 50%</w:t>
      </w:r>
      <w:r w:rsidR="0059443F">
        <w:rPr>
          <w:rFonts w:ascii="Garamond" w:hAnsi="Garamond"/>
          <w:i/>
          <w:sz w:val="24"/>
          <w:szCs w:val="24"/>
        </w:rPr>
        <w:t>;</w:t>
      </w:r>
      <w:r w:rsidR="009F76B4" w:rsidRPr="0059443F">
        <w:rPr>
          <w:rFonts w:ascii="Garamond" w:hAnsi="Garamond"/>
          <w:i/>
          <w:sz w:val="24"/>
          <w:szCs w:val="24"/>
        </w:rPr>
        <w:t xml:space="preserve"> </w:t>
      </w:r>
    </w:p>
    <w:p w14:paraId="18C12F60" w14:textId="617E1024"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iii. </w:t>
      </w:r>
      <w:r w:rsidR="009F76B4" w:rsidRPr="0059443F">
        <w:rPr>
          <w:rFonts w:ascii="Garamond" w:hAnsi="Garamond"/>
          <w:i/>
          <w:sz w:val="24"/>
          <w:szCs w:val="24"/>
        </w:rPr>
        <w:t xml:space="preserve">me jo më shumë se 40% të vlerës së ekspozimeve, nëse kundërpartisë i caktohet një peshë rreziku 100%, </w:t>
      </w:r>
    </w:p>
    <w:p w14:paraId="1BF4B815" w14:textId="77777777" w:rsidR="009F76B4" w:rsidRPr="0059443F" w:rsidRDefault="009F76B4"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dhe nëse plotësohen kushtet e mëposhtme: </w:t>
      </w:r>
    </w:p>
    <w:p w14:paraId="1646BD78" w14:textId="3C3E228D"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iv. </w:t>
      </w:r>
      <w:r w:rsidR="009F76B4" w:rsidRPr="0059443F">
        <w:rPr>
          <w:rFonts w:ascii="Garamond" w:hAnsi="Garamond"/>
          <w:i/>
          <w:sz w:val="24"/>
          <w:szCs w:val="24"/>
        </w:rPr>
        <w:t xml:space="preserve">kundërpartia është një bankë apo institucion i mbikëqyrur, i themeluar në Shqipëri, në një nga shtetet anëtare të BE-së ose në një vend të tretë me kritere rregullatore dhe mbikëqyrëse, të paktën të barasvlershme me ato të Bankës së Shqipërisë, </w:t>
      </w:r>
    </w:p>
    <w:p w14:paraId="32DF7525" w14:textId="5A073633"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v. </w:t>
      </w:r>
      <w:r w:rsidR="009F76B4" w:rsidRPr="0059443F">
        <w:rPr>
          <w:rFonts w:ascii="Garamond" w:hAnsi="Garamond"/>
          <w:i/>
          <w:sz w:val="24"/>
          <w:szCs w:val="24"/>
        </w:rPr>
        <w:t>kundërpartia është e përfshirë në të njëjtën mbikëqyrje të konsoliduar të Bankës së Shqipërisë</w:t>
      </w:r>
      <w:r w:rsidR="0059443F">
        <w:rPr>
          <w:rFonts w:ascii="Garamond" w:hAnsi="Garamond"/>
          <w:i/>
          <w:sz w:val="24"/>
          <w:szCs w:val="24"/>
        </w:rPr>
        <w:t>,</w:t>
      </w:r>
      <w:r w:rsidR="00D53832">
        <w:rPr>
          <w:rFonts w:ascii="Garamond" w:hAnsi="Garamond"/>
          <w:i/>
          <w:sz w:val="24"/>
          <w:szCs w:val="24"/>
        </w:rPr>
        <w:t xml:space="preserve"> si edhe banka</w:t>
      </w:r>
      <w:r w:rsidR="009F76B4" w:rsidRPr="0059443F">
        <w:rPr>
          <w:rFonts w:ascii="Garamond" w:hAnsi="Garamond"/>
          <w:i/>
          <w:sz w:val="24"/>
          <w:szCs w:val="24"/>
        </w:rPr>
        <w:t xml:space="preserve"> ose është pjesë e të njëjtit grup</w:t>
      </w:r>
      <w:r w:rsidR="00E53941" w:rsidRPr="0059443F">
        <w:rPr>
          <w:rFonts w:ascii="Garamond" w:hAnsi="Garamond"/>
          <w:i/>
          <w:sz w:val="24"/>
          <w:szCs w:val="24"/>
        </w:rPr>
        <w:t>i</w:t>
      </w:r>
      <w:r w:rsidR="009F76B4" w:rsidRPr="0059443F">
        <w:rPr>
          <w:rFonts w:ascii="Garamond" w:hAnsi="Garamond"/>
          <w:i/>
          <w:sz w:val="24"/>
          <w:szCs w:val="24"/>
        </w:rPr>
        <w:t xml:space="preserve"> bankar/financiar të huaj ku banka bën pjesë</w:t>
      </w:r>
      <w:r w:rsidR="00D53832">
        <w:rPr>
          <w:rFonts w:ascii="Garamond" w:hAnsi="Garamond"/>
          <w:i/>
          <w:sz w:val="24"/>
          <w:szCs w:val="24"/>
        </w:rPr>
        <w:t xml:space="preserve">; </w:t>
      </w:r>
      <w:r w:rsidR="009F76B4" w:rsidRPr="0059443F">
        <w:rPr>
          <w:rFonts w:ascii="Garamond" w:hAnsi="Garamond"/>
          <w:i/>
          <w:sz w:val="24"/>
          <w:szCs w:val="24"/>
        </w:rPr>
        <w:t>dhe</w:t>
      </w:r>
    </w:p>
    <w:p w14:paraId="419DCA08" w14:textId="07268ACD" w:rsidR="008955A0" w:rsidRPr="00BD09CC" w:rsidRDefault="00E23659" w:rsidP="00E23659">
      <w:pPr>
        <w:spacing w:after="0" w:line="240" w:lineRule="auto"/>
        <w:ind w:firstLine="284"/>
        <w:jc w:val="both"/>
        <w:rPr>
          <w:rFonts w:ascii="Garamond" w:hAnsi="Garamond"/>
          <w:sz w:val="24"/>
          <w:szCs w:val="24"/>
        </w:rPr>
      </w:pPr>
      <w:r w:rsidRPr="0059443F">
        <w:rPr>
          <w:rFonts w:ascii="Garamond" w:hAnsi="Garamond"/>
          <w:i/>
          <w:sz w:val="24"/>
          <w:szCs w:val="24"/>
        </w:rPr>
        <w:t xml:space="preserve">vi. </w:t>
      </w:r>
      <w:r w:rsidR="009F76B4" w:rsidRPr="0059443F">
        <w:rPr>
          <w:rFonts w:ascii="Garamond" w:hAnsi="Garamond"/>
          <w:i/>
          <w:sz w:val="24"/>
          <w:szCs w:val="24"/>
        </w:rPr>
        <w:t>ekspozimet ndaj kësaj kundërpartie nuk janë pjesë e kapitalit rregullator të saj (kundërpartisë</w:t>
      </w:r>
      <w:r w:rsidR="00E53941" w:rsidRPr="0059443F">
        <w:rPr>
          <w:rFonts w:ascii="Garamond" w:hAnsi="Garamond"/>
          <w:i/>
          <w:sz w:val="24"/>
          <w:szCs w:val="24"/>
        </w:rPr>
        <w:t>);</w:t>
      </w:r>
      <w:r w:rsidR="001D22EC" w:rsidRPr="0059443F">
        <w:rPr>
          <w:rFonts w:ascii="Garamond" w:hAnsi="Garamond"/>
          <w:i/>
          <w:sz w:val="24"/>
          <w:szCs w:val="24"/>
        </w:rPr>
        <w:t>”</w:t>
      </w:r>
      <w:r w:rsidR="0059443F">
        <w:rPr>
          <w:rFonts w:ascii="Garamond" w:hAnsi="Garamond"/>
          <w:i/>
          <w:sz w:val="24"/>
          <w:szCs w:val="24"/>
        </w:rPr>
        <w:t>.</w:t>
      </w:r>
    </w:p>
    <w:p w14:paraId="3FD792A0" w14:textId="6BD89FEC"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vi. </w:t>
      </w:r>
      <w:r w:rsidR="00D53832" w:rsidRPr="00BD09CC">
        <w:rPr>
          <w:rFonts w:ascii="Garamond" w:hAnsi="Garamond"/>
          <w:sz w:val="24"/>
          <w:szCs w:val="24"/>
        </w:rPr>
        <w:t xml:space="preserve">Në </w:t>
      </w:r>
      <w:r w:rsidR="008955A0" w:rsidRPr="00BD09CC">
        <w:rPr>
          <w:rFonts w:ascii="Garamond" w:hAnsi="Garamond"/>
          <w:sz w:val="24"/>
          <w:szCs w:val="24"/>
        </w:rPr>
        <w:t xml:space="preserve">pikën 2, shkronja </w:t>
      </w:r>
      <w:r w:rsidR="001D22EC">
        <w:rPr>
          <w:rFonts w:ascii="Garamond" w:hAnsi="Garamond"/>
          <w:sz w:val="24"/>
          <w:szCs w:val="24"/>
        </w:rPr>
        <w:t>“</w:t>
      </w:r>
      <w:r w:rsidR="008955A0" w:rsidRPr="00BD09CC">
        <w:rPr>
          <w:rFonts w:ascii="Garamond" w:hAnsi="Garamond"/>
          <w:sz w:val="24"/>
          <w:szCs w:val="24"/>
        </w:rPr>
        <w:t>n</w:t>
      </w:r>
      <w:r w:rsidR="001D22EC">
        <w:rPr>
          <w:rFonts w:ascii="Garamond" w:hAnsi="Garamond"/>
          <w:sz w:val="24"/>
          <w:szCs w:val="24"/>
        </w:rPr>
        <w:t>”</w:t>
      </w:r>
      <w:r w:rsidR="008955A0" w:rsidRPr="00BD09CC">
        <w:rPr>
          <w:rFonts w:ascii="Garamond" w:hAnsi="Garamond"/>
          <w:sz w:val="24"/>
          <w:szCs w:val="24"/>
        </w:rPr>
        <w:t xml:space="preserve"> ndryshon me përmbajtjen e mëposhtme:</w:t>
      </w:r>
    </w:p>
    <w:p w14:paraId="24071D5F" w14:textId="0552AB6E" w:rsidR="008955A0" w:rsidRPr="00D53832" w:rsidRDefault="001D22EC" w:rsidP="00E23659">
      <w:pPr>
        <w:spacing w:after="0" w:line="240" w:lineRule="auto"/>
        <w:ind w:firstLine="284"/>
        <w:jc w:val="both"/>
        <w:rPr>
          <w:rFonts w:ascii="Garamond" w:hAnsi="Garamond"/>
          <w:i/>
          <w:sz w:val="24"/>
          <w:szCs w:val="24"/>
        </w:rPr>
      </w:pPr>
      <w:r w:rsidRPr="00D53832">
        <w:rPr>
          <w:rFonts w:ascii="Garamond" w:hAnsi="Garamond"/>
          <w:i/>
          <w:sz w:val="24"/>
          <w:szCs w:val="24"/>
        </w:rPr>
        <w:t>“</w:t>
      </w:r>
      <w:r w:rsidR="008955A0" w:rsidRPr="00D53832">
        <w:rPr>
          <w:rFonts w:ascii="Garamond" w:hAnsi="Garamond"/>
          <w:i/>
          <w:sz w:val="24"/>
          <w:szCs w:val="24"/>
        </w:rPr>
        <w:t xml:space="preserve">n) ekspozimet, me jo më shumë se 50% të vlerës së tyre, që krijohen dhe rrjedhin nga zërat jashtë bilancit me rrezik të ulët, në formën e kredive dokumentare, në të cilat dërgesa ose malli (commodity) shërben si kolateral dhe angazhimeve të patërhequra të kredive, siç parashikohen në </w:t>
      </w:r>
      <w:r w:rsidR="00D53832" w:rsidRPr="00D53832">
        <w:rPr>
          <w:rFonts w:ascii="Garamond" w:hAnsi="Garamond"/>
          <w:i/>
          <w:sz w:val="24"/>
          <w:szCs w:val="24"/>
        </w:rPr>
        <w:t xml:space="preserve">aneksin </w:t>
      </w:r>
      <w:r w:rsidR="008955A0" w:rsidRPr="00D53832">
        <w:rPr>
          <w:rFonts w:ascii="Garamond" w:hAnsi="Garamond"/>
          <w:i/>
          <w:sz w:val="24"/>
          <w:szCs w:val="24"/>
        </w:rPr>
        <w:t>2 të rregullores së mjaftueshmërisë së kapitalit;</w:t>
      </w:r>
      <w:r w:rsidRPr="00D53832">
        <w:rPr>
          <w:rFonts w:ascii="Garamond" w:hAnsi="Garamond"/>
          <w:i/>
          <w:sz w:val="24"/>
          <w:szCs w:val="24"/>
        </w:rPr>
        <w:t>”</w:t>
      </w:r>
      <w:r w:rsidR="00D53832" w:rsidRPr="00D53832">
        <w:rPr>
          <w:rFonts w:ascii="Garamond" w:hAnsi="Garamond"/>
          <w:i/>
          <w:sz w:val="24"/>
          <w:szCs w:val="24"/>
        </w:rPr>
        <w:t>.</w:t>
      </w:r>
    </w:p>
    <w:p w14:paraId="21320B0C" w14:textId="31AD6767" w:rsidR="00823FA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vii. </w:t>
      </w:r>
      <w:r w:rsidR="00D53832" w:rsidRPr="00BD09CC">
        <w:rPr>
          <w:rFonts w:ascii="Garamond" w:hAnsi="Garamond"/>
          <w:sz w:val="24"/>
          <w:szCs w:val="24"/>
        </w:rPr>
        <w:t>N</w:t>
      </w:r>
      <w:r w:rsidR="00823FA2" w:rsidRPr="00BD09CC">
        <w:rPr>
          <w:rFonts w:ascii="Garamond" w:hAnsi="Garamond"/>
          <w:sz w:val="24"/>
          <w:szCs w:val="24"/>
        </w:rPr>
        <w:t xml:space="preserve">ë pikën 2, shkronja </w:t>
      </w:r>
      <w:r w:rsidR="001D22EC">
        <w:rPr>
          <w:rFonts w:ascii="Garamond" w:hAnsi="Garamond"/>
          <w:sz w:val="24"/>
          <w:szCs w:val="24"/>
        </w:rPr>
        <w:t>“</w:t>
      </w:r>
      <w:r w:rsidR="00823FA2" w:rsidRPr="00BD09CC">
        <w:rPr>
          <w:rFonts w:ascii="Garamond" w:hAnsi="Garamond"/>
          <w:sz w:val="24"/>
          <w:szCs w:val="24"/>
        </w:rPr>
        <w:t>o</w:t>
      </w:r>
      <w:r w:rsidR="001D22EC">
        <w:rPr>
          <w:rFonts w:ascii="Garamond" w:hAnsi="Garamond"/>
          <w:sz w:val="24"/>
          <w:szCs w:val="24"/>
        </w:rPr>
        <w:t>”</w:t>
      </w:r>
      <w:r w:rsidR="00823FA2" w:rsidRPr="00BD09CC">
        <w:rPr>
          <w:rFonts w:ascii="Garamond" w:hAnsi="Garamond"/>
          <w:sz w:val="24"/>
          <w:szCs w:val="24"/>
        </w:rPr>
        <w:t xml:space="preserve"> shfuqizohet</w:t>
      </w:r>
      <w:r w:rsidR="00D53832">
        <w:rPr>
          <w:rFonts w:ascii="Garamond" w:hAnsi="Garamond"/>
          <w:sz w:val="24"/>
          <w:szCs w:val="24"/>
        </w:rPr>
        <w:t>.</w:t>
      </w:r>
    </w:p>
    <w:p w14:paraId="52DEEDEC" w14:textId="605E4ECE"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viii. </w:t>
      </w:r>
      <w:r w:rsidR="00D53832" w:rsidRPr="00BD09CC">
        <w:rPr>
          <w:rFonts w:ascii="Garamond" w:hAnsi="Garamond"/>
          <w:sz w:val="24"/>
          <w:szCs w:val="24"/>
        </w:rPr>
        <w:t xml:space="preserve">Pika </w:t>
      </w:r>
      <w:r w:rsidR="008955A0" w:rsidRPr="00BD09CC">
        <w:rPr>
          <w:rFonts w:ascii="Garamond" w:hAnsi="Garamond"/>
          <w:sz w:val="24"/>
          <w:szCs w:val="24"/>
        </w:rPr>
        <w:t>3 shfuqizohet</w:t>
      </w:r>
      <w:r w:rsidR="00D53832">
        <w:rPr>
          <w:rFonts w:ascii="Garamond" w:hAnsi="Garamond"/>
          <w:sz w:val="24"/>
          <w:szCs w:val="24"/>
        </w:rPr>
        <w:t>.</w:t>
      </w:r>
    </w:p>
    <w:p w14:paraId="201F030E" w14:textId="74A9011E"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ix. </w:t>
      </w:r>
      <w:r w:rsidR="00D53832" w:rsidRPr="00BD09CC">
        <w:rPr>
          <w:rFonts w:ascii="Garamond" w:hAnsi="Garamond"/>
          <w:sz w:val="24"/>
          <w:szCs w:val="24"/>
        </w:rPr>
        <w:t>P</w:t>
      </w:r>
      <w:r w:rsidR="008955A0" w:rsidRPr="00BD09CC">
        <w:rPr>
          <w:rFonts w:ascii="Garamond" w:hAnsi="Garamond"/>
          <w:sz w:val="24"/>
          <w:szCs w:val="24"/>
        </w:rPr>
        <w:t>as pikës 3</w:t>
      </w:r>
      <w:r w:rsidR="0048755E" w:rsidRPr="00BD09CC">
        <w:rPr>
          <w:rFonts w:ascii="Garamond" w:hAnsi="Garamond"/>
          <w:sz w:val="24"/>
          <w:szCs w:val="24"/>
        </w:rPr>
        <w:t xml:space="preserve">, </w:t>
      </w:r>
      <w:r w:rsidR="008955A0" w:rsidRPr="00BD09CC">
        <w:rPr>
          <w:rFonts w:ascii="Garamond" w:hAnsi="Garamond"/>
          <w:sz w:val="24"/>
          <w:szCs w:val="24"/>
        </w:rPr>
        <w:t>shtohet pika 4 me përmbajtjen e mëposhtme:</w:t>
      </w:r>
    </w:p>
    <w:p w14:paraId="7EB0C215" w14:textId="25FCAB79" w:rsidR="008955A0" w:rsidRPr="00D53832" w:rsidRDefault="001D22EC" w:rsidP="00E23659">
      <w:pPr>
        <w:spacing w:after="0" w:line="240" w:lineRule="auto"/>
        <w:ind w:firstLine="284"/>
        <w:jc w:val="both"/>
        <w:rPr>
          <w:rFonts w:ascii="Garamond" w:hAnsi="Garamond"/>
          <w:i/>
          <w:sz w:val="24"/>
          <w:szCs w:val="24"/>
        </w:rPr>
      </w:pPr>
      <w:r w:rsidRPr="00D53832">
        <w:rPr>
          <w:rFonts w:ascii="Garamond" w:hAnsi="Garamond"/>
          <w:i/>
          <w:sz w:val="24"/>
          <w:szCs w:val="24"/>
        </w:rPr>
        <w:t>“</w:t>
      </w:r>
      <w:r w:rsidR="008955A0" w:rsidRPr="00D53832">
        <w:rPr>
          <w:rFonts w:ascii="Garamond" w:hAnsi="Garamond"/>
          <w:i/>
          <w:sz w:val="24"/>
          <w:szCs w:val="24"/>
        </w:rPr>
        <w:t>4. Bankat nuk mund të përdorin njëkohësisht dy përjashtime apo reduktime të parashikuara në pikën 2 të këtij neni, për të njëjtin ekspozim.</w:t>
      </w:r>
      <w:r w:rsidRPr="00D53832">
        <w:rPr>
          <w:rFonts w:ascii="Garamond" w:hAnsi="Garamond"/>
          <w:i/>
          <w:sz w:val="24"/>
          <w:szCs w:val="24"/>
        </w:rPr>
        <w:t>”</w:t>
      </w:r>
      <w:r w:rsidR="00D53832" w:rsidRPr="00D53832">
        <w:rPr>
          <w:rFonts w:ascii="Garamond" w:hAnsi="Garamond"/>
          <w:i/>
          <w:sz w:val="24"/>
          <w:szCs w:val="24"/>
        </w:rPr>
        <w:t>.</w:t>
      </w:r>
    </w:p>
    <w:p w14:paraId="097F57AB" w14:textId="4B9929B8" w:rsidR="00820C23"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g) </w:t>
      </w:r>
      <w:r w:rsidR="00820C23" w:rsidRPr="00BD09CC">
        <w:rPr>
          <w:rFonts w:ascii="Garamond" w:hAnsi="Garamond"/>
          <w:sz w:val="24"/>
          <w:szCs w:val="24"/>
        </w:rPr>
        <w:t>Në nenin 9 të rinumëruar bëhen ndryshimet e mëposhtme:</w:t>
      </w:r>
    </w:p>
    <w:p w14:paraId="07FD27C0" w14:textId="36E3C6C4" w:rsidR="00820C23"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486AF2" w:rsidRPr="00BD09CC">
        <w:rPr>
          <w:rFonts w:ascii="Garamond" w:hAnsi="Garamond"/>
          <w:sz w:val="24"/>
          <w:szCs w:val="24"/>
        </w:rPr>
        <w:t xml:space="preserve">Emërtimi </w:t>
      </w:r>
      <w:r w:rsidR="003E7A6A" w:rsidRPr="00BD09CC">
        <w:rPr>
          <w:rFonts w:ascii="Garamond" w:hAnsi="Garamond"/>
          <w:sz w:val="24"/>
          <w:szCs w:val="24"/>
        </w:rPr>
        <w:t xml:space="preserve">i nenit </w:t>
      </w:r>
      <w:r w:rsidR="000D18E3" w:rsidRPr="00BD09CC">
        <w:rPr>
          <w:rFonts w:ascii="Garamond" w:hAnsi="Garamond"/>
          <w:sz w:val="24"/>
          <w:szCs w:val="24"/>
        </w:rPr>
        <w:t xml:space="preserve">ndryshon </w:t>
      </w:r>
      <w:r w:rsidR="003E7A6A" w:rsidRPr="00BD09CC">
        <w:rPr>
          <w:rFonts w:ascii="Garamond" w:hAnsi="Garamond"/>
          <w:sz w:val="24"/>
          <w:szCs w:val="24"/>
        </w:rPr>
        <w:t>sipas përmbajtjes së mëposhtme:</w:t>
      </w:r>
    </w:p>
    <w:p w14:paraId="67B07F76" w14:textId="37F9D886" w:rsidR="003E7A6A" w:rsidRPr="00486AF2" w:rsidRDefault="001D22EC" w:rsidP="00E23659">
      <w:pPr>
        <w:spacing w:after="0" w:line="240" w:lineRule="auto"/>
        <w:ind w:firstLine="284"/>
        <w:jc w:val="both"/>
        <w:rPr>
          <w:rFonts w:ascii="Garamond" w:hAnsi="Garamond"/>
          <w:i/>
          <w:sz w:val="24"/>
          <w:szCs w:val="24"/>
        </w:rPr>
      </w:pPr>
      <w:r w:rsidRPr="00486AF2">
        <w:rPr>
          <w:rFonts w:ascii="Garamond" w:hAnsi="Garamond"/>
          <w:i/>
          <w:sz w:val="24"/>
          <w:szCs w:val="24"/>
        </w:rPr>
        <w:t>“</w:t>
      </w:r>
      <w:r w:rsidR="003E7A6A" w:rsidRPr="00486AF2">
        <w:rPr>
          <w:rFonts w:ascii="Garamond" w:hAnsi="Garamond"/>
          <w:i/>
          <w:sz w:val="24"/>
          <w:szCs w:val="24"/>
        </w:rPr>
        <w:t>Ekspozimet e siguruara me garanci ose me kolateral të lëshuar nga një palë e tretë (metoda e zëvendësimit)</w:t>
      </w:r>
      <w:r w:rsidRPr="00486AF2">
        <w:rPr>
          <w:rFonts w:ascii="Garamond" w:hAnsi="Garamond"/>
          <w:i/>
          <w:sz w:val="24"/>
          <w:szCs w:val="24"/>
        </w:rPr>
        <w:t>”</w:t>
      </w:r>
      <w:r w:rsidR="00486AF2" w:rsidRPr="00486AF2">
        <w:rPr>
          <w:rFonts w:ascii="Garamond" w:hAnsi="Garamond"/>
          <w:i/>
          <w:sz w:val="24"/>
          <w:szCs w:val="24"/>
        </w:rPr>
        <w:t>.</w:t>
      </w:r>
    </w:p>
    <w:p w14:paraId="7986253A" w14:textId="156D0301" w:rsidR="00344CE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lastRenderedPageBreak/>
        <w:t xml:space="preserve">ii. </w:t>
      </w:r>
      <w:r w:rsidR="00486AF2" w:rsidRPr="00BD09CC">
        <w:rPr>
          <w:rFonts w:ascii="Garamond" w:hAnsi="Garamond"/>
          <w:sz w:val="24"/>
          <w:szCs w:val="24"/>
        </w:rPr>
        <w:t xml:space="preserve">Në </w:t>
      </w:r>
      <w:r w:rsidR="00344CEA" w:rsidRPr="00BD09CC">
        <w:rPr>
          <w:rFonts w:ascii="Garamond" w:hAnsi="Garamond"/>
          <w:sz w:val="24"/>
          <w:szCs w:val="24"/>
        </w:rPr>
        <w:t xml:space="preserve">pikën 2, shkronja </w:t>
      </w:r>
      <w:r w:rsidR="001D22EC">
        <w:rPr>
          <w:rFonts w:ascii="Garamond" w:hAnsi="Garamond"/>
          <w:sz w:val="24"/>
          <w:szCs w:val="24"/>
        </w:rPr>
        <w:t>“</w:t>
      </w:r>
      <w:r w:rsidR="00344CEA" w:rsidRPr="00BD09CC">
        <w:rPr>
          <w:rFonts w:ascii="Garamond" w:hAnsi="Garamond"/>
          <w:sz w:val="24"/>
          <w:szCs w:val="24"/>
        </w:rPr>
        <w:t>a</w:t>
      </w:r>
      <w:r w:rsidR="001D22EC">
        <w:rPr>
          <w:rFonts w:ascii="Garamond" w:hAnsi="Garamond"/>
          <w:sz w:val="24"/>
          <w:szCs w:val="24"/>
        </w:rPr>
        <w:t>”</w:t>
      </w:r>
      <w:r w:rsidR="00344CEA" w:rsidRPr="00BD09CC">
        <w:rPr>
          <w:rFonts w:ascii="Garamond" w:hAnsi="Garamond"/>
          <w:sz w:val="24"/>
          <w:szCs w:val="24"/>
        </w:rPr>
        <w:t xml:space="preserve">, togfjalëshi </w:t>
      </w:r>
      <w:r w:rsidR="001D22EC" w:rsidRPr="00486AF2">
        <w:rPr>
          <w:rFonts w:ascii="Garamond" w:hAnsi="Garamond"/>
          <w:i/>
          <w:sz w:val="24"/>
          <w:szCs w:val="24"/>
        </w:rPr>
        <w:t>“</w:t>
      </w:r>
      <w:r w:rsidR="00344CEA" w:rsidRPr="00486AF2">
        <w:rPr>
          <w:rFonts w:ascii="Garamond" w:hAnsi="Garamond"/>
          <w:i/>
          <w:sz w:val="24"/>
          <w:szCs w:val="24"/>
        </w:rPr>
        <w:t>nga ajo e ekspozimit bazë (underlying exposure</w:t>
      </w:r>
      <w:r w:rsidR="00F41085" w:rsidRPr="00486AF2">
        <w:rPr>
          <w:rFonts w:ascii="Garamond" w:hAnsi="Garamond"/>
          <w:i/>
          <w:sz w:val="24"/>
          <w:szCs w:val="24"/>
        </w:rPr>
        <w:t>), shuma e ekspozimit të mbuluar</w:t>
      </w:r>
      <w:r w:rsidR="001D22EC" w:rsidRPr="00486AF2">
        <w:rPr>
          <w:rFonts w:ascii="Garamond" w:hAnsi="Garamond"/>
          <w:i/>
          <w:sz w:val="24"/>
          <w:szCs w:val="24"/>
        </w:rPr>
        <w:t>”</w:t>
      </w:r>
      <w:r w:rsidR="0048755E" w:rsidRPr="00BD09CC">
        <w:rPr>
          <w:rFonts w:ascii="Garamond" w:hAnsi="Garamond"/>
          <w:sz w:val="24"/>
          <w:szCs w:val="24"/>
        </w:rPr>
        <w:t>,</w:t>
      </w:r>
      <w:r w:rsidR="00344CEA" w:rsidRPr="00BD09CC">
        <w:rPr>
          <w:rFonts w:ascii="Garamond" w:hAnsi="Garamond"/>
          <w:sz w:val="24"/>
          <w:szCs w:val="24"/>
        </w:rPr>
        <w:t xml:space="preserve"> zëvendësohet me togfjalëshin </w:t>
      </w:r>
      <w:r w:rsidR="001D22EC" w:rsidRPr="00486AF2">
        <w:rPr>
          <w:rFonts w:ascii="Garamond" w:hAnsi="Garamond"/>
          <w:i/>
          <w:sz w:val="24"/>
          <w:szCs w:val="24"/>
        </w:rPr>
        <w:t>“</w:t>
      </w:r>
      <w:r w:rsidR="00344CEA" w:rsidRPr="00486AF2">
        <w:rPr>
          <w:rFonts w:ascii="Garamond" w:hAnsi="Garamond"/>
          <w:i/>
          <w:sz w:val="24"/>
          <w:szCs w:val="24"/>
        </w:rPr>
        <w:t>nga ajo e ekspozimit</w:t>
      </w:r>
      <w:r w:rsidR="00F41085" w:rsidRPr="00486AF2">
        <w:rPr>
          <w:rFonts w:ascii="Garamond" w:hAnsi="Garamond"/>
          <w:i/>
          <w:sz w:val="24"/>
          <w:szCs w:val="24"/>
        </w:rPr>
        <w:t>, shuma e ekspozimit të mbuluar (garantuar</w:t>
      </w:r>
      <w:r w:rsidR="00E53941" w:rsidRPr="00486AF2">
        <w:rPr>
          <w:rFonts w:ascii="Garamond" w:hAnsi="Garamond"/>
          <w:i/>
          <w:sz w:val="24"/>
          <w:szCs w:val="24"/>
        </w:rPr>
        <w:t>)</w:t>
      </w:r>
      <w:r w:rsidR="001D22EC" w:rsidRPr="00486AF2">
        <w:rPr>
          <w:rFonts w:ascii="Garamond" w:hAnsi="Garamond"/>
          <w:i/>
          <w:sz w:val="24"/>
          <w:szCs w:val="24"/>
        </w:rPr>
        <w:t>”</w:t>
      </w:r>
      <w:r w:rsidR="00486AF2">
        <w:rPr>
          <w:rFonts w:ascii="Garamond" w:hAnsi="Garamond"/>
          <w:sz w:val="24"/>
          <w:szCs w:val="24"/>
        </w:rPr>
        <w:t>.</w:t>
      </w:r>
    </w:p>
    <w:p w14:paraId="3983A1EF" w14:textId="3BDDC703" w:rsidR="00344CE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004E97" w:rsidRPr="00BD09CC">
        <w:rPr>
          <w:rFonts w:ascii="Garamond" w:hAnsi="Garamond"/>
          <w:sz w:val="24"/>
          <w:szCs w:val="24"/>
        </w:rPr>
        <w:t>N</w:t>
      </w:r>
      <w:r w:rsidR="00344CEA" w:rsidRPr="00BD09CC">
        <w:rPr>
          <w:rFonts w:ascii="Garamond" w:hAnsi="Garamond"/>
          <w:sz w:val="24"/>
          <w:szCs w:val="24"/>
        </w:rPr>
        <w:t xml:space="preserve">ë pikën 2, shkronja </w:t>
      </w:r>
      <w:r w:rsidR="001D22EC">
        <w:rPr>
          <w:rFonts w:ascii="Garamond" w:hAnsi="Garamond"/>
          <w:sz w:val="24"/>
          <w:szCs w:val="24"/>
        </w:rPr>
        <w:t>“</w:t>
      </w:r>
      <w:r w:rsidR="00344CEA" w:rsidRPr="00BD09CC">
        <w:rPr>
          <w:rFonts w:ascii="Garamond" w:hAnsi="Garamond"/>
          <w:sz w:val="24"/>
          <w:szCs w:val="24"/>
        </w:rPr>
        <w:t>a</w:t>
      </w:r>
      <w:r w:rsidR="001D22EC">
        <w:rPr>
          <w:rFonts w:ascii="Garamond" w:hAnsi="Garamond"/>
          <w:sz w:val="24"/>
          <w:szCs w:val="24"/>
        </w:rPr>
        <w:t>”</w:t>
      </w:r>
      <w:r w:rsidR="00344CEA" w:rsidRPr="00BD09CC">
        <w:rPr>
          <w:rFonts w:ascii="Garamond" w:hAnsi="Garamond"/>
          <w:sz w:val="24"/>
          <w:szCs w:val="24"/>
        </w:rPr>
        <w:t xml:space="preserve">, togfjalëshi </w:t>
      </w:r>
      <w:r w:rsidR="001D22EC" w:rsidRPr="00004E97">
        <w:rPr>
          <w:rFonts w:ascii="Garamond" w:hAnsi="Garamond"/>
          <w:i/>
          <w:sz w:val="24"/>
          <w:szCs w:val="24"/>
        </w:rPr>
        <w:t>“</w:t>
      </w:r>
      <w:r w:rsidR="00344CEA" w:rsidRPr="00004E97">
        <w:rPr>
          <w:rFonts w:ascii="Garamond" w:hAnsi="Garamond"/>
          <w:i/>
          <w:sz w:val="24"/>
          <w:szCs w:val="24"/>
        </w:rPr>
        <w:t>mospërputhjeve të monedhës në mbrojtjen e pafinancuar të kredisë</w:t>
      </w:r>
      <w:r w:rsidR="001D22EC" w:rsidRPr="00004E97">
        <w:rPr>
          <w:rFonts w:ascii="Garamond" w:hAnsi="Garamond"/>
          <w:i/>
          <w:sz w:val="24"/>
          <w:szCs w:val="24"/>
        </w:rPr>
        <w:t>”</w:t>
      </w:r>
      <w:r w:rsidR="00F41085" w:rsidRPr="00BD09CC">
        <w:rPr>
          <w:rFonts w:ascii="Garamond" w:hAnsi="Garamond"/>
          <w:sz w:val="24"/>
          <w:szCs w:val="24"/>
        </w:rPr>
        <w:t>,</w:t>
      </w:r>
      <w:r w:rsidR="00344CEA" w:rsidRPr="00BD09CC">
        <w:rPr>
          <w:rFonts w:ascii="Garamond" w:hAnsi="Garamond"/>
          <w:sz w:val="24"/>
          <w:szCs w:val="24"/>
        </w:rPr>
        <w:t xml:space="preserve"> zëvendësohet me togfjalëshin </w:t>
      </w:r>
      <w:r w:rsidR="001D22EC" w:rsidRPr="00004E97">
        <w:rPr>
          <w:rFonts w:ascii="Garamond" w:hAnsi="Garamond"/>
          <w:i/>
          <w:sz w:val="24"/>
          <w:szCs w:val="24"/>
        </w:rPr>
        <w:t>“</w:t>
      </w:r>
      <w:r w:rsidR="00344CEA" w:rsidRPr="00004E97">
        <w:rPr>
          <w:rFonts w:ascii="Garamond" w:hAnsi="Garamond"/>
          <w:i/>
          <w:sz w:val="24"/>
          <w:szCs w:val="24"/>
        </w:rPr>
        <w:t>mospërputhjes së monedhave në rastin e mbrojtjes së pafinancuar të kredisë</w:t>
      </w:r>
      <w:r w:rsidR="001D22EC" w:rsidRPr="00004E97">
        <w:rPr>
          <w:rFonts w:ascii="Garamond" w:hAnsi="Garamond"/>
          <w:i/>
          <w:sz w:val="24"/>
          <w:szCs w:val="24"/>
        </w:rPr>
        <w:t>”</w:t>
      </w:r>
      <w:r w:rsidR="00C160BA">
        <w:rPr>
          <w:rFonts w:ascii="Garamond" w:hAnsi="Garamond"/>
          <w:i/>
          <w:sz w:val="24"/>
          <w:szCs w:val="24"/>
        </w:rPr>
        <w:t>.</w:t>
      </w:r>
    </w:p>
    <w:p w14:paraId="2B298C37" w14:textId="32AB953A" w:rsidR="007E3F8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iv. </w:t>
      </w:r>
      <w:r w:rsidR="00CA44CF" w:rsidRPr="00BD09CC">
        <w:rPr>
          <w:rFonts w:ascii="Garamond" w:hAnsi="Garamond"/>
          <w:sz w:val="24"/>
          <w:szCs w:val="24"/>
        </w:rPr>
        <w:t>N</w:t>
      </w:r>
      <w:r w:rsidR="007E3F87" w:rsidRPr="00BD09CC">
        <w:rPr>
          <w:rFonts w:ascii="Garamond" w:hAnsi="Garamond"/>
          <w:sz w:val="24"/>
          <w:szCs w:val="24"/>
        </w:rPr>
        <w:t xml:space="preserve">ë pikën 2, shkronja </w:t>
      </w:r>
      <w:r w:rsidR="001D22EC">
        <w:rPr>
          <w:rFonts w:ascii="Garamond" w:hAnsi="Garamond"/>
          <w:sz w:val="24"/>
          <w:szCs w:val="24"/>
        </w:rPr>
        <w:t>“</w:t>
      </w:r>
      <w:r w:rsidR="007E3F87" w:rsidRPr="00BD09CC">
        <w:rPr>
          <w:rFonts w:ascii="Garamond" w:hAnsi="Garamond"/>
          <w:sz w:val="24"/>
          <w:szCs w:val="24"/>
        </w:rPr>
        <w:t>c</w:t>
      </w:r>
      <w:r w:rsidR="001D22EC">
        <w:rPr>
          <w:rFonts w:ascii="Garamond" w:hAnsi="Garamond"/>
          <w:sz w:val="24"/>
          <w:szCs w:val="24"/>
        </w:rPr>
        <w:t>”</w:t>
      </w:r>
      <w:r w:rsidR="007E3F87" w:rsidRPr="00BD09CC">
        <w:rPr>
          <w:rFonts w:ascii="Garamond" w:hAnsi="Garamond"/>
          <w:sz w:val="24"/>
          <w:szCs w:val="24"/>
        </w:rPr>
        <w:t xml:space="preserve">, togfjalëshi </w:t>
      </w:r>
      <w:r w:rsidR="001D22EC" w:rsidRPr="00CA44CF">
        <w:rPr>
          <w:rFonts w:ascii="Garamond" w:hAnsi="Garamond"/>
          <w:i/>
          <w:sz w:val="24"/>
          <w:szCs w:val="24"/>
        </w:rPr>
        <w:t>“</w:t>
      </w:r>
      <w:r w:rsidR="007E3F87" w:rsidRPr="00CA44CF">
        <w:rPr>
          <w:rFonts w:ascii="Garamond" w:hAnsi="Garamond"/>
          <w:i/>
          <w:sz w:val="24"/>
          <w:szCs w:val="24"/>
        </w:rPr>
        <w:t>njohja (recognition)</w:t>
      </w:r>
      <w:r w:rsidR="008C6FC2" w:rsidRPr="00CA44CF">
        <w:rPr>
          <w:rFonts w:ascii="Garamond" w:hAnsi="Garamond"/>
          <w:i/>
          <w:sz w:val="24"/>
          <w:szCs w:val="24"/>
        </w:rPr>
        <w:t xml:space="preserve"> realizohet siç përcaktohet në rregulloren e mjaftueshmërisë së kapitalit (</w:t>
      </w:r>
      <w:r w:rsidR="00CA44CF" w:rsidRPr="00CA44CF">
        <w:rPr>
          <w:rFonts w:ascii="Garamond" w:hAnsi="Garamond"/>
          <w:i/>
          <w:sz w:val="24"/>
          <w:szCs w:val="24"/>
        </w:rPr>
        <w:t xml:space="preserve">kreu </w:t>
      </w:r>
      <w:r w:rsidR="008C6FC2" w:rsidRPr="00CA44CF">
        <w:rPr>
          <w:rFonts w:ascii="Garamond" w:hAnsi="Garamond"/>
          <w:i/>
          <w:sz w:val="24"/>
          <w:szCs w:val="24"/>
        </w:rPr>
        <w:t>IV)</w:t>
      </w:r>
      <w:r w:rsidR="00CA44CF">
        <w:rPr>
          <w:rFonts w:ascii="Garamond" w:hAnsi="Garamond"/>
          <w:i/>
          <w:sz w:val="24"/>
          <w:szCs w:val="24"/>
        </w:rPr>
        <w:t>.</w:t>
      </w:r>
      <w:r w:rsidR="001D22EC" w:rsidRPr="00CA44CF">
        <w:rPr>
          <w:rFonts w:ascii="Garamond" w:hAnsi="Garamond"/>
          <w:i/>
          <w:sz w:val="24"/>
          <w:szCs w:val="24"/>
        </w:rPr>
        <w:t>”</w:t>
      </w:r>
      <w:r w:rsidR="008C6FC2" w:rsidRPr="00BD09CC">
        <w:rPr>
          <w:rFonts w:ascii="Garamond" w:hAnsi="Garamond"/>
          <w:sz w:val="24"/>
          <w:szCs w:val="24"/>
        </w:rPr>
        <w:t>,</w:t>
      </w:r>
      <w:r w:rsidR="007E3F87" w:rsidRPr="00BD09CC">
        <w:rPr>
          <w:rFonts w:ascii="Garamond" w:hAnsi="Garamond"/>
          <w:sz w:val="24"/>
          <w:szCs w:val="24"/>
        </w:rPr>
        <w:t xml:space="preserve"> </w:t>
      </w:r>
      <w:r w:rsidR="008C6FC2" w:rsidRPr="00BD09CC">
        <w:rPr>
          <w:rFonts w:ascii="Garamond" w:hAnsi="Garamond"/>
          <w:sz w:val="24"/>
          <w:szCs w:val="24"/>
        </w:rPr>
        <w:t>zëvendësohet me togfjalëshin</w:t>
      </w:r>
      <w:r w:rsidR="007E3F87" w:rsidRPr="00BD09CC">
        <w:rPr>
          <w:rFonts w:ascii="Garamond" w:hAnsi="Garamond"/>
          <w:sz w:val="24"/>
          <w:szCs w:val="24"/>
        </w:rPr>
        <w:t xml:space="preserve"> </w:t>
      </w:r>
      <w:r w:rsidR="001D22EC" w:rsidRPr="00CA44CF">
        <w:rPr>
          <w:rFonts w:ascii="Garamond" w:hAnsi="Garamond"/>
          <w:i/>
          <w:sz w:val="24"/>
          <w:szCs w:val="24"/>
        </w:rPr>
        <w:t>“</w:t>
      </w:r>
      <w:r w:rsidR="008C6FC2" w:rsidRPr="00CA44CF">
        <w:rPr>
          <w:rFonts w:ascii="Garamond" w:hAnsi="Garamond"/>
          <w:i/>
          <w:sz w:val="24"/>
          <w:szCs w:val="24"/>
        </w:rPr>
        <w:t xml:space="preserve">njohja (recognition) </w:t>
      </w:r>
      <w:r w:rsidR="007E3F87" w:rsidRPr="00CA44CF">
        <w:rPr>
          <w:rFonts w:ascii="Garamond" w:hAnsi="Garamond"/>
          <w:i/>
          <w:sz w:val="24"/>
          <w:szCs w:val="24"/>
        </w:rPr>
        <w:t>e pjesshme e garancisë</w:t>
      </w:r>
      <w:r w:rsidR="008C6FC2" w:rsidRPr="00CA44CF">
        <w:rPr>
          <w:rFonts w:ascii="Garamond" w:hAnsi="Garamond"/>
          <w:i/>
          <w:sz w:val="24"/>
          <w:szCs w:val="24"/>
        </w:rPr>
        <w:t xml:space="preserve"> realizohet siç përcaktohet në </w:t>
      </w:r>
      <w:r w:rsidR="00E53941" w:rsidRPr="00CA44CF">
        <w:rPr>
          <w:rFonts w:ascii="Garamond" w:hAnsi="Garamond"/>
          <w:i/>
          <w:sz w:val="24"/>
          <w:szCs w:val="24"/>
        </w:rPr>
        <w:t>K</w:t>
      </w:r>
      <w:r w:rsidR="008C6FC2" w:rsidRPr="00CA44CF">
        <w:rPr>
          <w:rFonts w:ascii="Garamond" w:hAnsi="Garamond"/>
          <w:i/>
          <w:sz w:val="24"/>
          <w:szCs w:val="24"/>
        </w:rPr>
        <w:t>reun IV të rregullores së mjaftueshmërisë së kapitalit</w:t>
      </w:r>
      <w:r w:rsidR="00BC578E" w:rsidRPr="00CA44CF">
        <w:rPr>
          <w:rFonts w:ascii="Garamond" w:hAnsi="Garamond"/>
          <w:i/>
          <w:sz w:val="24"/>
          <w:szCs w:val="24"/>
        </w:rPr>
        <w:t>.</w:t>
      </w:r>
      <w:r w:rsidR="001D22EC" w:rsidRPr="00CA44CF">
        <w:rPr>
          <w:rFonts w:ascii="Garamond" w:hAnsi="Garamond"/>
          <w:i/>
          <w:sz w:val="24"/>
          <w:szCs w:val="24"/>
        </w:rPr>
        <w:t>”</w:t>
      </w:r>
      <w:r w:rsidR="00CA44CF">
        <w:rPr>
          <w:rFonts w:ascii="Garamond" w:hAnsi="Garamond"/>
          <w:i/>
          <w:sz w:val="24"/>
          <w:szCs w:val="24"/>
        </w:rPr>
        <w:t>.</w:t>
      </w:r>
    </w:p>
    <w:p w14:paraId="145D91F1" w14:textId="776EC32E"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 </w:t>
      </w:r>
      <w:r w:rsidR="00CA44CF" w:rsidRPr="00BD09CC">
        <w:rPr>
          <w:rFonts w:ascii="Garamond" w:hAnsi="Garamond"/>
          <w:sz w:val="24"/>
          <w:szCs w:val="24"/>
        </w:rPr>
        <w:t xml:space="preserve">Në </w:t>
      </w:r>
      <w:r w:rsidR="00135B8B" w:rsidRPr="00BD09CC">
        <w:rPr>
          <w:rFonts w:ascii="Garamond" w:hAnsi="Garamond"/>
          <w:sz w:val="24"/>
          <w:szCs w:val="24"/>
        </w:rPr>
        <w:t xml:space="preserve">pikën 3, shkronja </w:t>
      </w:r>
      <w:r w:rsidR="001D22EC">
        <w:rPr>
          <w:rFonts w:ascii="Garamond" w:hAnsi="Garamond"/>
          <w:sz w:val="24"/>
          <w:szCs w:val="24"/>
        </w:rPr>
        <w:t>“</w:t>
      </w:r>
      <w:r w:rsidR="00135B8B" w:rsidRPr="00BD09CC">
        <w:rPr>
          <w:rFonts w:ascii="Garamond" w:hAnsi="Garamond"/>
          <w:sz w:val="24"/>
          <w:szCs w:val="24"/>
        </w:rPr>
        <w:t>c</w:t>
      </w:r>
      <w:r w:rsidR="001D22EC">
        <w:rPr>
          <w:rFonts w:ascii="Garamond" w:hAnsi="Garamond"/>
          <w:sz w:val="24"/>
          <w:szCs w:val="24"/>
        </w:rPr>
        <w:t>”</w:t>
      </w:r>
      <w:r w:rsidR="00135B8B" w:rsidRPr="00BD09CC">
        <w:rPr>
          <w:rFonts w:ascii="Garamond" w:hAnsi="Garamond"/>
          <w:sz w:val="24"/>
          <w:szCs w:val="24"/>
        </w:rPr>
        <w:t xml:space="preserve">, togfjalëshi </w:t>
      </w:r>
      <w:r w:rsidR="001D22EC" w:rsidRPr="00CA44CF">
        <w:rPr>
          <w:rFonts w:ascii="Garamond" w:hAnsi="Garamond"/>
          <w:i/>
          <w:sz w:val="24"/>
          <w:szCs w:val="24"/>
        </w:rPr>
        <w:t>“</w:t>
      </w:r>
      <w:r w:rsidR="00135B8B" w:rsidRPr="00CA44CF">
        <w:rPr>
          <w:rFonts w:ascii="Garamond" w:hAnsi="Garamond"/>
          <w:i/>
          <w:sz w:val="24"/>
          <w:szCs w:val="24"/>
        </w:rPr>
        <w:t>maturitetit të ekspozimit bazë</w:t>
      </w:r>
      <w:r w:rsidR="001D22EC" w:rsidRPr="00CA44CF">
        <w:rPr>
          <w:rFonts w:ascii="Garamond" w:hAnsi="Garamond"/>
          <w:i/>
          <w:sz w:val="24"/>
          <w:szCs w:val="24"/>
        </w:rPr>
        <w:t>”</w:t>
      </w:r>
      <w:r w:rsidR="00BC578E" w:rsidRPr="00BD09CC">
        <w:rPr>
          <w:rFonts w:ascii="Garamond" w:hAnsi="Garamond"/>
          <w:sz w:val="24"/>
          <w:szCs w:val="24"/>
        </w:rPr>
        <w:t>,</w:t>
      </w:r>
      <w:r w:rsidR="00135B8B" w:rsidRPr="00BD09CC">
        <w:rPr>
          <w:rFonts w:ascii="Garamond" w:hAnsi="Garamond"/>
          <w:sz w:val="24"/>
          <w:szCs w:val="24"/>
        </w:rPr>
        <w:t xml:space="preserve"> zëvendësohet me togfjalëshin </w:t>
      </w:r>
      <w:r w:rsidR="001D22EC" w:rsidRPr="00CA44CF">
        <w:rPr>
          <w:rFonts w:ascii="Garamond" w:hAnsi="Garamond"/>
          <w:i/>
          <w:sz w:val="24"/>
          <w:szCs w:val="24"/>
        </w:rPr>
        <w:t>“</w:t>
      </w:r>
      <w:r w:rsidR="00135B8B" w:rsidRPr="00CA44CF">
        <w:rPr>
          <w:rFonts w:ascii="Garamond" w:hAnsi="Garamond"/>
          <w:i/>
          <w:sz w:val="24"/>
          <w:szCs w:val="24"/>
        </w:rPr>
        <w:t>maturitetit të ekspozimit</w:t>
      </w:r>
      <w:r w:rsidR="001D22EC" w:rsidRPr="00CA44CF">
        <w:rPr>
          <w:rFonts w:ascii="Garamond" w:hAnsi="Garamond"/>
          <w:i/>
          <w:sz w:val="24"/>
          <w:szCs w:val="24"/>
        </w:rPr>
        <w:t>”</w:t>
      </w:r>
      <w:r w:rsidR="00CA44CF">
        <w:rPr>
          <w:rFonts w:ascii="Garamond" w:hAnsi="Garamond"/>
          <w:sz w:val="24"/>
          <w:szCs w:val="24"/>
        </w:rPr>
        <w:t>.</w:t>
      </w:r>
    </w:p>
    <w:p w14:paraId="7D870ADD" w14:textId="5BCAAB45"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h) </w:t>
      </w:r>
      <w:r w:rsidR="00135B8B" w:rsidRPr="00BD09CC">
        <w:rPr>
          <w:rFonts w:ascii="Garamond" w:hAnsi="Garamond"/>
          <w:sz w:val="24"/>
          <w:szCs w:val="24"/>
        </w:rPr>
        <w:t>Në nenin 10 të rinumëruar</w:t>
      </w:r>
      <w:r w:rsidR="00E058D1" w:rsidRPr="00BD09CC">
        <w:rPr>
          <w:rFonts w:ascii="Garamond" w:hAnsi="Garamond"/>
          <w:sz w:val="24"/>
          <w:szCs w:val="24"/>
        </w:rPr>
        <w:t>, pika 8 ndryshon me përmbajtjen</w:t>
      </w:r>
      <w:r w:rsidR="00135B8B" w:rsidRPr="00BD09CC">
        <w:rPr>
          <w:rFonts w:ascii="Garamond" w:hAnsi="Garamond"/>
          <w:sz w:val="24"/>
          <w:szCs w:val="24"/>
        </w:rPr>
        <w:t xml:space="preserve"> e mëposhtme:</w:t>
      </w:r>
    </w:p>
    <w:p w14:paraId="40B8BDF1" w14:textId="550A3F15" w:rsidR="00135B8B" w:rsidRPr="002630D2" w:rsidRDefault="00E23659" w:rsidP="00E23659">
      <w:pPr>
        <w:spacing w:after="0" w:line="240" w:lineRule="auto"/>
        <w:ind w:firstLine="284"/>
        <w:jc w:val="both"/>
        <w:rPr>
          <w:rFonts w:ascii="Garamond" w:hAnsi="Garamond"/>
          <w:i/>
          <w:sz w:val="24"/>
          <w:szCs w:val="24"/>
        </w:rPr>
      </w:pPr>
      <w:r w:rsidRPr="00BD09CC">
        <w:rPr>
          <w:rFonts w:ascii="Garamond" w:hAnsi="Garamond"/>
          <w:sz w:val="24"/>
          <w:szCs w:val="24"/>
        </w:rPr>
        <w:t xml:space="preserve"> </w:t>
      </w:r>
      <w:r w:rsidR="001D22EC" w:rsidRPr="002630D2">
        <w:rPr>
          <w:rFonts w:ascii="Garamond" w:hAnsi="Garamond"/>
          <w:i/>
          <w:sz w:val="24"/>
          <w:szCs w:val="24"/>
        </w:rPr>
        <w:t>“</w:t>
      </w:r>
      <w:r w:rsidR="00135B8B" w:rsidRPr="002630D2">
        <w:rPr>
          <w:rFonts w:ascii="Garamond" w:hAnsi="Garamond"/>
          <w:i/>
          <w:sz w:val="24"/>
          <w:szCs w:val="24"/>
        </w:rPr>
        <w:t>8.</w:t>
      </w:r>
      <w:r w:rsidR="00106C0A" w:rsidRPr="002630D2">
        <w:rPr>
          <w:rFonts w:ascii="Garamond" w:hAnsi="Garamond"/>
          <w:i/>
          <w:sz w:val="24"/>
          <w:szCs w:val="24"/>
        </w:rPr>
        <w:t xml:space="preserve"> </w:t>
      </w:r>
      <w:r w:rsidR="00135B8B" w:rsidRPr="002630D2">
        <w:rPr>
          <w:rFonts w:ascii="Garamond" w:hAnsi="Garamond"/>
          <w:i/>
          <w:sz w:val="24"/>
          <w:szCs w:val="24"/>
        </w:rPr>
        <w:t>Bankat hartojnë dhe rishikojnë në bashkëpunim me njëra-tjetrën, planet e përbashkëta të rimëkëmbjes dhe të zgjidhjes, për kredimarrës/grup personash të lidhur, kur ekspozimi ndaj këtij kredimarrësi/grupi është ekspozim i madh</w:t>
      </w:r>
      <w:r w:rsidR="009155C0" w:rsidRPr="002630D2">
        <w:rPr>
          <w:rFonts w:ascii="Garamond" w:hAnsi="Garamond"/>
          <w:i/>
          <w:sz w:val="24"/>
          <w:szCs w:val="24"/>
        </w:rPr>
        <w:t>,</w:t>
      </w:r>
      <w:r w:rsidR="00135B8B" w:rsidRPr="002630D2">
        <w:rPr>
          <w:rFonts w:ascii="Garamond" w:hAnsi="Garamond"/>
          <w:i/>
          <w:sz w:val="24"/>
          <w:szCs w:val="24"/>
        </w:rPr>
        <w:t xml:space="preserve"> në të paktën një prej bankave.</w:t>
      </w:r>
      <w:r w:rsidR="001D22EC" w:rsidRPr="002630D2">
        <w:rPr>
          <w:rFonts w:ascii="Garamond" w:hAnsi="Garamond"/>
          <w:i/>
          <w:sz w:val="24"/>
          <w:szCs w:val="24"/>
        </w:rPr>
        <w:t>”</w:t>
      </w:r>
      <w:r w:rsidR="002630D2">
        <w:rPr>
          <w:rFonts w:ascii="Garamond" w:hAnsi="Garamond"/>
          <w:i/>
          <w:sz w:val="24"/>
          <w:szCs w:val="24"/>
        </w:rPr>
        <w:t>.</w:t>
      </w:r>
    </w:p>
    <w:p w14:paraId="75EBC79B" w14:textId="5F954B80"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135B8B" w:rsidRPr="00BD09CC">
        <w:rPr>
          <w:rFonts w:ascii="Garamond" w:hAnsi="Garamond"/>
          <w:sz w:val="24"/>
          <w:szCs w:val="24"/>
        </w:rPr>
        <w:t>Në nenin 1</w:t>
      </w:r>
      <w:r w:rsidR="00285851" w:rsidRPr="00BD09CC">
        <w:rPr>
          <w:rFonts w:ascii="Garamond" w:hAnsi="Garamond"/>
          <w:sz w:val="24"/>
          <w:szCs w:val="24"/>
        </w:rPr>
        <w:t>1</w:t>
      </w:r>
      <w:r w:rsidR="00135B8B" w:rsidRPr="00BD09CC">
        <w:rPr>
          <w:rFonts w:ascii="Garamond" w:hAnsi="Garamond"/>
          <w:sz w:val="24"/>
          <w:szCs w:val="24"/>
        </w:rPr>
        <w:t xml:space="preserve"> të rinumëruar bëhen ndryshimet e mëposhtme:</w:t>
      </w:r>
    </w:p>
    <w:p w14:paraId="74AB757A" w14:textId="508AB816" w:rsidR="00285851"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9E29E9" w:rsidRPr="00BD09CC">
        <w:rPr>
          <w:rFonts w:ascii="Garamond" w:hAnsi="Garamond"/>
          <w:sz w:val="24"/>
          <w:szCs w:val="24"/>
        </w:rPr>
        <w:t xml:space="preserve">Pika </w:t>
      </w:r>
      <w:r w:rsidR="00285851" w:rsidRPr="00BD09CC">
        <w:rPr>
          <w:rFonts w:ascii="Garamond" w:hAnsi="Garamond"/>
          <w:sz w:val="24"/>
          <w:szCs w:val="24"/>
        </w:rPr>
        <w:t>1 ndrysho</w:t>
      </w:r>
      <w:r w:rsidR="00A83D56" w:rsidRPr="00BD09CC">
        <w:rPr>
          <w:rFonts w:ascii="Garamond" w:hAnsi="Garamond"/>
          <w:sz w:val="24"/>
          <w:szCs w:val="24"/>
        </w:rPr>
        <w:t>n</w:t>
      </w:r>
      <w:r w:rsidR="00285851" w:rsidRPr="00BD09CC">
        <w:rPr>
          <w:rFonts w:ascii="Garamond" w:hAnsi="Garamond"/>
          <w:sz w:val="24"/>
          <w:szCs w:val="24"/>
        </w:rPr>
        <w:t xml:space="preserve"> me përmbajtjen e mëposhtme:</w:t>
      </w:r>
    </w:p>
    <w:p w14:paraId="15226BF2" w14:textId="2B237AF5" w:rsidR="00285851" w:rsidRPr="009E29E9" w:rsidRDefault="001D22EC" w:rsidP="00E23659">
      <w:pPr>
        <w:spacing w:after="0" w:line="240" w:lineRule="auto"/>
        <w:ind w:firstLine="284"/>
        <w:jc w:val="both"/>
        <w:rPr>
          <w:rFonts w:ascii="Garamond" w:hAnsi="Garamond"/>
          <w:i/>
          <w:sz w:val="24"/>
          <w:szCs w:val="24"/>
        </w:rPr>
      </w:pPr>
      <w:r w:rsidRPr="009E29E9">
        <w:rPr>
          <w:rFonts w:ascii="Garamond" w:hAnsi="Garamond"/>
          <w:i/>
          <w:sz w:val="24"/>
          <w:szCs w:val="24"/>
        </w:rPr>
        <w:t>“</w:t>
      </w:r>
      <w:r w:rsidR="00285851" w:rsidRPr="009E29E9">
        <w:rPr>
          <w:rFonts w:ascii="Garamond" w:hAnsi="Garamond"/>
          <w:i/>
          <w:sz w:val="24"/>
          <w:szCs w:val="24"/>
        </w:rPr>
        <w:t>1. Bankat, për qëllime raportimi dhe monitorimi</w:t>
      </w:r>
      <w:r w:rsidR="00B91174" w:rsidRPr="009E29E9">
        <w:rPr>
          <w:rFonts w:ascii="Garamond" w:hAnsi="Garamond"/>
          <w:i/>
          <w:sz w:val="24"/>
          <w:szCs w:val="24"/>
        </w:rPr>
        <w:t>,</w:t>
      </w:r>
      <w:r w:rsidR="00285851" w:rsidRPr="009E29E9">
        <w:rPr>
          <w:rFonts w:ascii="Garamond" w:hAnsi="Garamond"/>
          <w:i/>
          <w:sz w:val="24"/>
          <w:szCs w:val="24"/>
        </w:rPr>
        <w:t xml:space="preserve"> plotësojnë dhe dorëzojnë </w:t>
      </w:r>
      <w:r w:rsidR="00911098" w:rsidRPr="009E29E9">
        <w:rPr>
          <w:rFonts w:ascii="Garamond" w:hAnsi="Garamond"/>
          <w:i/>
          <w:sz w:val="24"/>
          <w:szCs w:val="24"/>
        </w:rPr>
        <w:t xml:space="preserve">mbi baza </w:t>
      </w:r>
      <w:r w:rsidR="00285851" w:rsidRPr="009E29E9">
        <w:rPr>
          <w:rFonts w:ascii="Garamond" w:hAnsi="Garamond"/>
          <w:i/>
          <w:sz w:val="24"/>
          <w:szCs w:val="24"/>
        </w:rPr>
        <w:t>tremujor</w:t>
      </w:r>
      <w:r w:rsidR="00911098" w:rsidRPr="009E29E9">
        <w:rPr>
          <w:rFonts w:ascii="Garamond" w:hAnsi="Garamond"/>
          <w:i/>
          <w:sz w:val="24"/>
          <w:szCs w:val="24"/>
        </w:rPr>
        <w:t>e</w:t>
      </w:r>
      <w:r w:rsidR="00285851" w:rsidRPr="009E29E9">
        <w:rPr>
          <w:rFonts w:ascii="Garamond" w:hAnsi="Garamond"/>
          <w:i/>
          <w:sz w:val="24"/>
          <w:szCs w:val="24"/>
        </w:rPr>
        <w:t xml:space="preserve"> në Bankën e Shqipërisë</w:t>
      </w:r>
      <w:r w:rsidR="00A83D56" w:rsidRPr="009E29E9">
        <w:rPr>
          <w:rFonts w:ascii="Garamond" w:hAnsi="Garamond"/>
          <w:i/>
          <w:sz w:val="24"/>
          <w:szCs w:val="24"/>
        </w:rPr>
        <w:t>,</w:t>
      </w:r>
      <w:r w:rsidR="00285851" w:rsidRPr="009E29E9">
        <w:rPr>
          <w:rFonts w:ascii="Garamond" w:hAnsi="Garamond"/>
          <w:i/>
          <w:sz w:val="24"/>
          <w:szCs w:val="24"/>
        </w:rPr>
        <w:t xml:space="preserve"> </w:t>
      </w:r>
      <w:r w:rsidR="00271609" w:rsidRPr="009E29E9">
        <w:rPr>
          <w:rFonts w:ascii="Garamond" w:hAnsi="Garamond"/>
          <w:i/>
          <w:sz w:val="24"/>
          <w:szCs w:val="24"/>
        </w:rPr>
        <w:t xml:space="preserve">formularin </w:t>
      </w:r>
      <w:r w:rsidR="00285851" w:rsidRPr="009E29E9">
        <w:rPr>
          <w:rFonts w:ascii="Garamond" w:hAnsi="Garamond"/>
          <w:i/>
          <w:sz w:val="24"/>
          <w:szCs w:val="24"/>
        </w:rPr>
        <w:t>nr.</w:t>
      </w:r>
      <w:r w:rsidR="00271609">
        <w:rPr>
          <w:rFonts w:ascii="Garamond" w:hAnsi="Garamond"/>
          <w:i/>
          <w:sz w:val="24"/>
          <w:szCs w:val="24"/>
        </w:rPr>
        <w:t xml:space="preserve"> </w:t>
      </w:r>
      <w:r w:rsidR="00285851" w:rsidRPr="009E29E9">
        <w:rPr>
          <w:rFonts w:ascii="Garamond" w:hAnsi="Garamond"/>
          <w:i/>
          <w:sz w:val="24"/>
          <w:szCs w:val="24"/>
        </w:rPr>
        <w:t xml:space="preserve">1, pjesë e </w:t>
      </w:r>
      <w:r w:rsidR="00271609" w:rsidRPr="009E29E9">
        <w:rPr>
          <w:rFonts w:ascii="Garamond" w:hAnsi="Garamond"/>
          <w:i/>
          <w:sz w:val="24"/>
          <w:szCs w:val="24"/>
        </w:rPr>
        <w:t xml:space="preserve">aneksit </w:t>
      </w:r>
      <w:r w:rsidR="00285851" w:rsidRPr="009E29E9">
        <w:rPr>
          <w:rFonts w:ascii="Garamond" w:hAnsi="Garamond"/>
          <w:i/>
          <w:sz w:val="24"/>
          <w:szCs w:val="24"/>
        </w:rPr>
        <w:t>2, bashkëngjitur kësaj rregulloreje, i cili përfshin informacionin e mëposhtëm:</w:t>
      </w:r>
    </w:p>
    <w:p w14:paraId="1A09E42C" w14:textId="16B02E6E"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a) </w:t>
      </w:r>
      <w:r w:rsidR="00285851" w:rsidRPr="009E29E9">
        <w:rPr>
          <w:rFonts w:ascii="Garamond" w:hAnsi="Garamond"/>
          <w:i/>
          <w:sz w:val="24"/>
          <w:szCs w:val="24"/>
        </w:rPr>
        <w:t>raportimin e të gjitha ekspozimeve të mëdha të bankës ndaj personave/klientëve individualë dhe grupeve të personave të lidhur, vlera e të cil</w:t>
      </w:r>
      <w:r w:rsidR="00340F7B" w:rsidRPr="009E29E9">
        <w:rPr>
          <w:rFonts w:ascii="Garamond" w:hAnsi="Garamond"/>
          <w:i/>
          <w:sz w:val="24"/>
          <w:szCs w:val="24"/>
        </w:rPr>
        <w:t>ë</w:t>
      </w:r>
      <w:r w:rsidR="00285851" w:rsidRPr="009E29E9">
        <w:rPr>
          <w:rFonts w:ascii="Garamond" w:hAnsi="Garamond"/>
          <w:i/>
          <w:sz w:val="24"/>
          <w:szCs w:val="24"/>
        </w:rPr>
        <w:t>ve</w:t>
      </w:r>
      <w:r w:rsidR="00B91174"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 arrin ose tejkalon 10% të kapitalit rregullator të bankës, siç parashikohet në nenin 6 të kësaj rregulloreje;</w:t>
      </w:r>
    </w:p>
    <w:p w14:paraId="08831BB8" w14:textId="453153E0"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b) </w:t>
      </w:r>
      <w:r w:rsidR="00285851" w:rsidRPr="009E29E9">
        <w:rPr>
          <w:rFonts w:ascii="Garamond" w:hAnsi="Garamond"/>
          <w:i/>
          <w:sz w:val="24"/>
          <w:szCs w:val="24"/>
        </w:rPr>
        <w:t>raportimin e të gjitha ekspozimeve të bankës ndaj personave/klientëve individualë dhe grupeve të personave të lidhur, vlera e të cil</w:t>
      </w:r>
      <w:r w:rsidR="00340F7B" w:rsidRPr="009E29E9">
        <w:rPr>
          <w:rFonts w:ascii="Garamond" w:hAnsi="Garamond"/>
          <w:i/>
          <w:sz w:val="24"/>
          <w:szCs w:val="24"/>
        </w:rPr>
        <w:t>ë</w:t>
      </w:r>
      <w:r w:rsidR="00285851" w:rsidRPr="009E29E9">
        <w:rPr>
          <w:rFonts w:ascii="Garamond" w:hAnsi="Garamond"/>
          <w:i/>
          <w:sz w:val="24"/>
          <w:szCs w:val="24"/>
        </w:rPr>
        <w:t>ve</w:t>
      </w:r>
      <w:r w:rsidR="00B91174"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 arrin ose tejkalon 10% të kapitalit të nivelit të parë të bankës;</w:t>
      </w:r>
    </w:p>
    <w:p w14:paraId="28CB0A02" w14:textId="106B89E6"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c) </w:t>
      </w:r>
      <w:r w:rsidR="00285851" w:rsidRPr="009E29E9">
        <w:rPr>
          <w:rFonts w:ascii="Garamond" w:hAnsi="Garamond"/>
          <w:i/>
          <w:sz w:val="24"/>
          <w:szCs w:val="24"/>
        </w:rPr>
        <w:t>raportimin e 20 ekspozimeve më të mëdha të bankës, pavarësisht nëse arrijnë/tejkalojnë ose jo 10% të kapitalit rregullator</w:t>
      </w:r>
      <w:r w:rsidR="00340F7B"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w:t>
      </w:r>
    </w:p>
    <w:p w14:paraId="104BAFFE" w14:textId="08960803"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d) </w:t>
      </w:r>
      <w:r w:rsidR="00285851" w:rsidRPr="009E29E9">
        <w:rPr>
          <w:rFonts w:ascii="Garamond" w:hAnsi="Garamond"/>
          <w:i/>
          <w:sz w:val="24"/>
          <w:szCs w:val="24"/>
        </w:rPr>
        <w:t xml:space="preserve">raportimin e 10 ekspozimeve më të mëdha të bankës ndaj institucioneve </w:t>
      </w:r>
      <w:r w:rsidR="00911098" w:rsidRPr="009E29E9">
        <w:rPr>
          <w:rFonts w:ascii="Garamond" w:hAnsi="Garamond"/>
          <w:i/>
          <w:sz w:val="24"/>
          <w:szCs w:val="24"/>
        </w:rPr>
        <w:t>të mbikëqyrura</w:t>
      </w:r>
      <w:r w:rsidR="00285851" w:rsidRPr="009E29E9">
        <w:rPr>
          <w:rFonts w:ascii="Garamond" w:hAnsi="Garamond"/>
          <w:i/>
          <w:sz w:val="24"/>
          <w:szCs w:val="24"/>
        </w:rPr>
        <w:t>, pavarësisht nëse arrijnë/tejkalojnë ose jo 10% të kapitalit rregullator</w:t>
      </w:r>
      <w:r w:rsidR="00340F7B"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w:t>
      </w:r>
    </w:p>
    <w:p w14:paraId="42AB5EC4" w14:textId="7EBE0B31"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e) </w:t>
      </w:r>
      <w:r w:rsidR="00285851" w:rsidRPr="009E29E9">
        <w:rPr>
          <w:rFonts w:ascii="Garamond" w:hAnsi="Garamond"/>
          <w:i/>
          <w:sz w:val="24"/>
          <w:szCs w:val="24"/>
        </w:rPr>
        <w:t>raportimin e të gjitha ekspozimeve të bankës</w:t>
      </w:r>
      <w:r w:rsidR="00397F54" w:rsidRPr="009E29E9">
        <w:rPr>
          <w:rFonts w:ascii="Garamond" w:hAnsi="Garamond"/>
          <w:i/>
          <w:sz w:val="24"/>
          <w:szCs w:val="24"/>
        </w:rPr>
        <w:t xml:space="preserve"> me rëndësi sistemike</w:t>
      </w:r>
      <w:r w:rsidR="00285851" w:rsidRPr="009E29E9">
        <w:rPr>
          <w:rFonts w:ascii="Garamond" w:hAnsi="Garamond"/>
          <w:i/>
          <w:sz w:val="24"/>
          <w:szCs w:val="24"/>
        </w:rPr>
        <w:t xml:space="preserve"> ndaj bankave me rëndësi sistemike</w:t>
      </w:r>
      <w:r w:rsidR="00397F54" w:rsidRPr="009E29E9">
        <w:rPr>
          <w:rFonts w:ascii="Garamond" w:hAnsi="Garamond"/>
          <w:i/>
          <w:sz w:val="24"/>
          <w:szCs w:val="24"/>
        </w:rPr>
        <w:t xml:space="preserve"> dhe grupit të personave të lidhur me to, subjekt i mbikëqyrjes së konsoliduar të Bankës së Shqipërisë</w:t>
      </w:r>
      <w:r w:rsidR="00285851" w:rsidRPr="009E29E9">
        <w:rPr>
          <w:rFonts w:ascii="Garamond" w:hAnsi="Garamond"/>
          <w:i/>
          <w:sz w:val="24"/>
          <w:szCs w:val="24"/>
        </w:rPr>
        <w:t>;</w:t>
      </w:r>
    </w:p>
    <w:p w14:paraId="435F6796" w14:textId="2660C986" w:rsidR="00285851" w:rsidRPr="009E29E9" w:rsidRDefault="00F0330D"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f) </w:t>
      </w:r>
      <w:r w:rsidR="00285851" w:rsidRPr="009E29E9">
        <w:rPr>
          <w:rFonts w:ascii="Garamond" w:hAnsi="Garamond"/>
          <w:i/>
          <w:sz w:val="24"/>
          <w:szCs w:val="24"/>
        </w:rPr>
        <w:t xml:space="preserve">raportimin e të gjitha ekspozimeve të bankës ndaj personave/grupeve të personave me marrëdhënie të veçantë me bankën; </w:t>
      </w:r>
    </w:p>
    <w:p w14:paraId="3E15ABED" w14:textId="685105A1" w:rsidR="00285851" w:rsidRPr="009E29E9" w:rsidRDefault="00F0330D"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g) </w:t>
      </w:r>
      <w:r w:rsidR="00285851" w:rsidRPr="009E29E9">
        <w:rPr>
          <w:rFonts w:ascii="Garamond" w:hAnsi="Garamond"/>
          <w:i/>
          <w:sz w:val="24"/>
          <w:szCs w:val="24"/>
        </w:rPr>
        <w:t>raportimin e të gjitha ekspozimeve të bankës ndaj qeverive qendrore.</w:t>
      </w:r>
      <w:r w:rsidR="001D22EC" w:rsidRPr="009E29E9">
        <w:rPr>
          <w:rFonts w:ascii="Garamond" w:hAnsi="Garamond"/>
          <w:i/>
          <w:sz w:val="24"/>
          <w:szCs w:val="24"/>
        </w:rPr>
        <w:t>”</w:t>
      </w:r>
      <w:r w:rsidR="00271609">
        <w:rPr>
          <w:rFonts w:ascii="Garamond" w:hAnsi="Garamond"/>
          <w:i/>
          <w:sz w:val="24"/>
          <w:szCs w:val="24"/>
        </w:rPr>
        <w:t>.</w:t>
      </w:r>
    </w:p>
    <w:p w14:paraId="62EE3BBE" w14:textId="5EBAFA91"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ii. </w:t>
      </w:r>
      <w:r w:rsidR="00271609" w:rsidRPr="00271609">
        <w:rPr>
          <w:rFonts w:ascii="Garamond" w:hAnsi="Garamond"/>
          <w:sz w:val="24"/>
          <w:szCs w:val="24"/>
        </w:rPr>
        <w:t xml:space="preserve">Në </w:t>
      </w:r>
      <w:r w:rsidR="00285851" w:rsidRPr="00271609">
        <w:rPr>
          <w:rFonts w:ascii="Garamond" w:hAnsi="Garamond"/>
          <w:sz w:val="24"/>
          <w:szCs w:val="24"/>
        </w:rPr>
        <w:t xml:space="preserve">pikën 2, togfjalëshi </w:t>
      </w:r>
      <w:r w:rsidR="001D22EC" w:rsidRPr="00271609">
        <w:rPr>
          <w:rFonts w:ascii="Garamond" w:hAnsi="Garamond"/>
          <w:i/>
          <w:sz w:val="24"/>
          <w:szCs w:val="24"/>
        </w:rPr>
        <w:t>“</w:t>
      </w:r>
      <w:r w:rsidR="00285851" w:rsidRPr="00271609">
        <w:rPr>
          <w:rFonts w:ascii="Garamond" w:hAnsi="Garamond"/>
          <w:i/>
          <w:sz w:val="24"/>
          <w:szCs w:val="24"/>
        </w:rPr>
        <w:t>çdo 6</w:t>
      </w:r>
      <w:r w:rsidR="00271609" w:rsidRPr="00271609">
        <w:rPr>
          <w:rFonts w:ascii="Garamond" w:hAnsi="Garamond"/>
          <w:i/>
          <w:sz w:val="24"/>
          <w:szCs w:val="24"/>
        </w:rPr>
        <w:t>-mujor</w:t>
      </w:r>
      <w:r w:rsidR="00285851" w:rsidRPr="00271609">
        <w:rPr>
          <w:rFonts w:ascii="Garamond" w:hAnsi="Garamond"/>
          <w:i/>
          <w:sz w:val="24"/>
          <w:szCs w:val="24"/>
        </w:rPr>
        <w:t xml:space="preserve"> (gjashtë</w:t>
      </w:r>
      <w:r w:rsidR="00271609" w:rsidRPr="00271609">
        <w:rPr>
          <w:rFonts w:ascii="Garamond" w:hAnsi="Garamond"/>
          <w:i/>
          <w:sz w:val="24"/>
          <w:szCs w:val="24"/>
        </w:rPr>
        <w:t>mujor</w:t>
      </w:r>
      <w:r w:rsidR="00285851" w:rsidRPr="00271609">
        <w:rPr>
          <w:rFonts w:ascii="Garamond" w:hAnsi="Garamond"/>
          <w:i/>
          <w:sz w:val="24"/>
          <w:szCs w:val="24"/>
        </w:rPr>
        <w:t>)</w:t>
      </w:r>
      <w:r w:rsidR="001D22EC" w:rsidRPr="00271609">
        <w:rPr>
          <w:rFonts w:ascii="Garamond" w:hAnsi="Garamond"/>
          <w:i/>
          <w:sz w:val="24"/>
          <w:szCs w:val="24"/>
        </w:rPr>
        <w:t>”</w:t>
      </w:r>
      <w:r w:rsidR="00340F7B" w:rsidRPr="00271609">
        <w:rPr>
          <w:rFonts w:ascii="Garamond" w:hAnsi="Garamond"/>
          <w:sz w:val="24"/>
          <w:szCs w:val="24"/>
        </w:rPr>
        <w:t>,</w:t>
      </w:r>
      <w:r w:rsidR="00285851" w:rsidRPr="00271609">
        <w:rPr>
          <w:rFonts w:ascii="Garamond" w:hAnsi="Garamond"/>
          <w:sz w:val="24"/>
          <w:szCs w:val="24"/>
        </w:rPr>
        <w:t xml:space="preserve"> zëvendësohet me togfjalëshin </w:t>
      </w:r>
      <w:r w:rsidR="001D22EC" w:rsidRPr="00271609">
        <w:rPr>
          <w:rFonts w:ascii="Garamond" w:hAnsi="Garamond"/>
          <w:i/>
          <w:sz w:val="24"/>
          <w:szCs w:val="24"/>
        </w:rPr>
        <w:t>“</w:t>
      </w:r>
      <w:r w:rsidR="00285851" w:rsidRPr="00271609">
        <w:rPr>
          <w:rFonts w:ascii="Garamond" w:hAnsi="Garamond"/>
          <w:i/>
          <w:sz w:val="24"/>
          <w:szCs w:val="24"/>
        </w:rPr>
        <w:t>çdo 3</w:t>
      </w:r>
      <w:r w:rsidR="00271609" w:rsidRPr="00271609">
        <w:rPr>
          <w:rFonts w:ascii="Garamond" w:hAnsi="Garamond"/>
          <w:i/>
          <w:sz w:val="24"/>
          <w:szCs w:val="24"/>
        </w:rPr>
        <w:t>-mujor</w:t>
      </w:r>
      <w:r w:rsidR="00285851" w:rsidRPr="00271609">
        <w:rPr>
          <w:rFonts w:ascii="Garamond" w:hAnsi="Garamond"/>
          <w:i/>
          <w:sz w:val="24"/>
          <w:szCs w:val="24"/>
        </w:rPr>
        <w:t xml:space="preserve"> (tre</w:t>
      </w:r>
      <w:r w:rsidR="00271609" w:rsidRPr="00271609">
        <w:rPr>
          <w:rFonts w:ascii="Garamond" w:hAnsi="Garamond"/>
          <w:i/>
          <w:sz w:val="24"/>
          <w:szCs w:val="24"/>
        </w:rPr>
        <w:t>mujor</w:t>
      </w:r>
      <w:r w:rsidR="00285851" w:rsidRPr="00271609">
        <w:rPr>
          <w:rFonts w:ascii="Garamond" w:hAnsi="Garamond"/>
          <w:i/>
          <w:sz w:val="24"/>
          <w:szCs w:val="24"/>
        </w:rPr>
        <w:t>)</w:t>
      </w:r>
      <w:r w:rsidR="001D22EC" w:rsidRPr="00271609">
        <w:rPr>
          <w:rFonts w:ascii="Garamond" w:hAnsi="Garamond"/>
          <w:i/>
          <w:sz w:val="24"/>
          <w:szCs w:val="24"/>
        </w:rPr>
        <w:t>”</w:t>
      </w:r>
      <w:r w:rsidR="00271609">
        <w:rPr>
          <w:rFonts w:ascii="Garamond" w:hAnsi="Garamond"/>
          <w:i/>
          <w:sz w:val="24"/>
          <w:szCs w:val="24"/>
        </w:rPr>
        <w:t>.</w:t>
      </w:r>
    </w:p>
    <w:p w14:paraId="3153B1CD" w14:textId="0D04EBD4"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iii. </w:t>
      </w:r>
      <w:r w:rsidR="00285851" w:rsidRPr="00271609">
        <w:rPr>
          <w:rFonts w:ascii="Garamond" w:hAnsi="Garamond"/>
          <w:sz w:val="24"/>
          <w:szCs w:val="24"/>
        </w:rPr>
        <w:t xml:space="preserve">në pikën 2, togfjalëshi </w:t>
      </w:r>
      <w:r w:rsidR="001D22EC" w:rsidRPr="001A7808">
        <w:rPr>
          <w:rFonts w:ascii="Garamond" w:hAnsi="Garamond"/>
          <w:i/>
          <w:sz w:val="24"/>
          <w:szCs w:val="24"/>
        </w:rPr>
        <w:t>“</w:t>
      </w:r>
      <w:r w:rsidR="00285851" w:rsidRPr="001A7808">
        <w:rPr>
          <w:rFonts w:ascii="Garamond" w:hAnsi="Garamond"/>
          <w:i/>
          <w:sz w:val="24"/>
          <w:szCs w:val="24"/>
        </w:rPr>
        <w:t>të përcaktuar në pikën 1 të këtij neni</w:t>
      </w:r>
      <w:r w:rsidR="00A44BCE" w:rsidRPr="001A7808">
        <w:rPr>
          <w:rFonts w:ascii="Garamond" w:hAnsi="Garamond"/>
          <w:i/>
          <w:sz w:val="24"/>
          <w:szCs w:val="24"/>
        </w:rPr>
        <w:t>.</w:t>
      </w:r>
      <w:r w:rsidR="001D22EC" w:rsidRPr="001A7808">
        <w:rPr>
          <w:rFonts w:ascii="Garamond" w:hAnsi="Garamond"/>
          <w:i/>
          <w:sz w:val="24"/>
          <w:szCs w:val="24"/>
        </w:rPr>
        <w:t>”</w:t>
      </w:r>
      <w:r w:rsidR="00340F7B" w:rsidRPr="00271609">
        <w:rPr>
          <w:rFonts w:ascii="Garamond" w:hAnsi="Garamond"/>
          <w:sz w:val="24"/>
          <w:szCs w:val="24"/>
        </w:rPr>
        <w:t>,</w:t>
      </w:r>
      <w:r w:rsidR="00285851" w:rsidRPr="00271609">
        <w:rPr>
          <w:rFonts w:ascii="Garamond" w:hAnsi="Garamond"/>
          <w:sz w:val="24"/>
          <w:szCs w:val="24"/>
        </w:rPr>
        <w:t xml:space="preserve"> zëvendësohet me togfjalëshin </w:t>
      </w:r>
      <w:r w:rsidR="001D22EC" w:rsidRPr="001A7808">
        <w:rPr>
          <w:rFonts w:ascii="Garamond" w:hAnsi="Garamond"/>
          <w:i/>
          <w:sz w:val="24"/>
          <w:szCs w:val="24"/>
        </w:rPr>
        <w:t>“</w:t>
      </w:r>
      <w:r w:rsidR="00285851" w:rsidRPr="001A7808">
        <w:rPr>
          <w:rFonts w:ascii="Garamond" w:hAnsi="Garamond"/>
          <w:i/>
          <w:sz w:val="24"/>
          <w:szCs w:val="24"/>
        </w:rPr>
        <w:t xml:space="preserve">në rregulloren </w:t>
      </w:r>
      <w:r w:rsidR="001A7808">
        <w:rPr>
          <w:rFonts w:ascii="Garamond" w:hAnsi="Garamond"/>
          <w:i/>
          <w:sz w:val="24"/>
          <w:szCs w:val="24"/>
        </w:rPr>
        <w:t>‘</w:t>
      </w:r>
      <w:r w:rsidR="00285851" w:rsidRPr="001A7808">
        <w:rPr>
          <w:rFonts w:ascii="Garamond" w:hAnsi="Garamond"/>
          <w:i/>
          <w:sz w:val="24"/>
          <w:szCs w:val="24"/>
        </w:rPr>
        <w:t>Për mbikëqyrjen e konsoliduar</w:t>
      </w:r>
      <w:r w:rsidR="001A7808">
        <w:rPr>
          <w:rFonts w:ascii="Garamond" w:hAnsi="Garamond"/>
          <w:i/>
          <w:sz w:val="24"/>
          <w:szCs w:val="24"/>
        </w:rPr>
        <w:t>’</w:t>
      </w:r>
      <w:r w:rsidR="007A35A0" w:rsidRPr="001A7808">
        <w:rPr>
          <w:rFonts w:ascii="Garamond" w:hAnsi="Garamond"/>
          <w:i/>
          <w:sz w:val="24"/>
          <w:szCs w:val="24"/>
        </w:rPr>
        <w:t>.</w:t>
      </w:r>
      <w:r w:rsidR="001D22EC" w:rsidRPr="001A7808">
        <w:rPr>
          <w:rFonts w:ascii="Garamond" w:hAnsi="Garamond"/>
          <w:i/>
          <w:sz w:val="24"/>
          <w:szCs w:val="24"/>
        </w:rPr>
        <w:t>”</w:t>
      </w:r>
      <w:r w:rsidR="001A7808">
        <w:rPr>
          <w:rFonts w:ascii="Garamond" w:hAnsi="Garamond"/>
          <w:i/>
          <w:sz w:val="24"/>
          <w:szCs w:val="24"/>
        </w:rPr>
        <w:t>.</w:t>
      </w:r>
    </w:p>
    <w:p w14:paraId="01B47780" w14:textId="486008BF"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iv. </w:t>
      </w:r>
      <w:r w:rsidR="00285851" w:rsidRPr="00271609">
        <w:rPr>
          <w:rFonts w:ascii="Garamond" w:hAnsi="Garamond"/>
          <w:sz w:val="24"/>
          <w:szCs w:val="24"/>
        </w:rPr>
        <w:t xml:space="preserve">në pikën 3, pas togfjalëshit </w:t>
      </w:r>
      <w:r w:rsidR="001D22EC" w:rsidRPr="001A7808">
        <w:rPr>
          <w:rFonts w:ascii="Garamond" w:hAnsi="Garamond"/>
          <w:i/>
          <w:sz w:val="24"/>
          <w:szCs w:val="24"/>
        </w:rPr>
        <w:t>“</w:t>
      </w:r>
      <w:r w:rsidR="00285851" w:rsidRPr="001A7808">
        <w:rPr>
          <w:rFonts w:ascii="Garamond" w:hAnsi="Garamond"/>
          <w:i/>
          <w:sz w:val="24"/>
          <w:szCs w:val="24"/>
        </w:rPr>
        <w:t>shpeshtësinë e raportimit</w:t>
      </w:r>
      <w:r w:rsidR="001D22EC" w:rsidRPr="001A7808">
        <w:rPr>
          <w:rFonts w:ascii="Garamond" w:hAnsi="Garamond"/>
          <w:i/>
          <w:sz w:val="24"/>
          <w:szCs w:val="24"/>
        </w:rPr>
        <w:t>”</w:t>
      </w:r>
      <w:r w:rsidR="00340F7B" w:rsidRPr="00271609">
        <w:rPr>
          <w:rFonts w:ascii="Garamond" w:hAnsi="Garamond"/>
          <w:sz w:val="24"/>
          <w:szCs w:val="24"/>
        </w:rPr>
        <w:t>,</w:t>
      </w:r>
      <w:r w:rsidR="007E696C" w:rsidRPr="00271609">
        <w:rPr>
          <w:rFonts w:ascii="Garamond" w:hAnsi="Garamond"/>
          <w:sz w:val="24"/>
          <w:szCs w:val="24"/>
        </w:rPr>
        <w:t xml:space="preserve"> shtohet </w:t>
      </w:r>
      <w:r w:rsidR="00285851" w:rsidRPr="00271609">
        <w:rPr>
          <w:rFonts w:ascii="Garamond" w:hAnsi="Garamond"/>
          <w:sz w:val="24"/>
          <w:szCs w:val="24"/>
        </w:rPr>
        <w:t xml:space="preserve">togfjalëshi </w:t>
      </w:r>
      <w:r w:rsidR="001D22EC" w:rsidRPr="001A7808">
        <w:rPr>
          <w:rFonts w:ascii="Garamond" w:hAnsi="Garamond"/>
          <w:i/>
          <w:sz w:val="24"/>
          <w:szCs w:val="24"/>
        </w:rPr>
        <w:t>“</w:t>
      </w:r>
      <w:r w:rsidR="00285851" w:rsidRPr="001A7808">
        <w:rPr>
          <w:rFonts w:ascii="Garamond" w:hAnsi="Garamond"/>
          <w:i/>
          <w:sz w:val="24"/>
          <w:szCs w:val="24"/>
        </w:rPr>
        <w:t>, nga sa parashikohet në pikën 1 dhe 2 të këtij neni</w:t>
      </w:r>
      <w:r w:rsidR="001D22EC" w:rsidRPr="001A7808">
        <w:rPr>
          <w:rFonts w:ascii="Garamond" w:hAnsi="Garamond"/>
          <w:i/>
          <w:sz w:val="24"/>
          <w:szCs w:val="24"/>
        </w:rPr>
        <w:t>”</w:t>
      </w:r>
      <w:r w:rsidR="001A7808">
        <w:rPr>
          <w:rFonts w:ascii="Garamond" w:hAnsi="Garamond"/>
          <w:i/>
          <w:sz w:val="24"/>
          <w:szCs w:val="24"/>
        </w:rPr>
        <w:t>.</w:t>
      </w:r>
    </w:p>
    <w:p w14:paraId="0ECA5CB4" w14:textId="6B689937" w:rsidR="00FF2FA4" w:rsidRPr="006641ED"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j) </w:t>
      </w:r>
      <w:r w:rsidR="0065253C" w:rsidRPr="00271609">
        <w:rPr>
          <w:rFonts w:ascii="Garamond" w:hAnsi="Garamond"/>
          <w:sz w:val="24"/>
          <w:szCs w:val="24"/>
        </w:rPr>
        <w:t>Në nenin 1</w:t>
      </w:r>
      <w:r w:rsidR="000315DA" w:rsidRPr="00271609">
        <w:rPr>
          <w:rFonts w:ascii="Garamond" w:hAnsi="Garamond"/>
          <w:sz w:val="24"/>
          <w:szCs w:val="24"/>
        </w:rPr>
        <w:t>3</w:t>
      </w:r>
      <w:r w:rsidR="0065253C" w:rsidRPr="00271609">
        <w:rPr>
          <w:rFonts w:ascii="Garamond" w:hAnsi="Garamond"/>
          <w:sz w:val="24"/>
          <w:szCs w:val="24"/>
        </w:rPr>
        <w:t xml:space="preserve"> të rinumëruar, fraza </w:t>
      </w:r>
      <w:r w:rsidR="001D22EC" w:rsidRPr="006641ED">
        <w:rPr>
          <w:rFonts w:ascii="Garamond" w:hAnsi="Garamond"/>
          <w:i/>
          <w:sz w:val="24"/>
          <w:szCs w:val="24"/>
        </w:rPr>
        <w:t>“</w:t>
      </w:r>
      <w:r w:rsidR="0065253C" w:rsidRPr="006641ED">
        <w:rPr>
          <w:rFonts w:ascii="Garamond" w:hAnsi="Garamond"/>
          <w:i/>
          <w:sz w:val="24"/>
          <w:szCs w:val="24"/>
        </w:rPr>
        <w:t xml:space="preserve">Përjashtimisht nga përcaktimi i nenit 9, pika 2, shkronja </w:t>
      </w:r>
      <w:r w:rsidR="001D22EC" w:rsidRPr="006641ED">
        <w:rPr>
          <w:rFonts w:ascii="Garamond" w:hAnsi="Garamond"/>
          <w:i/>
          <w:sz w:val="24"/>
          <w:szCs w:val="24"/>
        </w:rPr>
        <w:t>“</w:t>
      </w:r>
      <w:r w:rsidR="0065253C" w:rsidRPr="006641ED">
        <w:rPr>
          <w:rFonts w:ascii="Garamond" w:hAnsi="Garamond"/>
          <w:i/>
          <w:sz w:val="24"/>
          <w:szCs w:val="24"/>
        </w:rPr>
        <w:t>p</w:t>
      </w:r>
      <w:r w:rsidR="006641ED">
        <w:rPr>
          <w:rFonts w:ascii="Garamond" w:hAnsi="Garamond"/>
          <w:i/>
          <w:sz w:val="24"/>
          <w:szCs w:val="24"/>
        </w:rPr>
        <w:t>””</w:t>
      </w:r>
      <w:r w:rsidR="0065253C" w:rsidRPr="006641ED">
        <w:rPr>
          <w:rFonts w:ascii="Garamond" w:hAnsi="Garamond"/>
          <w:sz w:val="24"/>
          <w:szCs w:val="24"/>
        </w:rPr>
        <w:t xml:space="preserve">, zëvendësohet me frazën </w:t>
      </w:r>
      <w:r w:rsidR="001D22EC" w:rsidRPr="006641ED">
        <w:rPr>
          <w:rFonts w:ascii="Garamond" w:hAnsi="Garamond"/>
          <w:i/>
          <w:sz w:val="24"/>
          <w:szCs w:val="24"/>
        </w:rPr>
        <w:t>“</w:t>
      </w:r>
      <w:r w:rsidR="0065253C" w:rsidRPr="006641ED">
        <w:rPr>
          <w:rFonts w:ascii="Garamond" w:hAnsi="Garamond"/>
          <w:i/>
          <w:sz w:val="24"/>
          <w:szCs w:val="24"/>
        </w:rPr>
        <w:t xml:space="preserve">Përjashtimisht nga përcaktimi i nenit 8, pika 2, shkronja </w:t>
      </w:r>
      <w:r w:rsidR="001D22EC" w:rsidRPr="006641ED">
        <w:rPr>
          <w:rFonts w:ascii="Garamond" w:hAnsi="Garamond"/>
          <w:i/>
          <w:sz w:val="24"/>
          <w:szCs w:val="24"/>
        </w:rPr>
        <w:t>“</w:t>
      </w:r>
      <w:r w:rsidR="0065253C" w:rsidRPr="006641ED">
        <w:rPr>
          <w:rFonts w:ascii="Garamond" w:hAnsi="Garamond"/>
          <w:i/>
          <w:sz w:val="24"/>
          <w:szCs w:val="24"/>
        </w:rPr>
        <w:t>p</w:t>
      </w:r>
      <w:r w:rsidR="001D22EC" w:rsidRPr="006641ED">
        <w:rPr>
          <w:rFonts w:ascii="Garamond" w:hAnsi="Garamond"/>
          <w:i/>
          <w:sz w:val="24"/>
          <w:szCs w:val="24"/>
        </w:rPr>
        <w:t>”</w:t>
      </w:r>
      <w:r w:rsidR="009E29E9" w:rsidRPr="006641ED">
        <w:rPr>
          <w:rFonts w:ascii="Garamond" w:hAnsi="Garamond"/>
          <w:sz w:val="24"/>
          <w:szCs w:val="24"/>
        </w:rPr>
        <w:t>.”.</w:t>
      </w:r>
    </w:p>
    <w:p w14:paraId="0453120B" w14:textId="0B063DA6" w:rsidR="0017721F"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k) </w:t>
      </w:r>
      <w:r w:rsidR="0017721F" w:rsidRPr="00BD09CC">
        <w:rPr>
          <w:rFonts w:ascii="Garamond" w:hAnsi="Garamond"/>
          <w:sz w:val="24"/>
          <w:szCs w:val="24"/>
        </w:rPr>
        <w:t xml:space="preserve">Aneksi 1 </w:t>
      </w:r>
      <w:r w:rsidR="00922E68" w:rsidRPr="00BD09CC">
        <w:rPr>
          <w:rFonts w:ascii="Garamond" w:hAnsi="Garamond"/>
          <w:sz w:val="24"/>
          <w:szCs w:val="24"/>
        </w:rPr>
        <w:t xml:space="preserve">dhe </w:t>
      </w:r>
      <w:r w:rsidR="006641ED" w:rsidRPr="00BD09CC">
        <w:rPr>
          <w:rFonts w:ascii="Garamond" w:hAnsi="Garamond"/>
          <w:sz w:val="24"/>
          <w:szCs w:val="24"/>
        </w:rPr>
        <w:t xml:space="preserve">aneksi </w:t>
      </w:r>
      <w:r w:rsidR="00922E68" w:rsidRPr="00BD09CC">
        <w:rPr>
          <w:rFonts w:ascii="Garamond" w:hAnsi="Garamond"/>
          <w:sz w:val="24"/>
          <w:szCs w:val="24"/>
        </w:rPr>
        <w:t xml:space="preserve">2 </w:t>
      </w:r>
      <w:r w:rsidR="00A612D6">
        <w:rPr>
          <w:rFonts w:ascii="Garamond" w:hAnsi="Garamond"/>
          <w:sz w:val="24"/>
          <w:szCs w:val="24"/>
        </w:rPr>
        <w:t>i rregullores</w:t>
      </w:r>
      <w:r w:rsidR="0017721F" w:rsidRPr="00BD09CC">
        <w:rPr>
          <w:rFonts w:ascii="Garamond" w:hAnsi="Garamond"/>
          <w:sz w:val="24"/>
          <w:szCs w:val="24"/>
        </w:rPr>
        <w:t xml:space="preserve"> ndrysho</w:t>
      </w:r>
      <w:r w:rsidR="00922E68" w:rsidRPr="00BD09CC">
        <w:rPr>
          <w:rFonts w:ascii="Garamond" w:hAnsi="Garamond"/>
          <w:sz w:val="24"/>
          <w:szCs w:val="24"/>
        </w:rPr>
        <w:t>j</w:t>
      </w:r>
      <w:r w:rsidR="0017721F" w:rsidRPr="00BD09CC">
        <w:rPr>
          <w:rFonts w:ascii="Garamond" w:hAnsi="Garamond"/>
          <w:sz w:val="24"/>
          <w:szCs w:val="24"/>
        </w:rPr>
        <w:t>n</w:t>
      </w:r>
      <w:r w:rsidR="00922E68" w:rsidRPr="00BD09CC">
        <w:rPr>
          <w:rFonts w:ascii="Garamond" w:hAnsi="Garamond"/>
          <w:sz w:val="24"/>
          <w:szCs w:val="24"/>
        </w:rPr>
        <w:t>ë</w:t>
      </w:r>
      <w:r w:rsidR="0017721F" w:rsidRPr="00BD09CC">
        <w:rPr>
          <w:rFonts w:ascii="Garamond" w:hAnsi="Garamond"/>
          <w:sz w:val="24"/>
          <w:szCs w:val="24"/>
        </w:rPr>
        <w:t xml:space="preserve"> sipas përmbajtjes bashkëlidhur këtij vendimi.</w:t>
      </w:r>
    </w:p>
    <w:p w14:paraId="0655E56F" w14:textId="17110F7A" w:rsidR="00E867AE"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2. </w:t>
      </w:r>
      <w:r w:rsidR="00E867AE" w:rsidRPr="00BD09CC">
        <w:rPr>
          <w:rFonts w:ascii="Garamond" w:hAnsi="Garamond"/>
          <w:sz w:val="24"/>
          <w:szCs w:val="24"/>
        </w:rPr>
        <w:t xml:space="preserve">Ngarkohen bankat e licencuara nga Banka e Shqipërisë, me zbatimin e këtij vendimi. </w:t>
      </w:r>
    </w:p>
    <w:p w14:paraId="10127FB5" w14:textId="048B7193" w:rsidR="00CE6062"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lastRenderedPageBreak/>
        <w:t xml:space="preserve">3. </w:t>
      </w:r>
      <w:r w:rsidR="00FF55D8" w:rsidRPr="00BD09CC">
        <w:rPr>
          <w:rFonts w:ascii="Garamond" w:hAnsi="Garamond"/>
          <w:sz w:val="24"/>
          <w:szCs w:val="24"/>
        </w:rPr>
        <w:t xml:space="preserve">Ngarkohet </w:t>
      </w:r>
      <w:r w:rsidR="00CE6062" w:rsidRPr="00BD09CC">
        <w:rPr>
          <w:rFonts w:ascii="Garamond" w:hAnsi="Garamond"/>
          <w:sz w:val="24"/>
          <w:szCs w:val="24"/>
        </w:rPr>
        <w:t>Departament</w:t>
      </w:r>
      <w:r w:rsidR="00323F13" w:rsidRPr="00BD09CC">
        <w:rPr>
          <w:rFonts w:ascii="Garamond" w:hAnsi="Garamond"/>
          <w:sz w:val="24"/>
          <w:szCs w:val="24"/>
        </w:rPr>
        <w:t>i</w:t>
      </w:r>
      <w:r w:rsidR="00CE6062" w:rsidRPr="00BD09CC">
        <w:rPr>
          <w:rFonts w:ascii="Garamond" w:hAnsi="Garamond"/>
          <w:sz w:val="24"/>
          <w:szCs w:val="24"/>
        </w:rPr>
        <w:t xml:space="preserve"> i Mbikëqyrjes </w:t>
      </w:r>
      <w:r w:rsidR="00C038C6" w:rsidRPr="00BD09CC">
        <w:rPr>
          <w:rFonts w:ascii="Garamond" w:hAnsi="Garamond"/>
          <w:sz w:val="24"/>
          <w:szCs w:val="24"/>
        </w:rPr>
        <w:t xml:space="preserve">dhe </w:t>
      </w:r>
      <w:r w:rsidR="00505449" w:rsidRPr="00BD09CC">
        <w:rPr>
          <w:rFonts w:ascii="Garamond" w:hAnsi="Garamond"/>
          <w:sz w:val="24"/>
          <w:szCs w:val="24"/>
        </w:rPr>
        <w:t xml:space="preserve">Departamenti i </w:t>
      </w:r>
      <w:r w:rsidR="00C038C6" w:rsidRPr="00BD09CC">
        <w:rPr>
          <w:rFonts w:ascii="Garamond" w:hAnsi="Garamond"/>
          <w:sz w:val="24"/>
          <w:szCs w:val="24"/>
        </w:rPr>
        <w:t>Statistikave Financiare</w:t>
      </w:r>
      <w:r w:rsidR="00E61BFE" w:rsidRPr="00BD09CC">
        <w:rPr>
          <w:rFonts w:ascii="Garamond" w:hAnsi="Garamond"/>
          <w:sz w:val="24"/>
          <w:szCs w:val="24"/>
        </w:rPr>
        <w:t>,</w:t>
      </w:r>
      <w:r w:rsidR="00C038C6" w:rsidRPr="00BD09CC">
        <w:rPr>
          <w:rFonts w:ascii="Garamond" w:hAnsi="Garamond"/>
          <w:sz w:val="24"/>
          <w:szCs w:val="24"/>
        </w:rPr>
        <w:t xml:space="preserve"> </w:t>
      </w:r>
      <w:r w:rsidR="00E867AE" w:rsidRPr="00BD09CC">
        <w:rPr>
          <w:rFonts w:ascii="Garamond" w:hAnsi="Garamond"/>
          <w:sz w:val="24"/>
          <w:szCs w:val="24"/>
        </w:rPr>
        <w:t>për</w:t>
      </w:r>
      <w:r w:rsidR="00CE6062" w:rsidRPr="00BD09CC">
        <w:rPr>
          <w:rFonts w:ascii="Garamond" w:hAnsi="Garamond"/>
          <w:sz w:val="24"/>
          <w:szCs w:val="24"/>
        </w:rPr>
        <w:t xml:space="preserve"> ndjekjen e zbatimit të këtij vendimi.</w:t>
      </w:r>
    </w:p>
    <w:p w14:paraId="67593BED" w14:textId="7490B4FE" w:rsidR="0099553B"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4. </w:t>
      </w:r>
      <w:r w:rsidR="0099553B" w:rsidRPr="00BD09CC">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7BF09F74" w14:textId="531344FF" w:rsidR="00907EC1" w:rsidRPr="00BD09CC" w:rsidRDefault="00907EC1"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Ky vendim hyn në fuqi </w:t>
      </w:r>
      <w:r w:rsidR="00A612D6">
        <w:rPr>
          <w:rFonts w:ascii="Garamond" w:hAnsi="Garamond"/>
          <w:sz w:val="24"/>
          <w:szCs w:val="24"/>
        </w:rPr>
        <w:t>m</w:t>
      </w:r>
      <w:r w:rsidR="00340F7B" w:rsidRPr="00BD09CC">
        <w:rPr>
          <w:rFonts w:ascii="Garamond" w:hAnsi="Garamond"/>
          <w:sz w:val="24"/>
          <w:szCs w:val="24"/>
        </w:rPr>
        <w:t xml:space="preserve">ë 1 </w:t>
      </w:r>
      <w:r w:rsidR="007A35A0" w:rsidRPr="00BD09CC">
        <w:rPr>
          <w:rFonts w:ascii="Garamond" w:hAnsi="Garamond"/>
          <w:sz w:val="24"/>
          <w:szCs w:val="24"/>
        </w:rPr>
        <w:t xml:space="preserve">qershor </w:t>
      </w:r>
      <w:r w:rsidR="00340F7B" w:rsidRPr="00BD09CC">
        <w:rPr>
          <w:rFonts w:ascii="Garamond" w:hAnsi="Garamond"/>
          <w:sz w:val="24"/>
          <w:szCs w:val="24"/>
        </w:rPr>
        <w:t>2021</w:t>
      </w:r>
      <w:r w:rsidR="00337FA6" w:rsidRPr="00BD09CC">
        <w:rPr>
          <w:rFonts w:ascii="Garamond" w:hAnsi="Garamond"/>
          <w:sz w:val="24"/>
          <w:szCs w:val="24"/>
        </w:rPr>
        <w:t xml:space="preserve"> dhe botohet në Fletoren Zyrtare</w:t>
      </w:r>
      <w:r w:rsidRPr="00BD09CC">
        <w:rPr>
          <w:rFonts w:ascii="Garamond" w:hAnsi="Garamond"/>
          <w:sz w:val="24"/>
          <w:szCs w:val="24"/>
        </w:rPr>
        <w:t xml:space="preserve">. </w:t>
      </w:r>
    </w:p>
    <w:p w14:paraId="6E7C74FF" w14:textId="77777777" w:rsidR="00F0330D" w:rsidRPr="00BD09CC" w:rsidRDefault="00F0330D" w:rsidP="00E23659">
      <w:pPr>
        <w:spacing w:after="0" w:line="240" w:lineRule="auto"/>
        <w:ind w:firstLine="284"/>
        <w:jc w:val="both"/>
        <w:rPr>
          <w:rFonts w:ascii="Garamond" w:hAnsi="Garamond"/>
          <w:sz w:val="24"/>
          <w:szCs w:val="24"/>
        </w:rPr>
      </w:pPr>
    </w:p>
    <w:p w14:paraId="592229B0" w14:textId="254ADB42" w:rsidR="00F166A9" w:rsidRPr="00BD09CC" w:rsidRDefault="00F0330D" w:rsidP="00F0330D">
      <w:pPr>
        <w:spacing w:after="0" w:line="240" w:lineRule="auto"/>
        <w:ind w:firstLine="284"/>
        <w:jc w:val="right"/>
        <w:rPr>
          <w:rFonts w:ascii="Garamond" w:hAnsi="Garamond" w:cs="Times New Roman"/>
          <w:sz w:val="24"/>
          <w:szCs w:val="24"/>
        </w:rPr>
      </w:pPr>
      <w:r w:rsidRPr="00BD09CC">
        <w:rPr>
          <w:rFonts w:ascii="Garamond" w:hAnsi="Garamond" w:cs="Times New Roman"/>
          <w:sz w:val="24"/>
          <w:szCs w:val="24"/>
        </w:rPr>
        <w:t>KRYETAR</w:t>
      </w:r>
    </w:p>
    <w:p w14:paraId="07120CBC" w14:textId="5714F322" w:rsidR="00F0330D" w:rsidRPr="00BD09CC" w:rsidRDefault="00F0330D" w:rsidP="00F0330D">
      <w:pPr>
        <w:spacing w:after="0" w:line="240" w:lineRule="auto"/>
        <w:ind w:firstLine="284"/>
        <w:jc w:val="right"/>
        <w:rPr>
          <w:rFonts w:ascii="Garamond" w:hAnsi="Garamond"/>
          <w:b/>
          <w:sz w:val="24"/>
          <w:szCs w:val="24"/>
          <w:highlight w:val="green"/>
        </w:rPr>
      </w:pPr>
      <w:r w:rsidRPr="00BD09CC">
        <w:rPr>
          <w:rFonts w:ascii="Garamond" w:hAnsi="Garamond" w:cs="Times New Roman"/>
          <w:b/>
          <w:bCs/>
          <w:sz w:val="24"/>
          <w:szCs w:val="24"/>
        </w:rPr>
        <w:t>Gent Sejko</w:t>
      </w:r>
    </w:p>
    <w:p w14:paraId="53EC1473" w14:textId="77777777" w:rsidR="003E384D" w:rsidRPr="00BD09CC" w:rsidRDefault="003E384D" w:rsidP="00C7487C">
      <w:pPr>
        <w:spacing w:after="0" w:line="240" w:lineRule="auto"/>
        <w:jc w:val="right"/>
        <w:rPr>
          <w:rFonts w:ascii="Times New Roman" w:eastAsia="MS Mincho" w:hAnsi="Times New Roman" w:cs="Times New Roman"/>
          <w:sz w:val="24"/>
          <w:szCs w:val="24"/>
          <w:highlight w:val="green"/>
          <w:lang w:eastAsia="hr-HR"/>
        </w:rPr>
      </w:pPr>
    </w:p>
    <w:p w14:paraId="73E55351" w14:textId="4A38E582" w:rsidR="00907EC1" w:rsidRPr="00A612D6" w:rsidRDefault="00A612D6" w:rsidP="00A612D6">
      <w:pPr>
        <w:spacing w:after="0" w:line="240" w:lineRule="auto"/>
        <w:ind w:firstLine="284"/>
        <w:jc w:val="center"/>
        <w:rPr>
          <w:rFonts w:ascii="Garamond" w:hAnsi="Garamond"/>
          <w:sz w:val="24"/>
          <w:szCs w:val="24"/>
        </w:rPr>
      </w:pPr>
      <w:r w:rsidRPr="00A612D6">
        <w:rPr>
          <w:rFonts w:ascii="Garamond" w:hAnsi="Garamond"/>
          <w:sz w:val="24"/>
          <w:szCs w:val="24"/>
        </w:rPr>
        <w:t>ANEKS 1</w:t>
      </w:r>
    </w:p>
    <w:p w14:paraId="66E80A2A" w14:textId="540984C5" w:rsidR="00907EC1" w:rsidRPr="00A612D6" w:rsidRDefault="00A612D6" w:rsidP="002160A4">
      <w:pPr>
        <w:spacing w:after="0" w:line="240" w:lineRule="auto"/>
        <w:ind w:firstLine="284"/>
        <w:jc w:val="center"/>
        <w:rPr>
          <w:rFonts w:ascii="Garamond" w:hAnsi="Garamond"/>
          <w:sz w:val="24"/>
          <w:szCs w:val="24"/>
        </w:rPr>
      </w:pPr>
      <w:r w:rsidRPr="00A612D6">
        <w:rPr>
          <w:rFonts w:ascii="Garamond" w:hAnsi="Garamond"/>
          <w:sz w:val="24"/>
          <w:szCs w:val="24"/>
        </w:rPr>
        <w:t>TRAJTIMI I EKSPOZIMEVE NDAJ SKEMAVE</w:t>
      </w:r>
    </w:p>
    <w:p w14:paraId="1BD3E3AF" w14:textId="77777777" w:rsidR="002160A4" w:rsidRPr="00BD09CC" w:rsidRDefault="002160A4" w:rsidP="002160A4">
      <w:pPr>
        <w:spacing w:after="0" w:line="240" w:lineRule="auto"/>
        <w:ind w:firstLine="284"/>
        <w:jc w:val="both"/>
        <w:rPr>
          <w:rFonts w:ascii="Garamond" w:hAnsi="Garamond"/>
          <w:sz w:val="24"/>
          <w:szCs w:val="24"/>
        </w:rPr>
      </w:pPr>
    </w:p>
    <w:p w14:paraId="5CFD5A42" w14:textId="2AD269E5"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 </w:t>
      </w:r>
      <w:r w:rsidR="00907EC1" w:rsidRPr="00BD09CC">
        <w:rPr>
          <w:rFonts w:ascii="Garamond" w:hAnsi="Garamond"/>
          <w:sz w:val="24"/>
          <w:szCs w:val="24"/>
        </w:rPr>
        <w:t xml:space="preserve">Bankat i trajtojnë ekspozimet ndaj skemave duke konsideruar/vlerësuar ekspozimin ndaj skemës si një të tërë, ndaj aktiveve/ekspozimeve bazë </w:t>
      </w:r>
      <w:r w:rsidR="00907EC1" w:rsidRPr="00A612D6">
        <w:rPr>
          <w:rFonts w:ascii="Garamond" w:hAnsi="Garamond"/>
          <w:i/>
          <w:sz w:val="24"/>
          <w:szCs w:val="24"/>
        </w:rPr>
        <w:t>(underlying exposures)</w:t>
      </w:r>
      <w:r w:rsidR="00907EC1" w:rsidRPr="00BD09CC">
        <w:rPr>
          <w:rFonts w:ascii="Garamond" w:hAnsi="Garamond"/>
          <w:sz w:val="24"/>
          <w:szCs w:val="24"/>
        </w:rPr>
        <w:t xml:space="preserve"> të skemës ose të dyja së bashku (skemën dhe ekspozimet bazë).</w:t>
      </w:r>
    </w:p>
    <w:p w14:paraId="07D1AB7B" w14:textId="3E0365F0"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2. </w:t>
      </w:r>
      <w:r w:rsidR="00907EC1" w:rsidRPr="00BD09CC">
        <w:rPr>
          <w:rFonts w:ascii="Garamond" w:hAnsi="Garamond"/>
          <w:sz w:val="24"/>
          <w:szCs w:val="24"/>
        </w:rPr>
        <w:t>Bankat, nëse identifikojnë ekspozimet bazë individuale në një skemë, monitorojnë rregullisht dhe të paktën në baza mujore, strukturën e ekspozimeve të skemës përkatëse.</w:t>
      </w:r>
    </w:p>
    <w:p w14:paraId="16DCA41F" w14:textId="77777777" w:rsidR="00907EC1" w:rsidRPr="008B7F6E" w:rsidRDefault="00907EC1" w:rsidP="002160A4">
      <w:pPr>
        <w:spacing w:after="0" w:line="240" w:lineRule="auto"/>
        <w:ind w:firstLine="284"/>
        <w:jc w:val="both"/>
        <w:rPr>
          <w:rFonts w:ascii="Garamond" w:hAnsi="Garamond"/>
          <w:sz w:val="24"/>
          <w:szCs w:val="24"/>
        </w:rPr>
      </w:pPr>
      <w:r w:rsidRPr="008B7F6E">
        <w:rPr>
          <w:rFonts w:ascii="Garamond" w:hAnsi="Garamond"/>
          <w:sz w:val="24"/>
          <w:szCs w:val="24"/>
          <w:highlight w:val="lightGray"/>
        </w:rPr>
        <w:t>Përcaktimi i kundërpartive përkatëse që do të merren në konsideratë</w:t>
      </w:r>
    </w:p>
    <w:p w14:paraId="3C156F73" w14:textId="236A790A"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3. </w:t>
      </w:r>
      <w:r w:rsidR="00907EC1" w:rsidRPr="00BD09CC">
        <w:rPr>
          <w:rFonts w:ascii="Garamond" w:hAnsi="Garamond"/>
          <w:sz w:val="24"/>
          <w:szCs w:val="24"/>
        </w:rPr>
        <w:t xml:space="preserve">Banka </w:t>
      </w:r>
      <w:r w:rsidR="00D73693" w:rsidRPr="00BD09CC">
        <w:rPr>
          <w:rFonts w:ascii="Garamond" w:hAnsi="Garamond"/>
          <w:sz w:val="24"/>
          <w:szCs w:val="24"/>
        </w:rPr>
        <w:t xml:space="preserve">e </w:t>
      </w:r>
      <w:r w:rsidR="00907EC1" w:rsidRPr="00BD09CC">
        <w:rPr>
          <w:rFonts w:ascii="Garamond" w:hAnsi="Garamond"/>
          <w:sz w:val="24"/>
          <w:szCs w:val="24"/>
        </w:rPr>
        <w:t>cakton shumën e ekspozimit ndaj vetë skemës, të cilën e identifikon si një kundërparti të veçantë, nëse vërteton se shuma e ekspozimit të bankës ndaj çdo aktivi bazë të skemës është më e vogël se 0.25% e kapitalit rregullator të bankës, duke konsideruar vetëm ato ekspozime ndaj aktiveve bazë që rezultojnë nga investimi në vetë skemën dhe duke përdorur vlerën e ekspozimit të llogaritur sipas paragrafëve 8 dhe 9</w:t>
      </w:r>
      <w:r w:rsidR="00907EC1" w:rsidRPr="005409BF">
        <w:rPr>
          <w:rFonts w:ascii="Garamond" w:hAnsi="Garamond"/>
          <w:sz w:val="24"/>
          <w:szCs w:val="24"/>
          <w:vertAlign w:val="superscript"/>
        </w:rPr>
        <w:footnoteReference w:id="3"/>
      </w:r>
      <w:r w:rsidR="00907EC1" w:rsidRPr="00BD09CC">
        <w:rPr>
          <w:rFonts w:ascii="Garamond" w:hAnsi="Garamond"/>
          <w:sz w:val="24"/>
          <w:szCs w:val="24"/>
        </w:rPr>
        <w:t xml:space="preserve"> të këtij aneksi. Në këtë rast, nuk është e nevojshme që banka të analizojë skemën nëpërmjet metodës </w:t>
      </w:r>
      <w:r w:rsidR="00907EC1" w:rsidRPr="00A612D6">
        <w:rPr>
          <w:rFonts w:ascii="Garamond" w:hAnsi="Garamond"/>
          <w:i/>
          <w:sz w:val="24"/>
          <w:szCs w:val="24"/>
        </w:rPr>
        <w:t>look through</w:t>
      </w:r>
      <w:r w:rsidR="00907EC1" w:rsidRPr="00BD09CC">
        <w:rPr>
          <w:rFonts w:ascii="Garamond" w:hAnsi="Garamond"/>
          <w:sz w:val="24"/>
          <w:szCs w:val="24"/>
        </w:rPr>
        <w:t xml:space="preserve"> për të identifikuar aktivet bazë.</w:t>
      </w:r>
    </w:p>
    <w:p w14:paraId="396AEFF0" w14:textId="0E16E494"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4. </w:t>
      </w:r>
      <w:r w:rsidR="00907EC1" w:rsidRPr="00BD09CC">
        <w:rPr>
          <w:rFonts w:ascii="Garamond" w:hAnsi="Garamond"/>
          <w:sz w:val="24"/>
          <w:szCs w:val="24"/>
        </w:rPr>
        <w:t xml:space="preserve">Banka analizon skemën nëpërmjet metodës </w:t>
      </w:r>
      <w:r w:rsidR="00907EC1" w:rsidRPr="00A612D6">
        <w:rPr>
          <w:rFonts w:ascii="Garamond" w:hAnsi="Garamond"/>
          <w:i/>
          <w:sz w:val="24"/>
          <w:szCs w:val="24"/>
        </w:rPr>
        <w:t>look through</w:t>
      </w:r>
      <w:r w:rsidR="00907EC1" w:rsidRPr="00BD09CC">
        <w:rPr>
          <w:rFonts w:ascii="Garamond" w:hAnsi="Garamond"/>
          <w:sz w:val="24"/>
          <w:szCs w:val="24"/>
        </w:rPr>
        <w:t xml:space="preserve">, për të identifikuar ato aktive bazë, për të cilat vlera e ekspozimit bazë është e barabartë ose më e lartë se 0.25% e kapitalit rregullator të bankës. Në këtë rast, identifikohet kundërpartia që </w:t>
      </w:r>
      <w:r w:rsidR="00E1559B" w:rsidRPr="00BD09CC">
        <w:rPr>
          <w:rFonts w:ascii="Garamond" w:hAnsi="Garamond"/>
          <w:sz w:val="24"/>
          <w:szCs w:val="24"/>
        </w:rPr>
        <w:t xml:space="preserve">i </w:t>
      </w:r>
      <w:r w:rsidR="00907EC1" w:rsidRPr="00BD09CC">
        <w:rPr>
          <w:rFonts w:ascii="Garamond" w:hAnsi="Garamond"/>
          <w:sz w:val="24"/>
          <w:szCs w:val="24"/>
        </w:rPr>
        <w:t>korrespondon secili</w:t>
      </w:r>
      <w:r w:rsidR="00E1559B" w:rsidRPr="00BD09CC">
        <w:rPr>
          <w:rFonts w:ascii="Garamond" w:hAnsi="Garamond"/>
          <w:sz w:val="24"/>
          <w:szCs w:val="24"/>
        </w:rPr>
        <w:t>t</w:t>
      </w:r>
      <w:r w:rsidR="00907EC1" w:rsidRPr="00BD09CC">
        <w:rPr>
          <w:rFonts w:ascii="Garamond" w:hAnsi="Garamond"/>
          <w:sz w:val="24"/>
          <w:szCs w:val="24"/>
        </w:rPr>
        <w:t xml:space="preserve"> nga aktivet bazë, në mënyrë që këto ekspozime bazë t’i shtohen çdo ekspozimi tjetër të drejtpërdrejtë ose të tërthortë ndaj së njëjtës kundërparti</w:t>
      </w:r>
      <w:r w:rsidR="007A35A0" w:rsidRPr="00BD09CC">
        <w:rPr>
          <w:rFonts w:ascii="Garamond" w:hAnsi="Garamond"/>
          <w:sz w:val="24"/>
          <w:szCs w:val="24"/>
        </w:rPr>
        <w:t>e</w:t>
      </w:r>
      <w:r w:rsidR="00907EC1" w:rsidRPr="00BD09CC">
        <w:rPr>
          <w:rFonts w:ascii="Garamond" w:hAnsi="Garamond"/>
          <w:sz w:val="24"/>
          <w:szCs w:val="24"/>
        </w:rPr>
        <w:t>. Vlera e ekspozimit të bankës ndaj aktiveve bazë që janë nën 0.25% të kapitalit rregullator të bankës, mund t</w:t>
      </w:r>
      <w:r w:rsidR="005409BF">
        <w:rPr>
          <w:rFonts w:ascii="Garamond" w:hAnsi="Garamond"/>
          <w:sz w:val="24"/>
          <w:szCs w:val="24"/>
        </w:rPr>
        <w:t>’</w:t>
      </w:r>
      <w:r w:rsidR="00907EC1" w:rsidRPr="00BD09CC">
        <w:rPr>
          <w:rFonts w:ascii="Garamond" w:hAnsi="Garamond"/>
          <w:sz w:val="24"/>
          <w:szCs w:val="24"/>
        </w:rPr>
        <w:t xml:space="preserve">i caktohet vetë skemës (pra banka mund të bëjë një analizë </w:t>
      </w:r>
      <w:r w:rsidR="00907EC1" w:rsidRPr="005409BF">
        <w:rPr>
          <w:rFonts w:ascii="Garamond" w:hAnsi="Garamond"/>
          <w:i/>
          <w:sz w:val="24"/>
          <w:szCs w:val="24"/>
        </w:rPr>
        <w:t>(look through)</w:t>
      </w:r>
      <w:r w:rsidR="00907EC1" w:rsidRPr="00BD09CC">
        <w:rPr>
          <w:rFonts w:ascii="Garamond" w:hAnsi="Garamond"/>
          <w:sz w:val="24"/>
          <w:szCs w:val="24"/>
        </w:rPr>
        <w:t xml:space="preserve"> të pjesshme). </w:t>
      </w:r>
    </w:p>
    <w:p w14:paraId="12D6B69D" w14:textId="4CCFF255"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5. </w:t>
      </w:r>
      <w:r w:rsidR="00907EC1" w:rsidRPr="00BD09CC">
        <w:rPr>
          <w:rFonts w:ascii="Garamond" w:hAnsi="Garamond"/>
          <w:sz w:val="24"/>
          <w:szCs w:val="24"/>
        </w:rPr>
        <w:t xml:space="preserve">Nëse banka nuk është në gjendje të identifikojë aktivet bazë të një skeme, kur shuma totale e ekspozimit të saj </w:t>
      </w:r>
      <w:r w:rsidR="000E661C" w:rsidRPr="00BD09CC">
        <w:rPr>
          <w:rFonts w:ascii="Garamond" w:hAnsi="Garamond"/>
          <w:sz w:val="24"/>
          <w:szCs w:val="24"/>
        </w:rPr>
        <w:t xml:space="preserve">ndaj skemës </w:t>
      </w:r>
      <w:r w:rsidR="00907EC1" w:rsidRPr="00BD09CC">
        <w:rPr>
          <w:rFonts w:ascii="Garamond" w:hAnsi="Garamond"/>
          <w:sz w:val="24"/>
          <w:szCs w:val="24"/>
        </w:rPr>
        <w:t xml:space="preserve">nuk tejkalon 0.25% të kapitalit rregullator, banka ia cakton shumën totale të ekspozimit të investimit të saj vetë skemës. Në rast të kundërt, banka ia cakton këtë shumë totale të ekspozimit një personi </w:t>
      </w:r>
      <w:r w:rsidR="001D22EC">
        <w:rPr>
          <w:rFonts w:ascii="Garamond" w:hAnsi="Garamond"/>
          <w:sz w:val="24"/>
          <w:szCs w:val="24"/>
        </w:rPr>
        <w:t>“</w:t>
      </w:r>
      <w:r w:rsidR="00907EC1" w:rsidRPr="00BD09CC">
        <w:rPr>
          <w:rFonts w:ascii="Garamond" w:hAnsi="Garamond"/>
          <w:sz w:val="24"/>
          <w:szCs w:val="24"/>
        </w:rPr>
        <w:t>të paidentifikuar</w:t>
      </w:r>
      <w:r w:rsidR="001D22EC">
        <w:rPr>
          <w:rFonts w:ascii="Garamond" w:hAnsi="Garamond"/>
          <w:sz w:val="24"/>
          <w:szCs w:val="24"/>
        </w:rPr>
        <w:t>”</w:t>
      </w:r>
      <w:r w:rsidR="00907EC1" w:rsidRPr="00BD09CC">
        <w:rPr>
          <w:rFonts w:ascii="Garamond" w:hAnsi="Garamond"/>
          <w:sz w:val="24"/>
          <w:szCs w:val="24"/>
        </w:rPr>
        <w:t xml:space="preserve">. </w:t>
      </w:r>
    </w:p>
    <w:p w14:paraId="52287116" w14:textId="55A70B1C"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Banka agregon të gjitha ekspozimet e paidentifikuara sikur të lidheshin me një kundërparti të vetme (person </w:t>
      </w:r>
      <w:r w:rsidR="001D22EC">
        <w:rPr>
          <w:rFonts w:ascii="Garamond" w:hAnsi="Garamond"/>
          <w:sz w:val="24"/>
          <w:szCs w:val="24"/>
        </w:rPr>
        <w:t>“</w:t>
      </w:r>
      <w:r w:rsidRPr="00BD09CC">
        <w:rPr>
          <w:rFonts w:ascii="Garamond" w:hAnsi="Garamond"/>
          <w:sz w:val="24"/>
          <w:szCs w:val="24"/>
        </w:rPr>
        <w:t>i paidentifikuar</w:t>
      </w:r>
      <w:r w:rsidR="001D22EC">
        <w:rPr>
          <w:rFonts w:ascii="Garamond" w:hAnsi="Garamond"/>
          <w:sz w:val="24"/>
          <w:szCs w:val="24"/>
        </w:rPr>
        <w:t>”</w:t>
      </w:r>
      <w:r w:rsidRPr="00BD09CC">
        <w:rPr>
          <w:rFonts w:ascii="Garamond" w:hAnsi="Garamond"/>
          <w:sz w:val="24"/>
          <w:szCs w:val="24"/>
        </w:rPr>
        <w:t xml:space="preserve">) dhe ekspozimi i bankës ndaj këtij personi </w:t>
      </w:r>
      <w:r w:rsidR="001D22EC">
        <w:rPr>
          <w:rFonts w:ascii="Garamond" w:hAnsi="Garamond"/>
          <w:sz w:val="24"/>
          <w:szCs w:val="24"/>
        </w:rPr>
        <w:t>“</w:t>
      </w:r>
      <w:r w:rsidRPr="00BD09CC">
        <w:rPr>
          <w:rFonts w:ascii="Garamond" w:hAnsi="Garamond"/>
          <w:sz w:val="24"/>
          <w:szCs w:val="24"/>
        </w:rPr>
        <w:t>të paidentifikuar</w:t>
      </w:r>
      <w:r w:rsidR="001D22EC">
        <w:rPr>
          <w:rFonts w:ascii="Garamond" w:hAnsi="Garamond"/>
          <w:sz w:val="24"/>
          <w:szCs w:val="24"/>
        </w:rPr>
        <w:t>”</w:t>
      </w:r>
      <w:r w:rsidRPr="00BD09CC">
        <w:rPr>
          <w:rFonts w:ascii="Garamond" w:hAnsi="Garamond"/>
          <w:sz w:val="24"/>
          <w:szCs w:val="24"/>
        </w:rPr>
        <w:t xml:space="preserve"> nuk tejkalon kufirin e lejueshëm të ekspozimit të madh prej 20% të kapitalit rregullator.</w:t>
      </w:r>
    </w:p>
    <w:p w14:paraId="03CF6EDF" w14:textId="28796FF4"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6. </w:t>
      </w:r>
      <w:r w:rsidR="00907EC1" w:rsidRPr="00BD09CC">
        <w:rPr>
          <w:rFonts w:ascii="Garamond" w:hAnsi="Garamond"/>
          <w:sz w:val="24"/>
          <w:szCs w:val="24"/>
        </w:rPr>
        <w:t>Bankat</w:t>
      </w:r>
      <w:r w:rsidR="007A35A0" w:rsidRPr="00BD09CC">
        <w:rPr>
          <w:rFonts w:ascii="Garamond" w:hAnsi="Garamond"/>
          <w:sz w:val="24"/>
          <w:szCs w:val="24"/>
        </w:rPr>
        <w:t>,</w:t>
      </w:r>
      <w:r w:rsidR="00907EC1" w:rsidRPr="00BD09CC">
        <w:rPr>
          <w:rFonts w:ascii="Garamond" w:hAnsi="Garamond"/>
          <w:sz w:val="24"/>
          <w:szCs w:val="24"/>
        </w:rPr>
        <w:t xml:space="preserve"> në asnjë rast</w:t>
      </w:r>
      <w:r w:rsidR="007A35A0" w:rsidRPr="00BD09CC">
        <w:rPr>
          <w:rFonts w:ascii="Garamond" w:hAnsi="Garamond"/>
          <w:sz w:val="24"/>
          <w:szCs w:val="24"/>
        </w:rPr>
        <w:t>,</w:t>
      </w:r>
      <w:r w:rsidR="00907EC1" w:rsidRPr="00BD09CC">
        <w:rPr>
          <w:rFonts w:ascii="Garamond" w:hAnsi="Garamond"/>
          <w:sz w:val="24"/>
          <w:szCs w:val="24"/>
        </w:rPr>
        <w:t xml:space="preserve"> nuk mund të abuzojnë me zgjedhjen e mënyrës për trajtimin e ekspozimeve, me qëllim që të shmangin respektimin e</w:t>
      </w:r>
      <w:r w:rsidR="00E1559B" w:rsidRPr="00BD09CC">
        <w:rPr>
          <w:rFonts w:ascii="Garamond" w:hAnsi="Garamond"/>
          <w:sz w:val="24"/>
          <w:szCs w:val="24"/>
        </w:rPr>
        <w:t xml:space="preserve"> </w:t>
      </w:r>
      <w:r w:rsidR="00907EC1" w:rsidRPr="00BD09CC">
        <w:rPr>
          <w:rFonts w:ascii="Garamond" w:hAnsi="Garamond"/>
          <w:sz w:val="24"/>
          <w:szCs w:val="24"/>
        </w:rPr>
        <w:t>kufijve për ekspozimin maksimal të lejueshëm, duke investuar në disa transaksione individuale jomateriale në aktive bazë identike, si dhe</w:t>
      </w:r>
      <w:r w:rsidR="007A35A0" w:rsidRPr="00BD09CC">
        <w:rPr>
          <w:rFonts w:ascii="Garamond" w:hAnsi="Garamond"/>
          <w:sz w:val="24"/>
          <w:szCs w:val="24"/>
        </w:rPr>
        <w:t>,</w:t>
      </w:r>
      <w:r w:rsidR="00907EC1" w:rsidRPr="00BD09CC">
        <w:rPr>
          <w:rFonts w:ascii="Garamond" w:hAnsi="Garamond"/>
          <w:sz w:val="24"/>
          <w:szCs w:val="24"/>
        </w:rPr>
        <w:t xml:space="preserve"> në çdo rast</w:t>
      </w:r>
      <w:r w:rsidR="007A35A0" w:rsidRPr="00BD09CC">
        <w:rPr>
          <w:rFonts w:ascii="Garamond" w:hAnsi="Garamond"/>
          <w:sz w:val="24"/>
          <w:szCs w:val="24"/>
        </w:rPr>
        <w:t>,</w:t>
      </w:r>
      <w:r w:rsidR="00907EC1" w:rsidRPr="00BD09CC">
        <w:rPr>
          <w:rFonts w:ascii="Garamond" w:hAnsi="Garamond"/>
          <w:sz w:val="24"/>
          <w:szCs w:val="24"/>
        </w:rPr>
        <w:t xml:space="preserve"> vërtetojnë se vendimi për të zbatuar një prej trajtimeve të parashikuara në këtë </w:t>
      </w:r>
      <w:r w:rsidR="005409BF" w:rsidRPr="00BD09CC">
        <w:rPr>
          <w:rFonts w:ascii="Garamond" w:hAnsi="Garamond"/>
          <w:sz w:val="24"/>
          <w:szCs w:val="24"/>
        </w:rPr>
        <w:t xml:space="preserve">aneks </w:t>
      </w:r>
      <w:r w:rsidR="00907EC1" w:rsidRPr="00BD09CC">
        <w:rPr>
          <w:rFonts w:ascii="Garamond" w:hAnsi="Garamond"/>
          <w:sz w:val="24"/>
          <w:szCs w:val="24"/>
        </w:rPr>
        <w:t>është bërë në bazë të vlerësimit të natyrës ekonomike dhe rreziqeve që mbartin këto ekspozime/transaksione.</w:t>
      </w:r>
    </w:p>
    <w:p w14:paraId="1AC85866" w14:textId="77777777" w:rsidR="002160A4" w:rsidRPr="00BD09CC" w:rsidRDefault="002160A4" w:rsidP="002160A4">
      <w:pPr>
        <w:spacing w:after="0" w:line="240" w:lineRule="auto"/>
        <w:ind w:firstLine="284"/>
        <w:jc w:val="both"/>
        <w:rPr>
          <w:rFonts w:ascii="Garamond" w:hAnsi="Garamond"/>
          <w:sz w:val="24"/>
          <w:szCs w:val="24"/>
        </w:rPr>
      </w:pPr>
    </w:p>
    <w:p w14:paraId="12F3F236" w14:textId="12CAF41B" w:rsidR="002160A4" w:rsidRPr="00BD09CC" w:rsidRDefault="002160A4" w:rsidP="002160A4">
      <w:pPr>
        <w:spacing w:after="0" w:line="240" w:lineRule="auto"/>
        <w:ind w:firstLine="284"/>
        <w:jc w:val="both"/>
        <w:rPr>
          <w:rFonts w:ascii="Garamond" w:hAnsi="Garamond"/>
          <w:sz w:val="24"/>
          <w:szCs w:val="24"/>
        </w:rPr>
      </w:pPr>
      <w:r w:rsidRPr="00BD09CC">
        <w:rPr>
          <w:noProof/>
          <w:lang w:val="en-US"/>
        </w:rPr>
        <w:drawing>
          <wp:inline distT="0" distB="0" distL="0" distR="0" wp14:anchorId="11B2C9DA" wp14:editId="4705E61C">
            <wp:extent cx="5274945" cy="5374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945" cy="5374143"/>
                    </a:xfrm>
                    <a:prstGeom prst="rect">
                      <a:avLst/>
                    </a:prstGeom>
                    <a:noFill/>
                    <a:ln>
                      <a:noFill/>
                    </a:ln>
                  </pic:spPr>
                </pic:pic>
              </a:graphicData>
            </a:graphic>
          </wp:inline>
        </w:drawing>
      </w:r>
    </w:p>
    <w:p w14:paraId="4157A10D" w14:textId="77777777" w:rsidR="00A173D6" w:rsidRPr="00BD09CC" w:rsidRDefault="00A173D6" w:rsidP="002160A4">
      <w:pPr>
        <w:spacing w:after="0" w:line="240" w:lineRule="auto"/>
        <w:ind w:firstLine="284"/>
        <w:jc w:val="both"/>
        <w:rPr>
          <w:rFonts w:ascii="Garamond" w:hAnsi="Garamond"/>
          <w:sz w:val="24"/>
          <w:szCs w:val="24"/>
          <w:highlight w:val="lightGray"/>
        </w:rPr>
      </w:pPr>
    </w:p>
    <w:p w14:paraId="06D8178D" w14:textId="77777777"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highlight w:val="lightGray"/>
        </w:rPr>
        <w:t>Llogaritja e ekspozimeve bazë - shuma e ekspozimit të bankës ndaj aktiveve bazë</w:t>
      </w:r>
    </w:p>
    <w:p w14:paraId="0F9F9FE8" w14:textId="0A0B6F5D"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7.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nuk është e nevojshme, ekspozimi i bankës ndaj skemës është sa shuma nominale që banka investon në skemë.</w:t>
      </w:r>
    </w:p>
    <w:p w14:paraId="4610A768" w14:textId="7363D260"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Skemat ku të gjithë investitorët renditen në të njëjtën shkallë përparësie </w:t>
      </w:r>
      <w:r w:rsidRPr="005409BF">
        <w:rPr>
          <w:rFonts w:ascii="Garamond" w:hAnsi="Garamond"/>
          <w:i/>
          <w:sz w:val="24"/>
          <w:szCs w:val="24"/>
        </w:rPr>
        <w:t>pari passu</w:t>
      </w:r>
      <w:r w:rsidRPr="00BD09CC">
        <w:rPr>
          <w:rFonts w:ascii="Garamond" w:hAnsi="Garamond"/>
          <w:sz w:val="24"/>
          <w:szCs w:val="24"/>
        </w:rPr>
        <w:t xml:space="preserve"> (p.sh.</w:t>
      </w:r>
      <w:r w:rsidR="005409BF">
        <w:rPr>
          <w:rFonts w:ascii="Garamond" w:hAnsi="Garamond"/>
          <w:sz w:val="24"/>
          <w:szCs w:val="24"/>
        </w:rPr>
        <w:t>,</w:t>
      </w:r>
      <w:r w:rsidRPr="00BD09CC">
        <w:rPr>
          <w:rFonts w:ascii="Garamond" w:hAnsi="Garamond"/>
          <w:sz w:val="24"/>
          <w:szCs w:val="24"/>
        </w:rPr>
        <w:t xml:space="preserve"> Sipërmarrjet e Investimeve Kolektive (SIK))</w:t>
      </w:r>
    </w:p>
    <w:p w14:paraId="12D5A882" w14:textId="73BBF43C"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8.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xml:space="preserve">) është e nevojshme, në përputhje me paragrafët e mësipërm, vlera e ekspozimit ndaj një kundërpartie është e barabartë me përqindjen </w:t>
      </w:r>
      <w:r w:rsidR="00907EC1" w:rsidRPr="005409BF">
        <w:rPr>
          <w:rFonts w:ascii="Garamond" w:hAnsi="Garamond"/>
          <w:i/>
          <w:sz w:val="24"/>
          <w:szCs w:val="24"/>
        </w:rPr>
        <w:t>(pro rata)</w:t>
      </w:r>
      <w:r w:rsidR="00907EC1" w:rsidRPr="00BD09CC">
        <w:rPr>
          <w:rFonts w:ascii="Garamond" w:hAnsi="Garamond"/>
          <w:sz w:val="24"/>
          <w:szCs w:val="24"/>
        </w:rPr>
        <w:t xml:space="preserve"> që banka mban në skemë, e shumëzuar me vlerën e aktivit bazë në skemë. Kështu, një bankë që zotëron 1% të aksioneve të një skeme që investon në 20 aktive, secili me një vlerë prej 5 njësish, duhet të caktojë një ekspozim prej 0.05 për secilën nga kundërpartitë. Banka i shton vlerën e ekspozimit ndaj një kundërpartie, çdo ekspozimi tjetër të drejtpërdrejtë ose të tërthortë që banka ka ndaj asaj kundërpartie.</w:t>
      </w:r>
    </w:p>
    <w:p w14:paraId="1C6C9DF1" w14:textId="3CE01D35"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Skemat me nivele të ndryshme senioriteti (përparësi në shlyerje) midis investitorëve (p.sh.</w:t>
      </w:r>
      <w:r w:rsidR="005409BF">
        <w:rPr>
          <w:rFonts w:ascii="Garamond" w:hAnsi="Garamond"/>
          <w:sz w:val="24"/>
          <w:szCs w:val="24"/>
        </w:rPr>
        <w:t>,</w:t>
      </w:r>
      <w:r w:rsidRPr="00BD09CC">
        <w:rPr>
          <w:rFonts w:ascii="Garamond" w:hAnsi="Garamond"/>
          <w:sz w:val="24"/>
          <w:szCs w:val="24"/>
        </w:rPr>
        <w:t xml:space="preserve"> entitete titullzimi)</w:t>
      </w:r>
    </w:p>
    <w:p w14:paraId="634FDE8D" w14:textId="0C959D82"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9.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xml:space="preserve">) është e nevojshme, në përputhje me paragrafët e mësipërm, vlera e ekspozimit ndaj një kundërpartie matet për çdo segment </w:t>
      </w:r>
      <w:r w:rsidR="00907EC1" w:rsidRPr="005409BF">
        <w:rPr>
          <w:rFonts w:ascii="Garamond" w:hAnsi="Garamond"/>
          <w:i/>
          <w:sz w:val="24"/>
          <w:szCs w:val="24"/>
        </w:rPr>
        <w:t>(tranche)</w:t>
      </w:r>
      <w:r w:rsidR="00907EC1" w:rsidRPr="00BD09CC">
        <w:rPr>
          <w:rFonts w:ascii="Garamond" w:hAnsi="Garamond"/>
          <w:sz w:val="24"/>
          <w:szCs w:val="24"/>
        </w:rPr>
        <w:t xml:space="preserve"> brenda skemës, duke supozuar një shpërndarje proporcionale </w:t>
      </w:r>
      <w:r w:rsidR="00907EC1" w:rsidRPr="005409BF">
        <w:rPr>
          <w:rFonts w:ascii="Garamond" w:hAnsi="Garamond"/>
          <w:i/>
          <w:sz w:val="24"/>
          <w:szCs w:val="24"/>
        </w:rPr>
        <w:t xml:space="preserve">pro </w:t>
      </w:r>
      <w:r w:rsidR="00907EC1" w:rsidRPr="005409BF">
        <w:rPr>
          <w:rFonts w:ascii="Garamond" w:hAnsi="Garamond"/>
          <w:i/>
          <w:sz w:val="24"/>
          <w:szCs w:val="24"/>
        </w:rPr>
        <w:lastRenderedPageBreak/>
        <w:t>rata</w:t>
      </w:r>
      <w:r w:rsidR="00907EC1" w:rsidRPr="00BD09CC">
        <w:rPr>
          <w:rFonts w:ascii="Garamond" w:hAnsi="Garamond"/>
          <w:sz w:val="24"/>
          <w:szCs w:val="24"/>
        </w:rPr>
        <w:t xml:space="preserve"> të humbjeve midis investitorëve në një segment të vetëm. Për të llogaritur vlerën e ekspozimit ndaj aktivit bazë, banka:</w:t>
      </w:r>
    </w:p>
    <w:p w14:paraId="1883439A" w14:textId="4118DA73"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907EC1" w:rsidRPr="00BD09CC">
        <w:rPr>
          <w:rFonts w:ascii="Garamond" w:hAnsi="Garamond"/>
          <w:sz w:val="24"/>
          <w:szCs w:val="24"/>
        </w:rPr>
        <w:t xml:space="preserve">së pari, konsideron vlerën më të ulët midis vlerës së segmentit </w:t>
      </w:r>
      <w:r w:rsidR="00907EC1" w:rsidRPr="005409BF">
        <w:rPr>
          <w:rFonts w:ascii="Garamond" w:hAnsi="Garamond"/>
          <w:i/>
          <w:sz w:val="24"/>
          <w:szCs w:val="24"/>
        </w:rPr>
        <w:t>(tranche)</w:t>
      </w:r>
      <w:r w:rsidR="00907EC1" w:rsidRPr="00BD09CC">
        <w:rPr>
          <w:rFonts w:ascii="Garamond" w:hAnsi="Garamond"/>
          <w:sz w:val="24"/>
          <w:szCs w:val="24"/>
        </w:rPr>
        <w:t xml:space="preserve"> në të cilin banka investon dhe vlerës nominale të çdo aktivi bazë të përfshirë në portofolin bazë të aktiveve; dhe</w:t>
      </w:r>
    </w:p>
    <w:p w14:paraId="6D604D8E" w14:textId="3D8EF6BC"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907EC1" w:rsidRPr="00BD09CC">
        <w:rPr>
          <w:rFonts w:ascii="Garamond" w:hAnsi="Garamond"/>
          <w:sz w:val="24"/>
          <w:szCs w:val="24"/>
        </w:rPr>
        <w:t xml:space="preserve">së dyti, zbaton përqindjen </w:t>
      </w:r>
      <w:r w:rsidR="00907EC1" w:rsidRPr="005409BF">
        <w:rPr>
          <w:rFonts w:ascii="Garamond" w:hAnsi="Garamond"/>
          <w:i/>
          <w:sz w:val="24"/>
          <w:szCs w:val="24"/>
        </w:rPr>
        <w:t>(pro rata)</w:t>
      </w:r>
      <w:r w:rsidR="00907EC1" w:rsidRPr="00BD09CC">
        <w:rPr>
          <w:rFonts w:ascii="Garamond" w:hAnsi="Garamond"/>
          <w:sz w:val="24"/>
          <w:szCs w:val="24"/>
        </w:rPr>
        <w:t xml:space="preserve"> e investimit të bankës në segment, mbi vlerën e përcaktuar në hapin e mësipërm.</w:t>
      </w:r>
    </w:p>
    <w:p w14:paraId="01B430D9" w14:textId="77777777"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highlight w:val="lightGray"/>
        </w:rPr>
        <w:t>Identifikimi i rreziqeve shtesë</w:t>
      </w:r>
    </w:p>
    <w:p w14:paraId="605D9DC0" w14:textId="3DCA6D7B"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10. </w:t>
      </w:r>
      <w:r w:rsidR="00907EC1" w:rsidRPr="00BD09CC">
        <w:rPr>
          <w:rFonts w:ascii="Garamond" w:hAnsi="Garamond"/>
          <w:sz w:val="24"/>
          <w:szCs w:val="24"/>
        </w:rPr>
        <w:t>Banka identifikon palët e treta që mund të përbëjnë një faktor shtesë rreziku, të lidhur me vetë skemën, se</w:t>
      </w:r>
      <w:r w:rsidR="005409BF">
        <w:rPr>
          <w:rFonts w:ascii="Garamond" w:hAnsi="Garamond"/>
          <w:sz w:val="24"/>
          <w:szCs w:val="24"/>
        </w:rPr>
        <w:t xml:space="preserve"> </w:t>
      </w:r>
      <w:r w:rsidR="00907EC1" w:rsidRPr="00BD09CC">
        <w:rPr>
          <w:rFonts w:ascii="Garamond" w:hAnsi="Garamond"/>
          <w:sz w:val="24"/>
          <w:szCs w:val="24"/>
        </w:rPr>
        <w:t>sa me aktivet bazë. Kjo palë e tretë mund të jetë një faktor rreziku për më shumë se një skemë, në të cilën banka investon. Palët e treta mund të jenë në rolin e origjinuesit, administr</w:t>
      </w:r>
      <w:r w:rsidR="00460A53" w:rsidRPr="00BD09CC">
        <w:rPr>
          <w:rFonts w:ascii="Garamond" w:hAnsi="Garamond"/>
          <w:sz w:val="24"/>
          <w:szCs w:val="24"/>
        </w:rPr>
        <w:t>uesit</w:t>
      </w:r>
      <w:r w:rsidR="00907EC1" w:rsidRPr="00BD09CC">
        <w:rPr>
          <w:rFonts w:ascii="Garamond" w:hAnsi="Garamond"/>
          <w:sz w:val="24"/>
          <w:szCs w:val="24"/>
        </w:rPr>
        <w:t xml:space="preserve"> të fondit, ofruesit të likuiditetit dhe ofruesit të mbrojtjes së kredisë.</w:t>
      </w:r>
    </w:p>
    <w:p w14:paraId="09880BA9" w14:textId="356CCD4E"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11. </w:t>
      </w:r>
      <w:r w:rsidR="00907EC1" w:rsidRPr="00BD09CC">
        <w:rPr>
          <w:rFonts w:ascii="Garamond" w:hAnsi="Garamond"/>
          <w:sz w:val="24"/>
          <w:szCs w:val="24"/>
        </w:rPr>
        <w:t>Identifikimi i një faktori shtesë rreziku ka dy ndikime:</w:t>
      </w:r>
    </w:p>
    <w:p w14:paraId="3D425426" w14:textId="40AD9AA7"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045146" w:rsidRPr="00BD09CC">
        <w:rPr>
          <w:rFonts w:ascii="Garamond" w:hAnsi="Garamond"/>
          <w:sz w:val="24"/>
          <w:szCs w:val="24"/>
        </w:rPr>
        <w:t xml:space="preserve">së </w:t>
      </w:r>
      <w:r w:rsidR="00907EC1" w:rsidRPr="00BD09CC">
        <w:rPr>
          <w:rFonts w:ascii="Garamond" w:hAnsi="Garamond"/>
          <w:sz w:val="24"/>
          <w:szCs w:val="24"/>
        </w:rPr>
        <w:t>pari, banka duhet të lidhë investimet e saj në ato skema, me një faktor të përbashkët rreziku, për të formuar një grup të kundërpartive të lidhura. Në këtë rast, administruesi i fondeve do të konsiderohet si një kundërparti e veçantë, në mënyrë që shuma e investimeve të bankës në të gjitha fondet e administruara prej tij, të jetë subjekt i kufirit maksimal të lejueshëm të ekspozimeve të mëdha, ku vlera e ekspozimit do të jetë sa shuma e vlerave të investimeve të ndryshme. Por</w:t>
      </w:r>
      <w:r w:rsidR="0087161A" w:rsidRPr="00BD09CC">
        <w:rPr>
          <w:rFonts w:ascii="Garamond" w:hAnsi="Garamond"/>
          <w:sz w:val="24"/>
          <w:szCs w:val="24"/>
        </w:rPr>
        <w:t>,</w:t>
      </w:r>
      <w:r w:rsidR="00907EC1" w:rsidRPr="00BD09CC">
        <w:rPr>
          <w:rFonts w:ascii="Garamond" w:hAnsi="Garamond"/>
          <w:sz w:val="24"/>
          <w:szCs w:val="24"/>
        </w:rPr>
        <w:t xml:space="preserve"> në raste të tjera, administruesi mund të mos përbëjë një faktor shtesë rreziku - për shembull, nëse kuadri ligjor që parashikon rregullimin e fondeve të veçanta kërkon ndarje midis personit juridik që administron fondin dhe personit juridik që ka kujdestarinë e aktiveve të fondit.</w:t>
      </w:r>
    </w:p>
    <w:p w14:paraId="34A31D6E" w14:textId="16141FC9"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Në rastin e produkteve financiare të strukturuara, ofruesi i likuiditetit ose promotori i programeve afatshkurtra </w:t>
      </w:r>
      <w:r w:rsidRPr="00045146">
        <w:rPr>
          <w:rFonts w:ascii="Garamond" w:hAnsi="Garamond"/>
          <w:sz w:val="24"/>
          <w:szCs w:val="24"/>
        </w:rPr>
        <w:t>(programi</w:t>
      </w:r>
      <w:r w:rsidRPr="00045146">
        <w:rPr>
          <w:rFonts w:ascii="Garamond" w:hAnsi="Garamond"/>
          <w:i/>
          <w:sz w:val="24"/>
          <w:szCs w:val="24"/>
        </w:rPr>
        <w:t xml:space="preserve"> ABCP -</w:t>
      </w:r>
      <w:r w:rsidRPr="00BD09CC">
        <w:rPr>
          <w:rFonts w:ascii="Garamond" w:hAnsi="Garamond"/>
          <w:sz w:val="24"/>
          <w:szCs w:val="24"/>
        </w:rPr>
        <w:t xml:space="preserve"> </w:t>
      </w:r>
      <w:r w:rsidRPr="00045146">
        <w:rPr>
          <w:rFonts w:ascii="Garamond" w:hAnsi="Garamond"/>
          <w:i/>
          <w:sz w:val="24"/>
          <w:szCs w:val="24"/>
        </w:rPr>
        <w:t>asset-backed commercial paper</w:t>
      </w:r>
      <w:r w:rsidRPr="00BD09CC">
        <w:rPr>
          <w:rFonts w:ascii="Garamond" w:hAnsi="Garamond"/>
          <w:sz w:val="24"/>
          <w:szCs w:val="24"/>
        </w:rPr>
        <w:t xml:space="preserve"> dhe </w:t>
      </w:r>
      <w:r w:rsidRPr="00045146">
        <w:rPr>
          <w:rFonts w:ascii="Garamond" w:hAnsi="Garamond"/>
          <w:i/>
          <w:sz w:val="24"/>
          <w:szCs w:val="24"/>
        </w:rPr>
        <w:t>SIV - structured investment vehicles</w:t>
      </w:r>
      <w:r w:rsidRPr="00045146">
        <w:rPr>
          <w:rFonts w:ascii="Garamond" w:hAnsi="Garamond"/>
          <w:sz w:val="24"/>
          <w:szCs w:val="24"/>
        </w:rPr>
        <w:t xml:space="preserve">) </w:t>
      </w:r>
      <w:r w:rsidRPr="00BD09CC">
        <w:rPr>
          <w:rFonts w:ascii="Garamond" w:hAnsi="Garamond"/>
          <w:sz w:val="24"/>
          <w:szCs w:val="24"/>
        </w:rPr>
        <w:t>mund të konsiderohen si një faktor shtesë rreziku, ku vlera e ekspozimit është sa shuma e investuar. Në mënyrë të ngjashme, në marrëveshjet sintetike</w:t>
      </w:r>
      <w:r w:rsidRPr="00045146">
        <w:rPr>
          <w:rFonts w:ascii="Garamond" w:hAnsi="Garamond"/>
          <w:sz w:val="24"/>
          <w:szCs w:val="24"/>
          <w:vertAlign w:val="superscript"/>
        </w:rPr>
        <w:footnoteReference w:id="4"/>
      </w:r>
      <w:r w:rsidRPr="00BD09CC">
        <w:rPr>
          <w:rFonts w:ascii="Garamond" w:hAnsi="Garamond"/>
          <w:sz w:val="24"/>
          <w:szCs w:val="24"/>
        </w:rPr>
        <w:t>, ofruesit e mbrojtjes (shitësit e mbrojtjes me anë të garancisë/</w:t>
      </w:r>
      <w:r w:rsidRPr="00045146">
        <w:rPr>
          <w:rFonts w:ascii="Garamond" w:hAnsi="Garamond"/>
          <w:i/>
          <w:sz w:val="24"/>
          <w:szCs w:val="24"/>
        </w:rPr>
        <w:t>credit default swaps)</w:t>
      </w:r>
      <w:r w:rsidRPr="00BD09CC">
        <w:rPr>
          <w:rFonts w:ascii="Garamond" w:hAnsi="Garamond"/>
          <w:sz w:val="24"/>
          <w:szCs w:val="24"/>
        </w:rPr>
        <w:t xml:space="preserve"> mund të përbëjnë një burim shtesë rreziku dhe një faktor të përbashkët për ndërlidhjen e skemave të ndryshme (në këtë rast, vlera e ekspozimit do t’i korrespondonte vlerës në përqindje të portofolit bazë)</w:t>
      </w:r>
      <w:r w:rsidR="0087161A" w:rsidRPr="00BD09CC">
        <w:rPr>
          <w:rFonts w:ascii="Garamond" w:hAnsi="Garamond"/>
          <w:sz w:val="24"/>
          <w:szCs w:val="24"/>
        </w:rPr>
        <w:t>;</w:t>
      </w:r>
      <w:r w:rsidRPr="00BD09CC">
        <w:rPr>
          <w:rFonts w:ascii="Garamond" w:hAnsi="Garamond"/>
          <w:sz w:val="24"/>
          <w:szCs w:val="24"/>
        </w:rPr>
        <w:t xml:space="preserve"> </w:t>
      </w:r>
    </w:p>
    <w:p w14:paraId="341FC24F" w14:textId="088102C5"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87161A" w:rsidRPr="00BD09CC">
        <w:rPr>
          <w:rFonts w:ascii="Garamond" w:hAnsi="Garamond"/>
          <w:sz w:val="24"/>
          <w:szCs w:val="24"/>
        </w:rPr>
        <w:t xml:space="preserve">së </w:t>
      </w:r>
      <w:r w:rsidR="00907EC1" w:rsidRPr="00BD09CC">
        <w:rPr>
          <w:rFonts w:ascii="Garamond" w:hAnsi="Garamond"/>
          <w:sz w:val="24"/>
          <w:szCs w:val="24"/>
        </w:rPr>
        <w:t>dyti, banka mund të shtojë investimet e saj në një grup skemash të lidhura me një palë të tretë, që përbëjnë një faktor të përbashkët rreziku për ekspozimet e tjera (të tilla si kredia) që ka ndaj palës së tretë. Nëse ekspozimet ndaj skemave të tilla duhet t’i shtohen ose jo ndonjë ekspozimi tjetër ndaj palës së tretë, kjo do të varet nga shqyrtimi rast pas rasti i veçorive specifike të skemës dhe nga roli i palës së tretë. Në shembullin e administruesit të fondit, mund të mos jetë e nevojshme mbledhja e të gjitha ekspozimeve, sepse një sjellje potenciale spekulative nuk ndikon domosdoshmërisht në shlyerjen e një kredie. Vlerësimi mund të jetë i ndryshëm kur rreziku për vlerën e investimeve bazë të skemave lind në rastin e dështimit të një pale të tretë. Për shembull, në rastin e një ofruesi të mbrojtjes së kredisë, burimi i rrezikut shtesë për bankën që investon në një skemë, është dështimi i ofruesit të mbrojtjes së kredisë.</w:t>
      </w:r>
    </w:p>
    <w:p w14:paraId="416E1735" w14:textId="5F12DBCC"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Banka </w:t>
      </w:r>
      <w:r w:rsidR="00A67D03" w:rsidRPr="00BD09CC">
        <w:rPr>
          <w:rFonts w:ascii="Garamond" w:hAnsi="Garamond"/>
          <w:sz w:val="24"/>
          <w:szCs w:val="24"/>
        </w:rPr>
        <w:t xml:space="preserve">ia </w:t>
      </w:r>
      <w:r w:rsidRPr="00BD09CC">
        <w:rPr>
          <w:rFonts w:ascii="Garamond" w:hAnsi="Garamond"/>
          <w:sz w:val="24"/>
          <w:szCs w:val="24"/>
        </w:rPr>
        <w:t>shton investimin në skemë ekspozime</w:t>
      </w:r>
      <w:r w:rsidR="00A67D03" w:rsidRPr="00BD09CC">
        <w:rPr>
          <w:rFonts w:ascii="Garamond" w:hAnsi="Garamond"/>
          <w:sz w:val="24"/>
          <w:szCs w:val="24"/>
        </w:rPr>
        <w:t xml:space="preserve">ve të </w:t>
      </w:r>
      <w:r w:rsidRPr="00BD09CC">
        <w:rPr>
          <w:rFonts w:ascii="Garamond" w:hAnsi="Garamond"/>
          <w:sz w:val="24"/>
          <w:szCs w:val="24"/>
        </w:rPr>
        <w:t>drejtpërdrejta ndaj ofruesit të mbrojtjes së kredisë, pasi të dy</w:t>
      </w:r>
      <w:r w:rsidR="00045146">
        <w:rPr>
          <w:rFonts w:ascii="Garamond" w:hAnsi="Garamond"/>
          <w:sz w:val="24"/>
          <w:szCs w:val="24"/>
        </w:rPr>
        <w:t>ja</w:t>
      </w:r>
      <w:r w:rsidRPr="00BD09CC">
        <w:rPr>
          <w:rFonts w:ascii="Garamond" w:hAnsi="Garamond"/>
          <w:sz w:val="24"/>
          <w:szCs w:val="24"/>
        </w:rPr>
        <w:t xml:space="preserve"> ekspozimet mund të përkthehen në humbje</w:t>
      </w:r>
      <w:r w:rsidR="0087161A" w:rsidRPr="00BD09CC">
        <w:rPr>
          <w:rFonts w:ascii="Garamond" w:hAnsi="Garamond"/>
          <w:sz w:val="24"/>
          <w:szCs w:val="24"/>
        </w:rPr>
        <w:t>,</w:t>
      </w:r>
      <w:r w:rsidRPr="00BD09CC">
        <w:rPr>
          <w:rFonts w:ascii="Garamond" w:hAnsi="Garamond"/>
          <w:sz w:val="24"/>
          <w:szCs w:val="24"/>
        </w:rPr>
        <w:t xml:space="preserve"> në rast se ofruesi i mbrojtjes dështon (duke mos marrë parasysh se pjesa e garantuar e ekspozimeve mund të çojë në një situatë të padëshiruar të një ekspozimi të lartë ndaj rrezikut të përqendrimit ndaj emetuesve të kolateralit ose ofruesve të mbrojtjes së kredisë).</w:t>
      </w:r>
    </w:p>
    <w:p w14:paraId="69589B74" w14:textId="77777777" w:rsidR="00301201" w:rsidRPr="00BD09CC" w:rsidRDefault="00301201" w:rsidP="003529E5">
      <w:pPr>
        <w:spacing w:after="0" w:line="240" w:lineRule="auto"/>
        <w:rPr>
          <w:rFonts w:ascii="Times New Roman" w:eastAsia="MS Mincho" w:hAnsi="Times New Roman" w:cs="Times New Roman"/>
          <w:b/>
          <w:sz w:val="24"/>
          <w:szCs w:val="24"/>
        </w:rPr>
        <w:sectPr w:rsidR="00301201" w:rsidRPr="00BD09CC" w:rsidSect="003529E5">
          <w:pgSz w:w="11907" w:h="16839" w:code="9"/>
          <w:pgMar w:top="1440" w:right="1800" w:bottom="1440" w:left="1800" w:header="1140" w:footer="981" w:gutter="0"/>
          <w:cols w:space="720"/>
          <w:titlePg/>
          <w:docGrid w:linePitch="360"/>
        </w:sectPr>
      </w:pPr>
    </w:p>
    <w:p w14:paraId="0F5F91DD" w14:textId="4A8B21A5" w:rsidR="00301201" w:rsidRPr="00BD09CC" w:rsidRDefault="00301201"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rFonts w:ascii="Times New Roman" w:hAnsi="Times New Roman" w:cs="Times New Roman"/>
          <w:b/>
          <w:i/>
          <w:sz w:val="18"/>
          <w:szCs w:val="18"/>
        </w:rPr>
        <w:lastRenderedPageBreak/>
        <w:t xml:space="preserve">FORMULARI I RAPORTIMIT NR. 1 </w:t>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24"/>
          <w:szCs w:val="24"/>
        </w:rPr>
        <w:t>ANEKS 2</w:t>
      </w:r>
    </w:p>
    <w:p w14:paraId="254628B9" w14:textId="20A808DC" w:rsidR="00301201" w:rsidRPr="00BD09CC" w:rsidRDefault="00CD683A" w:rsidP="003529E5">
      <w:pPr>
        <w:spacing w:after="0" w:line="240" w:lineRule="auto"/>
        <w:rPr>
          <w:rFonts w:ascii="Times New Roman" w:eastAsia="MS Mincho" w:hAnsi="Times New Roman" w:cs="Times New Roman"/>
          <w:b/>
          <w:sz w:val="24"/>
          <w:szCs w:val="24"/>
        </w:rPr>
      </w:pPr>
      <w:r w:rsidRPr="00BD09CC">
        <w:rPr>
          <w:noProof/>
          <w:lang w:val="en-US"/>
        </w:rPr>
        <w:drawing>
          <wp:anchor distT="0" distB="0" distL="114300" distR="114300" simplePos="0" relativeHeight="251658240" behindDoc="1" locked="0" layoutInCell="1" allowOverlap="1" wp14:anchorId="5F8DBEB1" wp14:editId="1E72B189">
            <wp:simplePos x="0" y="0"/>
            <wp:positionH relativeFrom="column">
              <wp:posOffset>275590</wp:posOffset>
            </wp:positionH>
            <wp:positionV relativeFrom="paragraph">
              <wp:posOffset>211455</wp:posOffset>
            </wp:positionV>
            <wp:extent cx="8943975" cy="5486400"/>
            <wp:effectExtent l="0" t="0" r="9525" b="0"/>
            <wp:wrapTight wrapText="bothSides">
              <wp:wrapPolygon edited="0">
                <wp:start x="920" y="0"/>
                <wp:lineTo x="920" y="1200"/>
                <wp:lineTo x="368" y="1725"/>
                <wp:lineTo x="368" y="1950"/>
                <wp:lineTo x="920" y="2400"/>
                <wp:lineTo x="920" y="3600"/>
                <wp:lineTo x="0" y="3825"/>
                <wp:lineTo x="0" y="5925"/>
                <wp:lineTo x="368" y="6000"/>
                <wp:lineTo x="0" y="6375"/>
                <wp:lineTo x="0" y="8325"/>
                <wp:lineTo x="368" y="8400"/>
                <wp:lineTo x="0" y="8700"/>
                <wp:lineTo x="0" y="10650"/>
                <wp:lineTo x="322" y="10800"/>
                <wp:lineTo x="0" y="11100"/>
                <wp:lineTo x="0" y="21300"/>
                <wp:lineTo x="920" y="21525"/>
                <wp:lineTo x="19737" y="21525"/>
                <wp:lineTo x="21577" y="21075"/>
                <wp:lineTo x="21577" y="19500"/>
                <wp:lineTo x="19737" y="19200"/>
                <wp:lineTo x="21577" y="19200"/>
                <wp:lineTo x="21577" y="9600"/>
                <wp:lineTo x="19737" y="9600"/>
                <wp:lineTo x="21577" y="9225"/>
                <wp:lineTo x="21577" y="7200"/>
                <wp:lineTo x="19737" y="7200"/>
                <wp:lineTo x="21577" y="6900"/>
                <wp:lineTo x="21577" y="6300"/>
                <wp:lineTo x="19737" y="6000"/>
                <wp:lineTo x="21577" y="5925"/>
                <wp:lineTo x="21577" y="4875"/>
                <wp:lineTo x="19737" y="4800"/>
                <wp:lineTo x="21577" y="4500"/>
                <wp:lineTo x="21577" y="0"/>
                <wp:lineTo x="920" y="0"/>
              </wp:wrapPolygon>
            </wp:wrapTight>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43975" cy="548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D887F2" w14:textId="77777777" w:rsidR="00301201" w:rsidRPr="00BD09CC" w:rsidRDefault="00301201" w:rsidP="003529E5">
      <w:pPr>
        <w:tabs>
          <w:tab w:val="left" w:pos="6765"/>
        </w:tabs>
        <w:spacing w:after="0" w:line="240" w:lineRule="auto"/>
        <w:rPr>
          <w:rFonts w:ascii="Times New Roman" w:eastAsia="MS Mincho" w:hAnsi="Times New Roman" w:cs="Times New Roman"/>
          <w:sz w:val="24"/>
          <w:szCs w:val="24"/>
        </w:rPr>
      </w:pPr>
      <w:r w:rsidRPr="00BD09CC">
        <w:rPr>
          <w:rFonts w:ascii="Times New Roman" w:eastAsia="MS Mincho" w:hAnsi="Times New Roman" w:cs="Times New Roman"/>
          <w:sz w:val="24"/>
          <w:szCs w:val="24"/>
        </w:rPr>
        <w:tab/>
      </w:r>
    </w:p>
    <w:p w14:paraId="2970FA56" w14:textId="31B664C0" w:rsidR="0048399A" w:rsidRPr="00BD09CC" w:rsidRDefault="0048399A" w:rsidP="003529E5">
      <w:pPr>
        <w:tabs>
          <w:tab w:val="left" w:pos="6765"/>
        </w:tabs>
        <w:spacing w:after="0" w:line="240" w:lineRule="auto"/>
        <w:rPr>
          <w:rFonts w:ascii="Times New Roman" w:eastAsia="MS Mincho" w:hAnsi="Times New Roman" w:cs="Times New Roman"/>
          <w:sz w:val="24"/>
          <w:szCs w:val="24"/>
        </w:rPr>
      </w:pPr>
    </w:p>
    <w:p w14:paraId="3948BDA5" w14:textId="41D3200B" w:rsidR="0048399A" w:rsidRPr="00BD09CC" w:rsidRDefault="0048399A" w:rsidP="003529E5">
      <w:pPr>
        <w:tabs>
          <w:tab w:val="left" w:pos="6765"/>
        </w:tabs>
        <w:spacing w:after="0" w:line="240" w:lineRule="auto"/>
        <w:rPr>
          <w:rFonts w:ascii="Times New Roman" w:eastAsia="MS Mincho" w:hAnsi="Times New Roman" w:cs="Times New Roman"/>
          <w:sz w:val="24"/>
          <w:szCs w:val="24"/>
        </w:rPr>
      </w:pPr>
    </w:p>
    <w:p w14:paraId="7E9D4F24" w14:textId="68381A91" w:rsidR="00CD683A" w:rsidRPr="00BD09CC" w:rsidRDefault="00CD683A" w:rsidP="003529E5">
      <w:pPr>
        <w:tabs>
          <w:tab w:val="left" w:pos="6765"/>
        </w:tabs>
        <w:spacing w:after="0" w:line="240" w:lineRule="auto"/>
        <w:rPr>
          <w:rFonts w:ascii="Times New Roman" w:eastAsia="MS Mincho" w:hAnsi="Times New Roman" w:cs="Times New Roman"/>
          <w:sz w:val="24"/>
          <w:szCs w:val="24"/>
        </w:rPr>
      </w:pPr>
    </w:p>
    <w:p w14:paraId="37D88038" w14:textId="77777777" w:rsidR="00CD683A" w:rsidRPr="00BD09CC" w:rsidRDefault="00CD683A" w:rsidP="003529E5">
      <w:pPr>
        <w:spacing w:after="0" w:line="240" w:lineRule="auto"/>
        <w:rPr>
          <w:rFonts w:ascii="Times New Roman" w:eastAsia="MS Mincho" w:hAnsi="Times New Roman" w:cs="Times New Roman"/>
          <w:sz w:val="24"/>
          <w:szCs w:val="24"/>
        </w:rPr>
      </w:pPr>
    </w:p>
    <w:p w14:paraId="4A113083" w14:textId="376F708E" w:rsidR="00CD683A" w:rsidRPr="00BD09CC" w:rsidRDefault="00CD683A" w:rsidP="003529E5">
      <w:pPr>
        <w:spacing w:after="0" w:line="240" w:lineRule="auto"/>
        <w:jc w:val="center"/>
        <w:rPr>
          <w:rFonts w:ascii="Times New Roman" w:eastAsia="MS Mincho" w:hAnsi="Times New Roman" w:cs="Times New Roman"/>
          <w:sz w:val="24"/>
          <w:szCs w:val="24"/>
        </w:rPr>
      </w:pPr>
    </w:p>
    <w:p w14:paraId="06AB88E9" w14:textId="0F4286BC" w:rsidR="00CD683A" w:rsidRPr="00BD09CC" w:rsidRDefault="00CD683A" w:rsidP="003529E5">
      <w:pPr>
        <w:spacing w:after="0" w:line="240" w:lineRule="auto"/>
        <w:jc w:val="center"/>
        <w:rPr>
          <w:rFonts w:ascii="Times New Roman" w:eastAsia="MS Mincho" w:hAnsi="Times New Roman" w:cs="Times New Roman"/>
          <w:sz w:val="24"/>
          <w:szCs w:val="24"/>
        </w:rPr>
      </w:pPr>
    </w:p>
    <w:p w14:paraId="0F02B6E2" w14:textId="12764964" w:rsidR="00CD683A" w:rsidRPr="00BD09CC" w:rsidRDefault="00CD683A" w:rsidP="003529E5">
      <w:pPr>
        <w:spacing w:after="0" w:line="240" w:lineRule="auto"/>
        <w:jc w:val="center"/>
        <w:rPr>
          <w:rFonts w:ascii="Times New Roman" w:eastAsia="MS Mincho" w:hAnsi="Times New Roman" w:cs="Times New Roman"/>
          <w:sz w:val="24"/>
          <w:szCs w:val="24"/>
        </w:rPr>
      </w:pPr>
    </w:p>
    <w:p w14:paraId="3BE8AC50" w14:textId="77777777" w:rsidR="00CD683A" w:rsidRPr="00BD09CC" w:rsidRDefault="00CD683A" w:rsidP="003529E5">
      <w:pPr>
        <w:spacing w:after="0" w:line="240" w:lineRule="auto"/>
        <w:rPr>
          <w:rFonts w:ascii="Times New Roman" w:eastAsia="MS Mincho" w:hAnsi="Times New Roman" w:cs="Times New Roman"/>
          <w:sz w:val="24"/>
          <w:szCs w:val="24"/>
        </w:rPr>
      </w:pPr>
    </w:p>
    <w:p w14:paraId="44CCFA4F" w14:textId="52681567" w:rsidR="00CD683A" w:rsidRPr="00BD09CC" w:rsidRDefault="00CD683A" w:rsidP="003529E5">
      <w:pPr>
        <w:spacing w:after="0" w:line="240" w:lineRule="auto"/>
        <w:rPr>
          <w:rFonts w:ascii="Times New Roman" w:eastAsia="MS Mincho" w:hAnsi="Times New Roman" w:cs="Times New Roman"/>
          <w:sz w:val="24"/>
          <w:szCs w:val="24"/>
        </w:rPr>
      </w:pPr>
    </w:p>
    <w:p w14:paraId="0B51E408" w14:textId="68273FF1" w:rsidR="00CD683A" w:rsidRPr="00BD09CC" w:rsidRDefault="00CD683A" w:rsidP="003529E5">
      <w:pPr>
        <w:spacing w:after="0" w:line="240" w:lineRule="auto"/>
        <w:rPr>
          <w:rFonts w:ascii="Times New Roman" w:eastAsia="MS Mincho" w:hAnsi="Times New Roman" w:cs="Times New Roman"/>
          <w:sz w:val="24"/>
          <w:szCs w:val="24"/>
        </w:rPr>
        <w:sectPr w:rsidR="00CD683A" w:rsidRPr="00BD09CC" w:rsidSect="00301201">
          <w:footerReference w:type="default" r:id="rId16"/>
          <w:pgSz w:w="15840" w:h="12240" w:orient="landscape"/>
          <w:pgMar w:top="630" w:right="1530" w:bottom="1350" w:left="540" w:header="720" w:footer="720" w:gutter="0"/>
          <w:cols w:space="720"/>
          <w:docGrid w:linePitch="360"/>
        </w:sectPr>
      </w:pPr>
    </w:p>
    <w:p w14:paraId="3271DA08" w14:textId="4F8555B9"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noProof/>
          <w:lang w:val="en-US"/>
        </w:rPr>
        <w:lastRenderedPageBreak/>
        <w:drawing>
          <wp:anchor distT="0" distB="0" distL="114300" distR="114300" simplePos="0" relativeHeight="251658242" behindDoc="1" locked="0" layoutInCell="1" allowOverlap="1" wp14:anchorId="70D0F173" wp14:editId="05965069">
            <wp:simplePos x="0" y="0"/>
            <wp:positionH relativeFrom="column">
              <wp:posOffset>452755</wp:posOffset>
            </wp:positionH>
            <wp:positionV relativeFrom="paragraph">
              <wp:posOffset>86995</wp:posOffset>
            </wp:positionV>
            <wp:extent cx="8656320" cy="5782945"/>
            <wp:effectExtent l="0" t="0" r="0" b="8255"/>
            <wp:wrapTight wrapText="bothSides">
              <wp:wrapPolygon edited="0">
                <wp:start x="0" y="0"/>
                <wp:lineTo x="0" y="21560"/>
                <wp:lineTo x="20298" y="21560"/>
                <wp:lineTo x="21533" y="21133"/>
                <wp:lineTo x="21533" y="20492"/>
                <wp:lineTo x="20298" y="20492"/>
                <wp:lineTo x="21533" y="20208"/>
                <wp:lineTo x="21533" y="16223"/>
                <wp:lineTo x="20298" y="15939"/>
                <wp:lineTo x="21533" y="15939"/>
                <wp:lineTo x="21533" y="14800"/>
                <wp:lineTo x="20298" y="14800"/>
                <wp:lineTo x="21533" y="14515"/>
                <wp:lineTo x="21533" y="10531"/>
                <wp:lineTo x="20298" y="10246"/>
                <wp:lineTo x="21533" y="10246"/>
                <wp:lineTo x="21533" y="9108"/>
                <wp:lineTo x="20298" y="9108"/>
                <wp:lineTo x="21533" y="8823"/>
                <wp:lineTo x="21533" y="4838"/>
                <wp:lineTo x="20298" y="4554"/>
                <wp:lineTo x="21533" y="4483"/>
                <wp:lineTo x="21533" y="0"/>
                <wp:lineTo x="0" y="0"/>
              </wp:wrapPolygon>
            </wp:wrapTight>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56320" cy="5782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6341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2C9C9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241175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62A308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B94EB3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B11331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DE2C2F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F5E5911" w14:textId="10595E5A"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18BCB1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FC5E5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EBB459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1693E2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D81E33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AF588C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8DC43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1AD3E1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E3480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F376CC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C54719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E96BE9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1B8A8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9EB37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5896B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39A5E7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427DF3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AB19D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70B5D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A1445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6AEBF1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E4C25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B009BA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15F84B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87466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492273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5F69AF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0A465A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DDC82A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F8DD38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EF7DF9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6499B1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0CEB4B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4F7AC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CA6F97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CBCA3D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61E000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7F44AB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51E5A4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8795956" w14:textId="2D221866"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noProof/>
          <w:lang w:val="en-US"/>
        </w:rPr>
        <w:drawing>
          <wp:anchor distT="0" distB="0" distL="114300" distR="114300" simplePos="0" relativeHeight="251658243" behindDoc="1" locked="0" layoutInCell="1" allowOverlap="1" wp14:anchorId="647E09EC" wp14:editId="65672732">
            <wp:simplePos x="0" y="0"/>
            <wp:positionH relativeFrom="column">
              <wp:posOffset>845185</wp:posOffset>
            </wp:positionH>
            <wp:positionV relativeFrom="paragraph">
              <wp:posOffset>98425</wp:posOffset>
            </wp:positionV>
            <wp:extent cx="8533765" cy="5474335"/>
            <wp:effectExtent l="0" t="0" r="635" b="0"/>
            <wp:wrapTight wrapText="bothSides">
              <wp:wrapPolygon edited="0">
                <wp:start x="0" y="0"/>
                <wp:lineTo x="0" y="21497"/>
                <wp:lineTo x="21553" y="21497"/>
                <wp:lineTo x="21553" y="0"/>
                <wp:lineTo x="0" y="0"/>
              </wp:wrapPolygon>
            </wp:wrapTight>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33765" cy="547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651D6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C258DC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7BCB5E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D9C2C7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B63F77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518E58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72A0AF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2F466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50A274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190E9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F600A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27332C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6F8D69"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90F589"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62858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4DD7D8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02621E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1EF5DA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6E9AFF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E110CD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F27950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C8C716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2E64F4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87B799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F4247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27D3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ADD5F6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9A1EE7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447768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49BAEC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38DD5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41801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2DC46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78E588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AE6AB7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E4D33F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372A7A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sectPr w:rsidR="00A173D6" w:rsidRPr="00BD09CC" w:rsidSect="00A173D6">
          <w:pgSz w:w="16840" w:h="11907" w:orient="landscape" w:code="9"/>
          <w:pgMar w:top="629" w:right="1531" w:bottom="1349" w:left="539" w:header="720" w:footer="720" w:gutter="0"/>
          <w:cols w:space="720"/>
          <w:docGrid w:linePitch="360"/>
        </w:sectPr>
      </w:pPr>
    </w:p>
    <w:p w14:paraId="04A53B74" w14:textId="05DA0398" w:rsidR="00301201" w:rsidRDefault="00301201" w:rsidP="00045146">
      <w:pPr>
        <w:autoSpaceDE w:val="0"/>
        <w:autoSpaceDN w:val="0"/>
        <w:adjustRightInd w:val="0"/>
        <w:spacing w:after="0" w:line="240" w:lineRule="auto"/>
        <w:ind w:firstLine="450"/>
        <w:rPr>
          <w:rFonts w:ascii="Times New Roman" w:hAnsi="Times New Roman" w:cs="Times New Roman"/>
          <w:b/>
          <w:i/>
          <w:sz w:val="18"/>
          <w:szCs w:val="18"/>
        </w:rPr>
      </w:pPr>
      <w:r w:rsidRPr="00BD09CC">
        <w:rPr>
          <w:rFonts w:ascii="Times New Roman" w:hAnsi="Times New Roman" w:cs="Times New Roman"/>
          <w:b/>
          <w:i/>
          <w:sz w:val="18"/>
          <w:szCs w:val="18"/>
        </w:rPr>
        <w:lastRenderedPageBreak/>
        <w:t>UDHËZIME PËR PLOTËSIMIN E FORMULARIT TË RAPORTIMIT NR. 1</w:t>
      </w:r>
    </w:p>
    <w:p w14:paraId="77A9A71D" w14:textId="77777777" w:rsidR="00A62402" w:rsidRDefault="00A62402" w:rsidP="00045146">
      <w:pPr>
        <w:autoSpaceDE w:val="0"/>
        <w:autoSpaceDN w:val="0"/>
        <w:adjustRightInd w:val="0"/>
        <w:spacing w:after="0" w:line="240" w:lineRule="auto"/>
        <w:ind w:firstLine="450"/>
        <w:rPr>
          <w:rFonts w:ascii="Times New Roman" w:hAnsi="Times New Roman" w:cs="Times New Roman"/>
          <w:b/>
          <w:i/>
          <w:sz w:val="18"/>
          <w:szCs w:val="18"/>
        </w:rPr>
      </w:pPr>
    </w:p>
    <w:p w14:paraId="427D034A" w14:textId="3D7933A5" w:rsidR="00A62402" w:rsidRPr="00BD09CC" w:rsidRDefault="00A62402" w:rsidP="00045146">
      <w:pPr>
        <w:autoSpaceDE w:val="0"/>
        <w:autoSpaceDN w:val="0"/>
        <w:adjustRightInd w:val="0"/>
        <w:spacing w:after="0" w:line="240" w:lineRule="auto"/>
        <w:ind w:firstLine="450"/>
        <w:rPr>
          <w:rFonts w:ascii="Times New Roman" w:hAnsi="Times New Roman" w:cs="Times New Roman"/>
          <w:b/>
          <w:i/>
          <w:sz w:val="18"/>
          <w:szCs w:val="18"/>
        </w:rPr>
      </w:pPr>
      <w:r w:rsidRPr="00A62402">
        <w:rPr>
          <w:noProof/>
          <w:lang w:val="en-US"/>
        </w:rPr>
        <w:drawing>
          <wp:inline distT="0" distB="0" distL="0" distR="0" wp14:anchorId="2C767AE8" wp14:editId="6160BD22">
            <wp:extent cx="6114197" cy="7335672"/>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33" t="4064" r="1148" b="884"/>
                    <a:stretch/>
                  </pic:blipFill>
                  <pic:spPr bwMode="auto">
                    <a:xfrm>
                      <a:off x="0" y="0"/>
                      <a:ext cx="6123211" cy="7346487"/>
                    </a:xfrm>
                    <a:prstGeom prst="rect">
                      <a:avLst/>
                    </a:prstGeom>
                    <a:noFill/>
                    <a:ln>
                      <a:noFill/>
                    </a:ln>
                    <a:extLst>
                      <a:ext uri="{53640926-AAD7-44D8-BBD7-CCE9431645EC}">
                        <a14:shadowObscured xmlns:a14="http://schemas.microsoft.com/office/drawing/2010/main"/>
                      </a:ext>
                    </a:extLst>
                  </pic:spPr>
                </pic:pic>
              </a:graphicData>
            </a:graphic>
          </wp:inline>
        </w:drawing>
      </w:r>
    </w:p>
    <w:p w14:paraId="0D9C461C" w14:textId="59B1422D" w:rsidR="00FE6CB9" w:rsidRPr="00BD09CC" w:rsidRDefault="003B3A12" w:rsidP="003529E5">
      <w:pPr>
        <w:autoSpaceDE w:val="0"/>
        <w:autoSpaceDN w:val="0"/>
        <w:adjustRightInd w:val="0"/>
        <w:spacing w:after="0" w:line="240" w:lineRule="auto"/>
        <w:ind w:firstLine="540"/>
        <w:rPr>
          <w:rFonts w:ascii="Times New Roman" w:hAnsi="Times New Roman" w:cs="Times New Roman"/>
          <w:b/>
          <w:i/>
          <w:sz w:val="18"/>
          <w:szCs w:val="18"/>
        </w:rPr>
      </w:pPr>
      <w:r w:rsidRPr="00BD09CC">
        <w:rPr>
          <w:noProof/>
          <w:lang w:val="en-US"/>
        </w:rPr>
        <w:lastRenderedPageBreak/>
        <w:drawing>
          <wp:anchor distT="0" distB="0" distL="114300" distR="114300" simplePos="0" relativeHeight="251658241" behindDoc="1" locked="0" layoutInCell="1" allowOverlap="1" wp14:anchorId="2DCD774C" wp14:editId="0C20E01C">
            <wp:simplePos x="0" y="0"/>
            <wp:positionH relativeFrom="column">
              <wp:posOffset>343535</wp:posOffset>
            </wp:positionH>
            <wp:positionV relativeFrom="paragraph">
              <wp:posOffset>224155</wp:posOffset>
            </wp:positionV>
            <wp:extent cx="6191250" cy="7953375"/>
            <wp:effectExtent l="0" t="0" r="0" b="9525"/>
            <wp:wrapTight wrapText="bothSides">
              <wp:wrapPolygon edited="0">
                <wp:start x="0" y="0"/>
                <wp:lineTo x="0" y="21574"/>
                <wp:lineTo x="21534" y="21574"/>
                <wp:lineTo x="21534" y="0"/>
                <wp:lineTo x="0" y="0"/>
              </wp:wrapPolygon>
            </wp:wrapTight>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1250" cy="795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6CB9" w:rsidRPr="00BD09CC">
        <w:rPr>
          <w:noProof/>
          <w:lang w:val="en-US"/>
        </w:rPr>
        <w:drawing>
          <wp:inline distT="0" distB="0" distL="0" distR="0" wp14:anchorId="3A042BDC" wp14:editId="3E26C0F7">
            <wp:extent cx="6472362" cy="7830695"/>
            <wp:effectExtent l="0" t="0" r="508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9650" cy="7851611"/>
                    </a:xfrm>
                    <a:prstGeom prst="rect">
                      <a:avLst/>
                    </a:prstGeom>
                    <a:noFill/>
                    <a:ln>
                      <a:noFill/>
                    </a:ln>
                  </pic:spPr>
                </pic:pic>
              </a:graphicData>
            </a:graphic>
          </wp:inline>
        </w:drawing>
      </w:r>
    </w:p>
    <w:p w14:paraId="7360F7B6" w14:textId="7D187800" w:rsidR="00E5021C" w:rsidRDefault="00E5021C" w:rsidP="003529E5">
      <w:pPr>
        <w:pStyle w:val="ListParagraph"/>
        <w:spacing w:after="0" w:line="240" w:lineRule="auto"/>
        <w:ind w:left="1890" w:firstLine="270"/>
        <w:rPr>
          <w:rFonts w:ascii="Times New Roman" w:hAnsi="Times New Roman" w:cs="Times New Roman"/>
          <w:i/>
          <w:sz w:val="18"/>
          <w:szCs w:val="18"/>
        </w:rPr>
      </w:pPr>
    </w:p>
    <w:p w14:paraId="2EC09D00" w14:textId="2E53CC5D" w:rsidR="00E5021C" w:rsidRDefault="00E5021C" w:rsidP="00E5021C"/>
    <w:p w14:paraId="5FD3CA93" w14:textId="77777777" w:rsidR="00BF7067" w:rsidRDefault="00BF7067" w:rsidP="00E5021C">
      <w:pPr>
        <w:jc w:val="right"/>
      </w:pPr>
    </w:p>
    <w:p w14:paraId="5B0F4B7B" w14:textId="3C813464" w:rsidR="00E5021C" w:rsidRPr="00E5021C" w:rsidRDefault="00E5021C" w:rsidP="00E5021C">
      <w:pPr>
        <w:jc w:val="both"/>
      </w:pPr>
      <w:bookmarkStart w:id="0" w:name="_GoBack"/>
      <w:bookmarkEnd w:id="0"/>
    </w:p>
    <w:sectPr w:rsidR="00E5021C" w:rsidRPr="00E5021C" w:rsidSect="00A173D6">
      <w:pgSz w:w="11907" w:h="16840" w:code="9"/>
      <w:pgMar w:top="1531" w:right="1349" w:bottom="539" w:left="62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2DBEE" w14:textId="77777777" w:rsidR="00BA6EC7" w:rsidRDefault="00BA6EC7" w:rsidP="007E4EA2">
      <w:pPr>
        <w:spacing w:after="0" w:line="240" w:lineRule="auto"/>
      </w:pPr>
      <w:r>
        <w:separator/>
      </w:r>
    </w:p>
  </w:endnote>
  <w:endnote w:type="continuationSeparator" w:id="0">
    <w:p w14:paraId="02B67AA8" w14:textId="77777777" w:rsidR="00BA6EC7" w:rsidRDefault="00BA6EC7" w:rsidP="007E4EA2">
      <w:pPr>
        <w:spacing w:after="0" w:line="240" w:lineRule="auto"/>
      </w:pPr>
      <w:r>
        <w:continuationSeparator/>
      </w:r>
    </w:p>
  </w:endnote>
  <w:endnote w:type="continuationNotice" w:id="1">
    <w:p w14:paraId="779FA9B5" w14:textId="77777777" w:rsidR="00BA6EC7" w:rsidRDefault="00BA6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DB8762" w14:textId="77777777" w:rsidR="00BA6EC7" w:rsidRPr="00A67A73" w:rsidRDefault="00BA6EC7">
    <w:pPr>
      <w:pStyle w:val="Footer"/>
      <w:jc w:val="right"/>
      <w:rPr>
        <w:rFonts w:ascii="Times New Roman" w:hAnsi="Times New Roman" w:cs="Times New Roman"/>
        <w:sz w:val="18"/>
        <w:szCs w:val="18"/>
      </w:rPr>
    </w:pPr>
    <w:r w:rsidRPr="00A67A73">
      <w:rPr>
        <w:rFonts w:ascii="Times New Roman" w:hAnsi="Times New Roman" w:cs="Times New Roman"/>
        <w:sz w:val="18"/>
        <w:szCs w:val="18"/>
      </w:rPr>
      <w:fldChar w:fldCharType="begin"/>
    </w:r>
    <w:r w:rsidRPr="00A67A73">
      <w:rPr>
        <w:rFonts w:ascii="Times New Roman" w:hAnsi="Times New Roman" w:cs="Times New Roman"/>
        <w:sz w:val="18"/>
        <w:szCs w:val="18"/>
      </w:rPr>
      <w:instrText xml:space="preserve"> PAGE   \* MERGEFORMAT </w:instrText>
    </w:r>
    <w:r w:rsidRPr="00A67A73">
      <w:rPr>
        <w:rFonts w:ascii="Times New Roman" w:hAnsi="Times New Roman" w:cs="Times New Roman"/>
        <w:sz w:val="18"/>
        <w:szCs w:val="18"/>
      </w:rPr>
      <w:fldChar w:fldCharType="separate"/>
    </w:r>
    <w:r w:rsidR="00D63528">
      <w:rPr>
        <w:rFonts w:ascii="Times New Roman" w:hAnsi="Times New Roman" w:cs="Times New Roman"/>
        <w:noProof/>
        <w:sz w:val="18"/>
        <w:szCs w:val="18"/>
      </w:rPr>
      <w:t>12</w:t>
    </w:r>
    <w:r w:rsidRPr="00A67A73">
      <w:rPr>
        <w:rFonts w:ascii="Times New Roman" w:hAnsi="Times New Roman" w:cs="Times New Roman"/>
        <w:noProof/>
        <w:sz w:val="18"/>
        <w:szCs w:val="18"/>
      </w:rPr>
      <w:fldChar w:fldCharType="end"/>
    </w:r>
  </w:p>
  <w:p w14:paraId="33E5A53A" w14:textId="77777777" w:rsidR="00BA6EC7" w:rsidRPr="00A67A73" w:rsidRDefault="00BA6EC7">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007FEA" w14:textId="77777777" w:rsidR="00BA6EC7" w:rsidRDefault="00BA6EC7" w:rsidP="007E4EA2">
      <w:pPr>
        <w:spacing w:after="0" w:line="240" w:lineRule="auto"/>
      </w:pPr>
      <w:r>
        <w:separator/>
      </w:r>
    </w:p>
  </w:footnote>
  <w:footnote w:type="continuationSeparator" w:id="0">
    <w:p w14:paraId="0A064540" w14:textId="77777777" w:rsidR="00BA6EC7" w:rsidRDefault="00BA6EC7" w:rsidP="007E4EA2">
      <w:pPr>
        <w:spacing w:after="0" w:line="240" w:lineRule="auto"/>
      </w:pPr>
      <w:r>
        <w:continuationSeparator/>
      </w:r>
    </w:p>
  </w:footnote>
  <w:footnote w:type="continuationNotice" w:id="1">
    <w:p w14:paraId="3D4E5268" w14:textId="77777777" w:rsidR="00BA6EC7" w:rsidRDefault="00BA6EC7">
      <w:pPr>
        <w:spacing w:after="0" w:line="240" w:lineRule="auto"/>
      </w:pPr>
    </w:p>
  </w:footnote>
  <w:footnote w:id="2">
    <w:p w14:paraId="028F3C3D" w14:textId="3A2E2211" w:rsidR="00BA6EC7" w:rsidRPr="00E23659" w:rsidRDefault="00BA6EC7" w:rsidP="00A0126B">
      <w:pPr>
        <w:pStyle w:val="FootnoteText"/>
        <w:jc w:val="both"/>
        <w:rPr>
          <w:rFonts w:ascii="Garamond" w:hAnsi="Garamond"/>
          <w:sz w:val="18"/>
          <w:szCs w:val="18"/>
        </w:rPr>
      </w:pPr>
      <w:r w:rsidRPr="00E23659">
        <w:rPr>
          <w:rStyle w:val="FootnoteReference"/>
          <w:rFonts w:ascii="Garamond" w:hAnsi="Garamond"/>
          <w:sz w:val="18"/>
          <w:szCs w:val="18"/>
        </w:rPr>
        <w:footnoteRef/>
      </w:r>
      <w:r w:rsidRPr="00E23659">
        <w:rPr>
          <w:rFonts w:ascii="Garamond" w:hAnsi="Garamond"/>
          <w:sz w:val="18"/>
          <w:szCs w:val="18"/>
        </w:rPr>
        <w:t xml:space="preserve"> </w:t>
      </w:r>
      <w:r w:rsidRPr="00E23659">
        <w:rPr>
          <w:rStyle w:val="tlid-translation"/>
          <w:rFonts w:ascii="Garamond" w:hAnsi="Garamond"/>
          <w:i/>
          <w:sz w:val="18"/>
          <w:szCs w:val="18"/>
        </w:rPr>
        <w:t>Dy emetime do të konsiderohen si “të njëjtë”, nëse emetuesi, kuponi, monedha dhe maturiteti janë të njëjtë.</w:t>
      </w:r>
      <w:r w:rsidRPr="00E23659">
        <w:rPr>
          <w:rStyle w:val="tlid-translation"/>
          <w:rFonts w:ascii="Garamond" w:hAnsi="Garamond"/>
          <w:sz w:val="18"/>
          <w:szCs w:val="18"/>
        </w:rPr>
        <w:t xml:space="preserve"> </w:t>
      </w:r>
    </w:p>
  </w:footnote>
  <w:footnote w:id="3">
    <w:p w14:paraId="4C06A1C3" w14:textId="77777777" w:rsidR="00BA6EC7" w:rsidRPr="00045146" w:rsidRDefault="00BA6EC7" w:rsidP="00907EC1">
      <w:pPr>
        <w:pStyle w:val="FootnoteText"/>
        <w:jc w:val="both"/>
        <w:rPr>
          <w:rFonts w:ascii="Garamond" w:hAnsi="Garamond"/>
          <w:i/>
          <w:sz w:val="18"/>
          <w:szCs w:val="18"/>
        </w:rPr>
      </w:pPr>
      <w:r w:rsidRPr="00045146">
        <w:rPr>
          <w:rStyle w:val="FootnoteReference"/>
          <w:rFonts w:ascii="Garamond" w:hAnsi="Garamond"/>
          <w:i/>
          <w:sz w:val="18"/>
          <w:szCs w:val="18"/>
        </w:rPr>
        <w:footnoteRef/>
      </w:r>
      <w:r w:rsidRPr="00045146">
        <w:rPr>
          <w:rFonts w:ascii="Garamond" w:hAnsi="Garamond"/>
          <w:i/>
          <w:sz w:val="18"/>
          <w:szCs w:val="18"/>
        </w:rPr>
        <w:t xml:space="preserve"> </w:t>
      </w:r>
      <w:r w:rsidRPr="00045146">
        <w:rPr>
          <w:rStyle w:val="tlid-translation"/>
          <w:rFonts w:ascii="Garamond" w:hAnsi="Garamond"/>
          <w:i/>
          <w:sz w:val="18"/>
          <w:szCs w:val="18"/>
        </w:rPr>
        <w:t>Sipas përkufizimit, ky test konsiderohet i kaluar, nëse i gjithë investimi i bankës në një skemë është nën 0.25% të kapitalit rregullator.</w:t>
      </w:r>
    </w:p>
  </w:footnote>
  <w:footnote w:id="4">
    <w:p w14:paraId="35789920" w14:textId="488FAA75" w:rsidR="00BA6EC7" w:rsidRPr="003B3A12" w:rsidRDefault="00BA6EC7" w:rsidP="00907EC1">
      <w:pPr>
        <w:pStyle w:val="FootnoteText"/>
        <w:jc w:val="both"/>
        <w:rPr>
          <w:rFonts w:ascii="Garamond" w:hAnsi="Garamond"/>
          <w:sz w:val="18"/>
          <w:szCs w:val="18"/>
        </w:rPr>
      </w:pPr>
      <w:r w:rsidRPr="003B3A12">
        <w:rPr>
          <w:rStyle w:val="FootnoteReference"/>
          <w:rFonts w:ascii="Garamond" w:hAnsi="Garamond"/>
          <w:sz w:val="18"/>
          <w:szCs w:val="18"/>
        </w:rPr>
        <w:footnoteRef/>
      </w:r>
      <w:r w:rsidRPr="003B3A12">
        <w:rPr>
          <w:rFonts w:ascii="Garamond" w:hAnsi="Garamond"/>
          <w:color w:val="00B0F0"/>
          <w:sz w:val="18"/>
          <w:szCs w:val="18"/>
        </w:rPr>
        <w:t xml:space="preserve"> </w:t>
      </w:r>
      <w:r w:rsidRPr="003B3A12">
        <w:rPr>
          <w:rFonts w:ascii="Garamond" w:hAnsi="Garamond"/>
          <w:i/>
          <w:sz w:val="18"/>
          <w:szCs w:val="18"/>
        </w:rPr>
        <w:t>Marrëveshje sintetike janë marrëveshje/kontrata për instrumentet financiare, që krijohen për të simuluar instrumente të tjera, ndërsa ndryshojnë karakteristikat kryesore. Shpesh, marrëveshjet sintetike iu ofrojnë investitorëve, modele të përshtatura të fluksit të parave, maturimit, profilit të rrezikut etj. Marrëveshjet sintetike janë të strukturuara për t</w:t>
      </w:r>
      <w:r>
        <w:rPr>
          <w:rFonts w:ascii="Garamond" w:hAnsi="Garamond"/>
          <w:i/>
          <w:sz w:val="18"/>
          <w:szCs w:val="18"/>
        </w:rPr>
        <w:t>’</w:t>
      </w:r>
      <w:r w:rsidRPr="003B3A12">
        <w:rPr>
          <w:rFonts w:ascii="Garamond" w:hAnsi="Garamond"/>
          <w:i/>
          <w:sz w:val="18"/>
          <w:szCs w:val="18"/>
        </w:rPr>
        <w:t>iu përgjigjur nevojave të investitorit.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0EBB"/>
    <w:multiLevelType w:val="hybridMultilevel"/>
    <w:tmpl w:val="A59865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6A93908"/>
    <w:multiLevelType w:val="multilevel"/>
    <w:tmpl w:val="6B949790"/>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CB32A44"/>
    <w:multiLevelType w:val="hybridMultilevel"/>
    <w:tmpl w:val="80940F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A3E39C0"/>
    <w:multiLevelType w:val="hybridMultilevel"/>
    <w:tmpl w:val="299C8B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2E13440F"/>
    <w:multiLevelType w:val="hybridMultilevel"/>
    <w:tmpl w:val="039EFCFA"/>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E76911"/>
    <w:multiLevelType w:val="hybridMultilevel"/>
    <w:tmpl w:val="E626CA5E"/>
    <w:lvl w:ilvl="0" w:tplc="27AE8922">
      <w:start w:val="1"/>
      <w:numFmt w:val="lowerLetter"/>
      <w:lvlText w:val="%1)"/>
      <w:lvlJc w:val="left"/>
      <w:pPr>
        <w:ind w:left="1080" w:hanging="72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A51960"/>
    <w:multiLevelType w:val="hybridMultilevel"/>
    <w:tmpl w:val="6860BDDA"/>
    <w:lvl w:ilvl="0" w:tplc="BD9A7694">
      <w:start w:val="1"/>
      <w:numFmt w:val="lowerLetter"/>
      <w:lvlText w:val="%1)"/>
      <w:lvlJc w:val="left"/>
      <w:pPr>
        <w:tabs>
          <w:tab w:val="num" w:pos="644"/>
        </w:tabs>
        <w:ind w:left="644" w:hanging="360"/>
      </w:pPr>
      <w:rPr>
        <w:rFonts w:hint="default"/>
      </w:rPr>
    </w:lvl>
    <w:lvl w:ilvl="1" w:tplc="0409001B">
      <w:start w:val="1"/>
      <w:numFmt w:val="lowerRoman"/>
      <w:lvlText w:val="%2."/>
      <w:lvlJc w:val="right"/>
      <w:pPr>
        <w:ind w:left="1440" w:hanging="360"/>
      </w:pPr>
    </w:lvl>
    <w:lvl w:ilvl="2" w:tplc="0BFACD8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A52FB1"/>
    <w:multiLevelType w:val="hybridMultilevel"/>
    <w:tmpl w:val="9C340272"/>
    <w:lvl w:ilvl="0" w:tplc="0409001B">
      <w:start w:val="1"/>
      <w:numFmt w:val="lowerRoman"/>
      <w:lvlText w:val="%1."/>
      <w:lvlJc w:val="righ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44495CC7"/>
    <w:multiLevelType w:val="hybridMultilevel"/>
    <w:tmpl w:val="B54CD9DE"/>
    <w:lvl w:ilvl="0" w:tplc="D228E874">
      <w:start w:val="1"/>
      <w:numFmt w:val="lowerRoman"/>
      <w:lvlText w:val="%1."/>
      <w:lvlJc w:val="right"/>
      <w:pPr>
        <w:ind w:left="2340" w:hanging="360"/>
      </w:pPr>
      <w:rPr>
        <w:rFonts w:ascii="Times New Roman" w:hAnsi="Times New Roman" w:cs="Times New Roman" w:hint="default"/>
        <w:i/>
        <w:sz w:val="24"/>
        <w:szCs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nsid w:val="4D8A73B9"/>
    <w:multiLevelType w:val="hybridMultilevel"/>
    <w:tmpl w:val="CE44933C"/>
    <w:lvl w:ilvl="0" w:tplc="04090017">
      <w:start w:val="1"/>
      <w:numFmt w:val="lowerLetter"/>
      <w:lvlText w:val="%1)"/>
      <w:lvlJc w:val="left"/>
      <w:pPr>
        <w:ind w:left="1288" w:hanging="360"/>
      </w:pPr>
    </w:lvl>
    <w:lvl w:ilvl="1" w:tplc="04090017">
      <w:start w:val="1"/>
      <w:numFmt w:val="lowerLetter"/>
      <w:lvlText w:val="%2)"/>
      <w:lvlJc w:val="left"/>
      <w:pPr>
        <w:ind w:left="2008" w:hanging="360"/>
      </w:pPr>
    </w:lvl>
    <w:lvl w:ilvl="2" w:tplc="D186BA06">
      <w:start w:val="1"/>
      <w:numFmt w:val="upperRoman"/>
      <w:lvlText w:val="%3."/>
      <w:lvlJc w:val="left"/>
      <w:pPr>
        <w:ind w:left="3268" w:hanging="720"/>
      </w:pPr>
      <w:rPr>
        <w:rFonts w:hint="default"/>
      </w:r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2">
    <w:nsid w:val="51100E4C"/>
    <w:multiLevelType w:val="hybridMultilevel"/>
    <w:tmpl w:val="77489502"/>
    <w:lvl w:ilvl="0" w:tplc="04090013">
      <w:start w:val="1"/>
      <w:numFmt w:val="upperRoman"/>
      <w:lvlText w:val="%1."/>
      <w:lvlJc w:val="right"/>
      <w:pPr>
        <w:ind w:left="207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52320450"/>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AAB0A30"/>
    <w:multiLevelType w:val="hybridMultilevel"/>
    <w:tmpl w:val="3D7C4C8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9FE7E58"/>
    <w:multiLevelType w:val="hybridMultilevel"/>
    <w:tmpl w:val="42483998"/>
    <w:lvl w:ilvl="0" w:tplc="0408F09E">
      <w:start w:val="1"/>
      <w:numFmt w:val="decimal"/>
      <w:lvlText w:val="%1."/>
      <w:lvlJc w:val="left"/>
      <w:pPr>
        <w:ind w:left="720" w:hanging="360"/>
      </w:pPr>
      <w:rPr>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A824D0E"/>
    <w:multiLevelType w:val="hybridMultilevel"/>
    <w:tmpl w:val="76AC0826"/>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DE6B20"/>
    <w:multiLevelType w:val="hybridMultilevel"/>
    <w:tmpl w:val="8980532A"/>
    <w:lvl w:ilvl="0" w:tplc="8DBCF644">
      <w:start w:val="1"/>
      <w:numFmt w:val="decimal"/>
      <w:lvlText w:val="%1."/>
      <w:lvlJc w:val="left"/>
      <w:pPr>
        <w:ind w:left="384" w:hanging="360"/>
      </w:pPr>
      <w:rPr>
        <w:rFonts w:hint="default"/>
      </w:rPr>
    </w:lvl>
    <w:lvl w:ilvl="1" w:tplc="041C0019" w:tentative="1">
      <w:start w:val="1"/>
      <w:numFmt w:val="lowerLetter"/>
      <w:lvlText w:val="%2."/>
      <w:lvlJc w:val="left"/>
      <w:pPr>
        <w:ind w:left="1104" w:hanging="360"/>
      </w:pPr>
    </w:lvl>
    <w:lvl w:ilvl="2" w:tplc="041C001B" w:tentative="1">
      <w:start w:val="1"/>
      <w:numFmt w:val="lowerRoman"/>
      <w:lvlText w:val="%3."/>
      <w:lvlJc w:val="right"/>
      <w:pPr>
        <w:ind w:left="1824" w:hanging="180"/>
      </w:pPr>
    </w:lvl>
    <w:lvl w:ilvl="3" w:tplc="041C000F" w:tentative="1">
      <w:start w:val="1"/>
      <w:numFmt w:val="decimal"/>
      <w:lvlText w:val="%4."/>
      <w:lvlJc w:val="left"/>
      <w:pPr>
        <w:ind w:left="2544" w:hanging="360"/>
      </w:pPr>
    </w:lvl>
    <w:lvl w:ilvl="4" w:tplc="041C0019" w:tentative="1">
      <w:start w:val="1"/>
      <w:numFmt w:val="lowerLetter"/>
      <w:lvlText w:val="%5."/>
      <w:lvlJc w:val="left"/>
      <w:pPr>
        <w:ind w:left="3264" w:hanging="360"/>
      </w:pPr>
    </w:lvl>
    <w:lvl w:ilvl="5" w:tplc="041C001B" w:tentative="1">
      <w:start w:val="1"/>
      <w:numFmt w:val="lowerRoman"/>
      <w:lvlText w:val="%6."/>
      <w:lvlJc w:val="right"/>
      <w:pPr>
        <w:ind w:left="3984" w:hanging="180"/>
      </w:pPr>
    </w:lvl>
    <w:lvl w:ilvl="6" w:tplc="041C000F" w:tentative="1">
      <w:start w:val="1"/>
      <w:numFmt w:val="decimal"/>
      <w:lvlText w:val="%7."/>
      <w:lvlJc w:val="left"/>
      <w:pPr>
        <w:ind w:left="4704" w:hanging="360"/>
      </w:pPr>
    </w:lvl>
    <w:lvl w:ilvl="7" w:tplc="041C0019" w:tentative="1">
      <w:start w:val="1"/>
      <w:numFmt w:val="lowerLetter"/>
      <w:lvlText w:val="%8."/>
      <w:lvlJc w:val="left"/>
      <w:pPr>
        <w:ind w:left="5424" w:hanging="360"/>
      </w:pPr>
    </w:lvl>
    <w:lvl w:ilvl="8" w:tplc="041C001B" w:tentative="1">
      <w:start w:val="1"/>
      <w:numFmt w:val="lowerRoman"/>
      <w:lvlText w:val="%9."/>
      <w:lvlJc w:val="right"/>
      <w:pPr>
        <w:ind w:left="6144" w:hanging="180"/>
      </w:pPr>
    </w:lvl>
  </w:abstractNum>
  <w:abstractNum w:abstractNumId="19">
    <w:nsid w:val="6FBF50B7"/>
    <w:multiLevelType w:val="hybridMultilevel"/>
    <w:tmpl w:val="73ACEF38"/>
    <w:lvl w:ilvl="0" w:tplc="C61A5CE6">
      <w:start w:val="1"/>
      <w:numFmt w:val="lowerRoman"/>
      <w:lvlText w:val="%1)"/>
      <w:lvlJc w:val="left"/>
      <w:pPr>
        <w:ind w:left="1440" w:hanging="72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nsid w:val="77D031E5"/>
    <w:multiLevelType w:val="hybridMultilevel"/>
    <w:tmpl w:val="9446DC28"/>
    <w:lvl w:ilvl="0" w:tplc="925A085C">
      <w:start w:val="3"/>
      <w:numFmt w:val="decimal"/>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B13B38"/>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C3427E0"/>
    <w:multiLevelType w:val="hybridMultilevel"/>
    <w:tmpl w:val="CE949A0A"/>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4"/>
  </w:num>
  <w:num w:numId="4">
    <w:abstractNumId w:val="3"/>
  </w:num>
  <w:num w:numId="5">
    <w:abstractNumId w:val="7"/>
  </w:num>
  <w:num w:numId="6">
    <w:abstractNumId w:val="14"/>
  </w:num>
  <w:num w:numId="7">
    <w:abstractNumId w:val="9"/>
  </w:num>
  <w:num w:numId="8">
    <w:abstractNumId w:val="5"/>
  </w:num>
  <w:num w:numId="9">
    <w:abstractNumId w:val="22"/>
  </w:num>
  <w:num w:numId="10">
    <w:abstractNumId w:val="8"/>
  </w:num>
  <w:num w:numId="11">
    <w:abstractNumId w:val="17"/>
  </w:num>
  <w:num w:numId="12">
    <w:abstractNumId w:val="21"/>
  </w:num>
  <w:num w:numId="13">
    <w:abstractNumId w:val="13"/>
  </w:num>
  <w:num w:numId="14">
    <w:abstractNumId w:val="11"/>
  </w:num>
  <w:num w:numId="15">
    <w:abstractNumId w:val="18"/>
  </w:num>
  <w:num w:numId="16">
    <w:abstractNumId w:val="20"/>
  </w:num>
  <w:num w:numId="17">
    <w:abstractNumId w:val="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12"/>
  </w:num>
  <w:num w:numId="23">
    <w:abstractNumId w:val="0"/>
  </w:num>
  <w:num w:numId="24">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1EB0"/>
    <w:rsid w:val="00004AE7"/>
    <w:rsid w:val="00004E97"/>
    <w:rsid w:val="00014A40"/>
    <w:rsid w:val="00016DEE"/>
    <w:rsid w:val="000209D0"/>
    <w:rsid w:val="000232C7"/>
    <w:rsid w:val="000315DA"/>
    <w:rsid w:val="00035320"/>
    <w:rsid w:val="00036C18"/>
    <w:rsid w:val="0004011B"/>
    <w:rsid w:val="000423ED"/>
    <w:rsid w:val="00045146"/>
    <w:rsid w:val="0004552E"/>
    <w:rsid w:val="00046FEF"/>
    <w:rsid w:val="00051DC3"/>
    <w:rsid w:val="00057D25"/>
    <w:rsid w:val="000610B9"/>
    <w:rsid w:val="00061179"/>
    <w:rsid w:val="00070856"/>
    <w:rsid w:val="000726BB"/>
    <w:rsid w:val="00083E9F"/>
    <w:rsid w:val="0008419F"/>
    <w:rsid w:val="0008615C"/>
    <w:rsid w:val="0009162B"/>
    <w:rsid w:val="00093171"/>
    <w:rsid w:val="000A06BD"/>
    <w:rsid w:val="000A725D"/>
    <w:rsid w:val="000B1176"/>
    <w:rsid w:val="000B53F2"/>
    <w:rsid w:val="000C334C"/>
    <w:rsid w:val="000C3D0E"/>
    <w:rsid w:val="000C6128"/>
    <w:rsid w:val="000D0B46"/>
    <w:rsid w:val="000D18E3"/>
    <w:rsid w:val="000D2F94"/>
    <w:rsid w:val="000D332F"/>
    <w:rsid w:val="000D514B"/>
    <w:rsid w:val="000D642B"/>
    <w:rsid w:val="000E007F"/>
    <w:rsid w:val="000E35ED"/>
    <w:rsid w:val="000E3810"/>
    <w:rsid w:val="000E46DA"/>
    <w:rsid w:val="000E661C"/>
    <w:rsid w:val="000E7589"/>
    <w:rsid w:val="000F0D16"/>
    <w:rsid w:val="001057D6"/>
    <w:rsid w:val="001060AB"/>
    <w:rsid w:val="00106C0A"/>
    <w:rsid w:val="00121541"/>
    <w:rsid w:val="00126BF8"/>
    <w:rsid w:val="00135B8B"/>
    <w:rsid w:val="0013706D"/>
    <w:rsid w:val="00145AAC"/>
    <w:rsid w:val="0015258A"/>
    <w:rsid w:val="00153542"/>
    <w:rsid w:val="0015468B"/>
    <w:rsid w:val="001652FC"/>
    <w:rsid w:val="0016666D"/>
    <w:rsid w:val="00176BA9"/>
    <w:rsid w:val="00176CB1"/>
    <w:rsid w:val="0017721F"/>
    <w:rsid w:val="00182E63"/>
    <w:rsid w:val="001A26CB"/>
    <w:rsid w:val="001A7808"/>
    <w:rsid w:val="001B3900"/>
    <w:rsid w:val="001B4D5C"/>
    <w:rsid w:val="001C26BA"/>
    <w:rsid w:val="001C4FCA"/>
    <w:rsid w:val="001C76B2"/>
    <w:rsid w:val="001D22EC"/>
    <w:rsid w:val="001D3F78"/>
    <w:rsid w:val="001E23BD"/>
    <w:rsid w:val="001E3A4F"/>
    <w:rsid w:val="001F59F5"/>
    <w:rsid w:val="002059EA"/>
    <w:rsid w:val="00210A27"/>
    <w:rsid w:val="00213830"/>
    <w:rsid w:val="002160A4"/>
    <w:rsid w:val="00217566"/>
    <w:rsid w:val="0022144D"/>
    <w:rsid w:val="0022310A"/>
    <w:rsid w:val="0023480D"/>
    <w:rsid w:val="00235B09"/>
    <w:rsid w:val="00235CEF"/>
    <w:rsid w:val="00241F6E"/>
    <w:rsid w:val="002426E0"/>
    <w:rsid w:val="002525D9"/>
    <w:rsid w:val="002630D2"/>
    <w:rsid w:val="00271609"/>
    <w:rsid w:val="002845BA"/>
    <w:rsid w:val="00284A81"/>
    <w:rsid w:val="00285851"/>
    <w:rsid w:val="00292AFE"/>
    <w:rsid w:val="00293902"/>
    <w:rsid w:val="002961A5"/>
    <w:rsid w:val="00296D9F"/>
    <w:rsid w:val="00297D87"/>
    <w:rsid w:val="002A0843"/>
    <w:rsid w:val="002A2474"/>
    <w:rsid w:val="002A269C"/>
    <w:rsid w:val="002A47AC"/>
    <w:rsid w:val="002B46F1"/>
    <w:rsid w:val="002B5C90"/>
    <w:rsid w:val="002B6981"/>
    <w:rsid w:val="002B6DF8"/>
    <w:rsid w:val="002B7B4C"/>
    <w:rsid w:val="002B7B50"/>
    <w:rsid w:val="002C54D6"/>
    <w:rsid w:val="002C5CEF"/>
    <w:rsid w:val="002D0E85"/>
    <w:rsid w:val="002D4BB6"/>
    <w:rsid w:val="002D7D2F"/>
    <w:rsid w:val="002E6B9F"/>
    <w:rsid w:val="002F23D3"/>
    <w:rsid w:val="002F479D"/>
    <w:rsid w:val="002F717F"/>
    <w:rsid w:val="002F7913"/>
    <w:rsid w:val="00301201"/>
    <w:rsid w:val="00302A96"/>
    <w:rsid w:val="00315D29"/>
    <w:rsid w:val="00316D6D"/>
    <w:rsid w:val="00321F80"/>
    <w:rsid w:val="00323F13"/>
    <w:rsid w:val="003322A4"/>
    <w:rsid w:val="0033707C"/>
    <w:rsid w:val="00337FA6"/>
    <w:rsid w:val="00340F7B"/>
    <w:rsid w:val="00344CEA"/>
    <w:rsid w:val="003529E5"/>
    <w:rsid w:val="00354C6E"/>
    <w:rsid w:val="00356C7E"/>
    <w:rsid w:val="0036060F"/>
    <w:rsid w:val="0036350E"/>
    <w:rsid w:val="00371C9D"/>
    <w:rsid w:val="00387D62"/>
    <w:rsid w:val="00394520"/>
    <w:rsid w:val="00394A2B"/>
    <w:rsid w:val="00397F54"/>
    <w:rsid w:val="003A2CA6"/>
    <w:rsid w:val="003B3A12"/>
    <w:rsid w:val="003B6E3E"/>
    <w:rsid w:val="003C410A"/>
    <w:rsid w:val="003D3888"/>
    <w:rsid w:val="003D4405"/>
    <w:rsid w:val="003E384D"/>
    <w:rsid w:val="003E5917"/>
    <w:rsid w:val="003E5D59"/>
    <w:rsid w:val="003E7A6A"/>
    <w:rsid w:val="003F0580"/>
    <w:rsid w:val="003F3E56"/>
    <w:rsid w:val="0040781A"/>
    <w:rsid w:val="004079BB"/>
    <w:rsid w:val="004148DE"/>
    <w:rsid w:val="00415D29"/>
    <w:rsid w:val="00424E85"/>
    <w:rsid w:val="004259CD"/>
    <w:rsid w:val="00426F92"/>
    <w:rsid w:val="00432204"/>
    <w:rsid w:val="004406E5"/>
    <w:rsid w:val="00447116"/>
    <w:rsid w:val="00450D14"/>
    <w:rsid w:val="00454E48"/>
    <w:rsid w:val="004609CA"/>
    <w:rsid w:val="00460A53"/>
    <w:rsid w:val="00471A3D"/>
    <w:rsid w:val="00472C1A"/>
    <w:rsid w:val="0048399A"/>
    <w:rsid w:val="00485781"/>
    <w:rsid w:val="00486AF2"/>
    <w:rsid w:val="0048755E"/>
    <w:rsid w:val="00490C7B"/>
    <w:rsid w:val="004944A7"/>
    <w:rsid w:val="004A35C7"/>
    <w:rsid w:val="004A6145"/>
    <w:rsid w:val="004A7AF7"/>
    <w:rsid w:val="004B05C0"/>
    <w:rsid w:val="004B2711"/>
    <w:rsid w:val="004B448F"/>
    <w:rsid w:val="004C491A"/>
    <w:rsid w:val="004C4D29"/>
    <w:rsid w:val="004C621D"/>
    <w:rsid w:val="004D3B08"/>
    <w:rsid w:val="004F0178"/>
    <w:rsid w:val="004F7B00"/>
    <w:rsid w:val="00504E3D"/>
    <w:rsid w:val="00505449"/>
    <w:rsid w:val="005063EA"/>
    <w:rsid w:val="00513B0C"/>
    <w:rsid w:val="00515EE3"/>
    <w:rsid w:val="005210C6"/>
    <w:rsid w:val="005216C3"/>
    <w:rsid w:val="005217B4"/>
    <w:rsid w:val="00535A97"/>
    <w:rsid w:val="0053674E"/>
    <w:rsid w:val="0054017B"/>
    <w:rsid w:val="005409BF"/>
    <w:rsid w:val="00540FE0"/>
    <w:rsid w:val="0054537B"/>
    <w:rsid w:val="00547961"/>
    <w:rsid w:val="005531C2"/>
    <w:rsid w:val="00557C27"/>
    <w:rsid w:val="00560CB7"/>
    <w:rsid w:val="0056180A"/>
    <w:rsid w:val="00562FEF"/>
    <w:rsid w:val="0056399C"/>
    <w:rsid w:val="00566182"/>
    <w:rsid w:val="00584F7A"/>
    <w:rsid w:val="00585086"/>
    <w:rsid w:val="00586864"/>
    <w:rsid w:val="00591528"/>
    <w:rsid w:val="00591903"/>
    <w:rsid w:val="0059443F"/>
    <w:rsid w:val="00595C22"/>
    <w:rsid w:val="005A4204"/>
    <w:rsid w:val="005A454C"/>
    <w:rsid w:val="005A5674"/>
    <w:rsid w:val="005B37B4"/>
    <w:rsid w:val="005B3E5A"/>
    <w:rsid w:val="005C7E83"/>
    <w:rsid w:val="005D70A1"/>
    <w:rsid w:val="00613A64"/>
    <w:rsid w:val="0061589F"/>
    <w:rsid w:val="00616CCC"/>
    <w:rsid w:val="00630CD6"/>
    <w:rsid w:val="00632E10"/>
    <w:rsid w:val="00634FE7"/>
    <w:rsid w:val="0063571E"/>
    <w:rsid w:val="006367AE"/>
    <w:rsid w:val="00641A85"/>
    <w:rsid w:val="00645FA8"/>
    <w:rsid w:val="00650BA1"/>
    <w:rsid w:val="0065253C"/>
    <w:rsid w:val="006601B7"/>
    <w:rsid w:val="006641ED"/>
    <w:rsid w:val="006700A6"/>
    <w:rsid w:val="00676956"/>
    <w:rsid w:val="0069662A"/>
    <w:rsid w:val="006A18D7"/>
    <w:rsid w:val="006B3783"/>
    <w:rsid w:val="006B7C42"/>
    <w:rsid w:val="006C2C9E"/>
    <w:rsid w:val="006E0AC2"/>
    <w:rsid w:val="006E7DBD"/>
    <w:rsid w:val="006F27A3"/>
    <w:rsid w:val="006F4916"/>
    <w:rsid w:val="007018E7"/>
    <w:rsid w:val="00701BAA"/>
    <w:rsid w:val="007042B6"/>
    <w:rsid w:val="00707059"/>
    <w:rsid w:val="007272C0"/>
    <w:rsid w:val="00737451"/>
    <w:rsid w:val="00740501"/>
    <w:rsid w:val="0076115C"/>
    <w:rsid w:val="00767BEB"/>
    <w:rsid w:val="00782C43"/>
    <w:rsid w:val="00791A22"/>
    <w:rsid w:val="00793F4F"/>
    <w:rsid w:val="007A20F6"/>
    <w:rsid w:val="007A35A0"/>
    <w:rsid w:val="007A4F4B"/>
    <w:rsid w:val="007B5453"/>
    <w:rsid w:val="007C670A"/>
    <w:rsid w:val="007D3CA7"/>
    <w:rsid w:val="007D3DC0"/>
    <w:rsid w:val="007E3F87"/>
    <w:rsid w:val="007E4CD4"/>
    <w:rsid w:val="007E4EA2"/>
    <w:rsid w:val="007E696C"/>
    <w:rsid w:val="007F10BB"/>
    <w:rsid w:val="00802D2B"/>
    <w:rsid w:val="00804276"/>
    <w:rsid w:val="0081132C"/>
    <w:rsid w:val="00817BDA"/>
    <w:rsid w:val="00820C23"/>
    <w:rsid w:val="008234B7"/>
    <w:rsid w:val="00823FA2"/>
    <w:rsid w:val="00830813"/>
    <w:rsid w:val="00832AE6"/>
    <w:rsid w:val="00847433"/>
    <w:rsid w:val="0085168B"/>
    <w:rsid w:val="00855DBE"/>
    <w:rsid w:val="00861C32"/>
    <w:rsid w:val="0087069B"/>
    <w:rsid w:val="0087161A"/>
    <w:rsid w:val="00871789"/>
    <w:rsid w:val="00872F91"/>
    <w:rsid w:val="00875A12"/>
    <w:rsid w:val="008955A0"/>
    <w:rsid w:val="00896363"/>
    <w:rsid w:val="00897FE0"/>
    <w:rsid w:val="008A2B49"/>
    <w:rsid w:val="008A60C7"/>
    <w:rsid w:val="008B110D"/>
    <w:rsid w:val="008B2A9E"/>
    <w:rsid w:val="008B2C7D"/>
    <w:rsid w:val="008B7F6E"/>
    <w:rsid w:val="008C0F9A"/>
    <w:rsid w:val="008C2414"/>
    <w:rsid w:val="008C6FC2"/>
    <w:rsid w:val="008D17EA"/>
    <w:rsid w:val="008D23C6"/>
    <w:rsid w:val="008D305D"/>
    <w:rsid w:val="008D477A"/>
    <w:rsid w:val="008D6311"/>
    <w:rsid w:val="008E5F99"/>
    <w:rsid w:val="008F0CFA"/>
    <w:rsid w:val="008F4A02"/>
    <w:rsid w:val="008F5DD8"/>
    <w:rsid w:val="00907EC1"/>
    <w:rsid w:val="00910841"/>
    <w:rsid w:val="00911098"/>
    <w:rsid w:val="00914A7B"/>
    <w:rsid w:val="00914EDC"/>
    <w:rsid w:val="009155C0"/>
    <w:rsid w:val="009164CA"/>
    <w:rsid w:val="00920CE6"/>
    <w:rsid w:val="00922E68"/>
    <w:rsid w:val="00922F73"/>
    <w:rsid w:val="00924ABB"/>
    <w:rsid w:val="00925364"/>
    <w:rsid w:val="00926EA6"/>
    <w:rsid w:val="00934506"/>
    <w:rsid w:val="009410A3"/>
    <w:rsid w:val="00943A57"/>
    <w:rsid w:val="00957187"/>
    <w:rsid w:val="00970E7F"/>
    <w:rsid w:val="00976E1C"/>
    <w:rsid w:val="00983157"/>
    <w:rsid w:val="00987652"/>
    <w:rsid w:val="0099274F"/>
    <w:rsid w:val="0099553B"/>
    <w:rsid w:val="009A15BD"/>
    <w:rsid w:val="009A16BE"/>
    <w:rsid w:val="009A4A30"/>
    <w:rsid w:val="009A4D40"/>
    <w:rsid w:val="009B24AC"/>
    <w:rsid w:val="009B6C17"/>
    <w:rsid w:val="009C567A"/>
    <w:rsid w:val="009C64E0"/>
    <w:rsid w:val="009C7E3C"/>
    <w:rsid w:val="009D0E60"/>
    <w:rsid w:val="009D1467"/>
    <w:rsid w:val="009D25B2"/>
    <w:rsid w:val="009D5DDF"/>
    <w:rsid w:val="009E29E9"/>
    <w:rsid w:val="009E3309"/>
    <w:rsid w:val="009E73ED"/>
    <w:rsid w:val="009F4661"/>
    <w:rsid w:val="009F6046"/>
    <w:rsid w:val="009F76B4"/>
    <w:rsid w:val="00A002CE"/>
    <w:rsid w:val="00A0126B"/>
    <w:rsid w:val="00A02B52"/>
    <w:rsid w:val="00A104B8"/>
    <w:rsid w:val="00A114B7"/>
    <w:rsid w:val="00A173D6"/>
    <w:rsid w:val="00A24008"/>
    <w:rsid w:val="00A32CC5"/>
    <w:rsid w:val="00A427E7"/>
    <w:rsid w:val="00A44BCE"/>
    <w:rsid w:val="00A44F75"/>
    <w:rsid w:val="00A47197"/>
    <w:rsid w:val="00A51558"/>
    <w:rsid w:val="00A5510A"/>
    <w:rsid w:val="00A612D6"/>
    <w:rsid w:val="00A62402"/>
    <w:rsid w:val="00A67454"/>
    <w:rsid w:val="00A677EF"/>
    <w:rsid w:val="00A67D03"/>
    <w:rsid w:val="00A67EDD"/>
    <w:rsid w:val="00A742AC"/>
    <w:rsid w:val="00A74360"/>
    <w:rsid w:val="00A775EA"/>
    <w:rsid w:val="00A83D56"/>
    <w:rsid w:val="00A84119"/>
    <w:rsid w:val="00A87311"/>
    <w:rsid w:val="00A901C1"/>
    <w:rsid w:val="00A926B9"/>
    <w:rsid w:val="00AA3CA7"/>
    <w:rsid w:val="00AA5A87"/>
    <w:rsid w:val="00AA66E9"/>
    <w:rsid w:val="00AB0210"/>
    <w:rsid w:val="00AB1992"/>
    <w:rsid w:val="00AB2439"/>
    <w:rsid w:val="00AB3FD3"/>
    <w:rsid w:val="00AC2F98"/>
    <w:rsid w:val="00AC7CE1"/>
    <w:rsid w:val="00AE06C5"/>
    <w:rsid w:val="00AE4087"/>
    <w:rsid w:val="00AE54DA"/>
    <w:rsid w:val="00AE5F8D"/>
    <w:rsid w:val="00AF435F"/>
    <w:rsid w:val="00AF6816"/>
    <w:rsid w:val="00B017EB"/>
    <w:rsid w:val="00B02A9F"/>
    <w:rsid w:val="00B02C1A"/>
    <w:rsid w:val="00B05E3A"/>
    <w:rsid w:val="00B07489"/>
    <w:rsid w:val="00B157E5"/>
    <w:rsid w:val="00B2123B"/>
    <w:rsid w:val="00B21B7D"/>
    <w:rsid w:val="00B22D58"/>
    <w:rsid w:val="00B2534F"/>
    <w:rsid w:val="00B3461F"/>
    <w:rsid w:val="00B34B8B"/>
    <w:rsid w:val="00B36B22"/>
    <w:rsid w:val="00B464BE"/>
    <w:rsid w:val="00B50B46"/>
    <w:rsid w:val="00B51DFA"/>
    <w:rsid w:val="00B5746E"/>
    <w:rsid w:val="00B6025A"/>
    <w:rsid w:val="00B6428C"/>
    <w:rsid w:val="00B750A1"/>
    <w:rsid w:val="00B820E8"/>
    <w:rsid w:val="00B866E4"/>
    <w:rsid w:val="00B91174"/>
    <w:rsid w:val="00B93A83"/>
    <w:rsid w:val="00B95F61"/>
    <w:rsid w:val="00B97249"/>
    <w:rsid w:val="00BA6EC7"/>
    <w:rsid w:val="00BB7007"/>
    <w:rsid w:val="00BC25E8"/>
    <w:rsid w:val="00BC578E"/>
    <w:rsid w:val="00BD09CC"/>
    <w:rsid w:val="00BE327A"/>
    <w:rsid w:val="00BF7067"/>
    <w:rsid w:val="00C016C5"/>
    <w:rsid w:val="00C024BF"/>
    <w:rsid w:val="00C038C6"/>
    <w:rsid w:val="00C11B0D"/>
    <w:rsid w:val="00C145A5"/>
    <w:rsid w:val="00C160BA"/>
    <w:rsid w:val="00C17B76"/>
    <w:rsid w:val="00C2272B"/>
    <w:rsid w:val="00C22C9D"/>
    <w:rsid w:val="00C33222"/>
    <w:rsid w:val="00C41525"/>
    <w:rsid w:val="00C476D1"/>
    <w:rsid w:val="00C50BE4"/>
    <w:rsid w:val="00C63FFA"/>
    <w:rsid w:val="00C657D5"/>
    <w:rsid w:val="00C67073"/>
    <w:rsid w:val="00C72B1B"/>
    <w:rsid w:val="00C7487C"/>
    <w:rsid w:val="00C755EA"/>
    <w:rsid w:val="00C759B3"/>
    <w:rsid w:val="00C75E59"/>
    <w:rsid w:val="00C858FC"/>
    <w:rsid w:val="00C963D2"/>
    <w:rsid w:val="00CA44CF"/>
    <w:rsid w:val="00CA456C"/>
    <w:rsid w:val="00CB3721"/>
    <w:rsid w:val="00CB388E"/>
    <w:rsid w:val="00CC6FC3"/>
    <w:rsid w:val="00CD4250"/>
    <w:rsid w:val="00CD683A"/>
    <w:rsid w:val="00CD71A8"/>
    <w:rsid w:val="00CE6062"/>
    <w:rsid w:val="00CF261C"/>
    <w:rsid w:val="00CF3080"/>
    <w:rsid w:val="00CF6AC7"/>
    <w:rsid w:val="00D05C67"/>
    <w:rsid w:val="00D0692E"/>
    <w:rsid w:val="00D1064B"/>
    <w:rsid w:val="00D11FF3"/>
    <w:rsid w:val="00D126E8"/>
    <w:rsid w:val="00D1611F"/>
    <w:rsid w:val="00D1715A"/>
    <w:rsid w:val="00D206B1"/>
    <w:rsid w:val="00D20E3F"/>
    <w:rsid w:val="00D224B6"/>
    <w:rsid w:val="00D225F5"/>
    <w:rsid w:val="00D24E68"/>
    <w:rsid w:val="00D24F6B"/>
    <w:rsid w:val="00D3216F"/>
    <w:rsid w:val="00D322BB"/>
    <w:rsid w:val="00D46BD7"/>
    <w:rsid w:val="00D536BD"/>
    <w:rsid w:val="00D53832"/>
    <w:rsid w:val="00D61284"/>
    <w:rsid w:val="00D63528"/>
    <w:rsid w:val="00D64719"/>
    <w:rsid w:val="00D73693"/>
    <w:rsid w:val="00D83920"/>
    <w:rsid w:val="00D86E5E"/>
    <w:rsid w:val="00D86F91"/>
    <w:rsid w:val="00D95F4B"/>
    <w:rsid w:val="00DB49D4"/>
    <w:rsid w:val="00DB7DB7"/>
    <w:rsid w:val="00DC781F"/>
    <w:rsid w:val="00DD0624"/>
    <w:rsid w:val="00DD0D8D"/>
    <w:rsid w:val="00DD3408"/>
    <w:rsid w:val="00DD4BBD"/>
    <w:rsid w:val="00DE07AA"/>
    <w:rsid w:val="00DE12EE"/>
    <w:rsid w:val="00DE7468"/>
    <w:rsid w:val="00E05187"/>
    <w:rsid w:val="00E054F6"/>
    <w:rsid w:val="00E058D1"/>
    <w:rsid w:val="00E062C9"/>
    <w:rsid w:val="00E062EC"/>
    <w:rsid w:val="00E06757"/>
    <w:rsid w:val="00E11671"/>
    <w:rsid w:val="00E120F2"/>
    <w:rsid w:val="00E12299"/>
    <w:rsid w:val="00E14E25"/>
    <w:rsid w:val="00E1559B"/>
    <w:rsid w:val="00E17823"/>
    <w:rsid w:val="00E20624"/>
    <w:rsid w:val="00E22238"/>
    <w:rsid w:val="00E23659"/>
    <w:rsid w:val="00E24DEF"/>
    <w:rsid w:val="00E27D0E"/>
    <w:rsid w:val="00E35C02"/>
    <w:rsid w:val="00E40136"/>
    <w:rsid w:val="00E44292"/>
    <w:rsid w:val="00E46BD2"/>
    <w:rsid w:val="00E5021C"/>
    <w:rsid w:val="00E52CB2"/>
    <w:rsid w:val="00E53941"/>
    <w:rsid w:val="00E56F74"/>
    <w:rsid w:val="00E61BFE"/>
    <w:rsid w:val="00E64D27"/>
    <w:rsid w:val="00E71791"/>
    <w:rsid w:val="00E76F91"/>
    <w:rsid w:val="00E817FF"/>
    <w:rsid w:val="00E82866"/>
    <w:rsid w:val="00E867AE"/>
    <w:rsid w:val="00E90978"/>
    <w:rsid w:val="00E975B7"/>
    <w:rsid w:val="00EA6347"/>
    <w:rsid w:val="00EB14A4"/>
    <w:rsid w:val="00EC4572"/>
    <w:rsid w:val="00ED1689"/>
    <w:rsid w:val="00EE0B92"/>
    <w:rsid w:val="00EE2008"/>
    <w:rsid w:val="00EE4B34"/>
    <w:rsid w:val="00F01A5A"/>
    <w:rsid w:val="00F0330D"/>
    <w:rsid w:val="00F131D1"/>
    <w:rsid w:val="00F13834"/>
    <w:rsid w:val="00F166A9"/>
    <w:rsid w:val="00F223B2"/>
    <w:rsid w:val="00F33EA8"/>
    <w:rsid w:val="00F41085"/>
    <w:rsid w:val="00F43506"/>
    <w:rsid w:val="00F468EC"/>
    <w:rsid w:val="00F479D3"/>
    <w:rsid w:val="00F50168"/>
    <w:rsid w:val="00F56A4D"/>
    <w:rsid w:val="00F57349"/>
    <w:rsid w:val="00F60E99"/>
    <w:rsid w:val="00F62D4B"/>
    <w:rsid w:val="00F749EC"/>
    <w:rsid w:val="00F85E12"/>
    <w:rsid w:val="00F86225"/>
    <w:rsid w:val="00F862AD"/>
    <w:rsid w:val="00FA71FE"/>
    <w:rsid w:val="00FC364B"/>
    <w:rsid w:val="00FD4D16"/>
    <w:rsid w:val="00FE2C1C"/>
    <w:rsid w:val="00FE6CB9"/>
    <w:rsid w:val="00FF15FD"/>
    <w:rsid w:val="00FF2FA4"/>
    <w:rsid w:val="00FF55D8"/>
    <w:rsid w:val="00FF6453"/>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42D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30431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5.pn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2020-09-09T11:18:46Z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2020-09-08T22:00:00Z</Date_x0020_protokolli>
    <Titulli xmlns="0e656187-b300-4fb0-8bf4-3a50f872073c">Për disa ndryshime në rregulloren " Për administrimin e rrezikut nga ekspozimet e mëdha të bankave"</Titulli>
    <Modifikuesi xmlns="0e656187-b300-4fb0-8bf4-3a50f872073c">gladiola.cicako</Modifikuesi>
    <Nr_x002e__x0020_prot_x0020_QBZ xmlns="0e656187-b300-4fb0-8bf4-3a50f872073c">1350/1</Nr_x002e__x0020_prot_x0020_QBZ>
    <Data_x0020_e_x0020_Modifikimit xmlns="0e656187-b300-4fb0-8bf4-3a50f872073c">2020-09-10T11:03:06Z</Data_x0020_e_x0020_Modifikimit>
    <Dekretuar xmlns="0e656187-b300-4fb0-8bf4-3a50f872073c">false</Dekretuar>
    <Data xmlns="0e656187-b300-4fb0-8bf4-3a50f872073c">2020-09-01T22:00:00Z</Data>
    <Nr_x002e__x0020_protokolli_x0020_i_x0020_aktit xmlns="0e656187-b300-4fb0-8bf4-3a50f872073c">3989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400A5D718674C549E51ED3757C653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00A5D718674C549E51ED3757C653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3B092-4384-49B6-96ED-6061678713EC}">
  <ds:schemaRefs>
    <ds:schemaRef ds:uri="http://www.w3.org/XML/1998/namespace"/>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822D14F9-E3F5-46CD-AA20-1C7FB78B092F}">
  <ds:schemaRefs>
    <ds:schemaRef ds:uri="http://schemas.microsoft.com/sharepoint/v3/contenttype/forms"/>
  </ds:schemaRefs>
</ds:datastoreItem>
</file>

<file path=customXml/itemProps3.xml><?xml version="1.0" encoding="utf-8"?>
<ds:datastoreItem xmlns:ds="http://schemas.openxmlformats.org/officeDocument/2006/customXml" ds:itemID="{0BD372C7-87D5-4CBB-B022-75BD99E5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F1BF52-520F-4E25-A07D-19206CA4A5A6}">
  <ds:schemaRefs>
    <ds:schemaRef ds:uri="http://schemas.microsoft.com/sharepoint/v3/contenttype/forms"/>
  </ds:schemaRefs>
</ds:datastoreItem>
</file>

<file path=customXml/itemProps5.xml><?xml version="1.0" encoding="utf-8"?>
<ds:datastoreItem xmlns:ds="http://schemas.openxmlformats.org/officeDocument/2006/customXml" ds:itemID="{693B35AE-1211-4550-9EBD-0211017B4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E746DD-D142-42A3-92A9-F08D8E10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3459</Words>
  <Characters>19719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disa ndryshime në rregulloren " Për administrimin e rrezikut nga ekspozimet e mëdha të bankave"</vt:lpstr>
    </vt:vector>
  </TitlesOfParts>
  <Company>Hewlett-Packard Company</Company>
  <LinksUpToDate>false</LinksUpToDate>
  <CharactersWithSpaces>23132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 Për administrimin e rrezikut nga ekspozimet e mëdha të bankave"</dc:title>
  <dc:creator>Eduart Nela</dc:creator>
  <cp:lastModifiedBy>Fjora Cahani</cp:lastModifiedBy>
  <cp:revision>40</cp:revision>
  <cp:lastPrinted>2020-09-10T09:00:00Z</cp:lastPrinted>
  <dcterms:created xsi:type="dcterms:W3CDTF">2020-09-09T11:21:00Z</dcterms:created>
  <dcterms:modified xsi:type="dcterms:W3CDTF">2020-09-10T11:11:00Z</dcterms:modified>
</cp:coreProperties>
</file>